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Times New Roman" w:hAnsi="Times New Roman" w:eastAsia="方正小标宋简体"/>
          <w:sz w:val="32"/>
          <w:szCs w:val="32"/>
        </w:rPr>
      </w:pPr>
      <w:r>
        <w:rPr>
          <w:rFonts w:hint="eastAsia" w:eastAsia="方正小标宋简体"/>
          <w:sz w:val="32"/>
          <w:szCs w:val="32"/>
          <w:lang w:eastAsia="zh-CN"/>
        </w:rPr>
        <w:t>安化县残疾人联合会</w:t>
      </w:r>
      <w:r>
        <w:rPr>
          <w:rFonts w:ascii="Times New Roman" w:hAnsi="Times New Roman" w:eastAsia="方正小标宋简体"/>
          <w:sz w:val="32"/>
          <w:szCs w:val="32"/>
        </w:rPr>
        <w:t>权力清单和责任清单</w:t>
      </w:r>
    </w:p>
    <w:p>
      <w:pPr>
        <w:jc w:val="center"/>
        <w:rPr>
          <w:rFonts w:hint="eastAsia" w:ascii="宋体" w:hAnsi="宋体" w:eastAsia="宋体" w:cs="宋体"/>
          <w:sz w:val="18"/>
          <w:szCs w:val="18"/>
        </w:rPr>
      </w:pPr>
      <w:r>
        <w:rPr>
          <w:rFonts w:hint="eastAsia" w:ascii="宋体" w:hAnsi="宋体" w:eastAsia="宋体" w:cs="宋体"/>
          <w:kern w:val="0"/>
          <w:sz w:val="18"/>
          <w:szCs w:val="18"/>
        </w:rPr>
        <w:t>（</w:t>
      </w:r>
      <w:r>
        <w:rPr>
          <w:rFonts w:hint="eastAsia" w:ascii="宋体" w:hAnsi="宋体" w:eastAsia="宋体" w:cs="宋体"/>
          <w:kern w:val="0"/>
          <w:sz w:val="18"/>
          <w:szCs w:val="18"/>
          <w:lang w:val="en-US" w:eastAsia="zh-CN"/>
        </w:rPr>
        <w:t>1</w:t>
      </w:r>
      <w:r>
        <w:rPr>
          <w:rFonts w:hint="eastAsia" w:ascii="宋体" w:hAnsi="宋体" w:cs="宋体"/>
          <w:kern w:val="0"/>
          <w:sz w:val="18"/>
          <w:szCs w:val="18"/>
          <w:lang w:val="en-US" w:eastAsia="zh-CN"/>
        </w:rPr>
        <w:t>3</w:t>
      </w:r>
      <w:r>
        <w:rPr>
          <w:rFonts w:hint="eastAsia" w:ascii="宋体" w:hAnsi="宋体" w:eastAsia="宋体" w:cs="宋体"/>
          <w:kern w:val="0"/>
          <w:sz w:val="18"/>
          <w:szCs w:val="18"/>
        </w:rPr>
        <w:t>项）</w:t>
      </w:r>
    </w:p>
    <w:p>
      <w:pPr>
        <w:pStyle w:val="18"/>
        <w:spacing w:line="20" w:lineRule="exact"/>
        <w:jc w:val="center"/>
        <w:rPr>
          <w:rFonts w:eastAsia="方正小标宋简体"/>
          <w:sz w:val="18"/>
          <w:szCs w:val="18"/>
        </w:rPr>
      </w:pPr>
    </w:p>
    <w:tbl>
      <w:tblPr>
        <w:tblW w:w="14085" w:type="dxa"/>
        <w:jc w:val="center"/>
        <w:tblInd w:w="0" w:type="dxa"/>
        <w:tblBorders>
          <w:top w:val="single" w:color="000000" w:sz="8" w:space="0"/>
          <w:left w:val="single" w:color="000000" w:sz="8" w:space="0"/>
          <w:bottom w:val="single" w:color="000000" w:sz="8" w:space="0"/>
          <w:right w:val="single" w:color="000000" w:sz="8" w:space="0"/>
          <w:insideH w:val="single" w:color="000000" w:sz="4" w:space="0"/>
          <w:insideV w:val="single" w:color="000000" w:sz="4" w:space="0"/>
        </w:tblBorders>
        <w:tblLayout w:type="fixed"/>
        <w:tblCellMar>
          <w:top w:w="0" w:type="dxa"/>
          <w:left w:w="57" w:type="dxa"/>
          <w:bottom w:w="0" w:type="dxa"/>
          <w:right w:w="57" w:type="dxa"/>
        </w:tblCellMar>
      </w:tblPr>
      <w:tblGrid>
        <w:gridCol w:w="724"/>
        <w:gridCol w:w="1547"/>
        <w:gridCol w:w="1980"/>
        <w:gridCol w:w="5355"/>
        <w:gridCol w:w="2055"/>
        <w:gridCol w:w="2424"/>
      </w:tblGrid>
      <w:tr>
        <w:trPr>
          <w:cantSplit/>
          <w:trHeight w:val="425" w:hRule="atLeast"/>
          <w:jc w:val="center"/>
        </w:trPr>
        <w:tc>
          <w:tcPr>
            <w:tcW w:w="14085" w:type="dxa"/>
            <w:gridSpan w:val="6"/>
            <w:tcBorders>
              <w:top w:val="single" w:color="000000" w:sz="8" w:space="0"/>
              <w:left w:val="single" w:color="000000" w:sz="8" w:space="0"/>
              <w:bottom w:val="single" w:color="000000" w:sz="4" w:space="0"/>
              <w:right w:val="single" w:color="000000" w:sz="8"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b/>
                <w:bCs/>
                <w:kern w:val="0"/>
                <w:sz w:val="18"/>
                <w:szCs w:val="18"/>
              </w:rPr>
              <w:t>一、</w:t>
            </w:r>
            <w:r>
              <w:rPr>
                <w:rFonts w:hint="eastAsia" w:ascii="宋体" w:hAnsi="宋体" w:eastAsia="宋体" w:cs="宋体"/>
                <w:b/>
                <w:bCs/>
                <w:kern w:val="0"/>
                <w:sz w:val="18"/>
                <w:szCs w:val="18"/>
                <w:lang w:eastAsia="zh-CN"/>
              </w:rPr>
              <w:t>公共服务</w:t>
            </w:r>
            <w:r>
              <w:rPr>
                <w:rFonts w:hint="eastAsia" w:ascii="宋体" w:hAnsi="宋体" w:eastAsia="宋体" w:cs="宋体"/>
                <w:b/>
                <w:bCs/>
                <w:kern w:val="0"/>
                <w:sz w:val="18"/>
                <w:szCs w:val="18"/>
              </w:rPr>
              <w:t>类（</w:t>
            </w:r>
            <w:r>
              <w:rPr>
                <w:rFonts w:hint="eastAsia" w:ascii="宋体" w:hAnsi="宋体" w:cs="宋体"/>
                <w:b/>
                <w:bCs/>
                <w:kern w:val="0"/>
                <w:sz w:val="18"/>
                <w:szCs w:val="18"/>
                <w:lang w:val="en-US" w:eastAsia="zh-CN"/>
              </w:rPr>
              <w:t>2</w:t>
            </w:r>
            <w:r>
              <w:rPr>
                <w:rFonts w:hint="eastAsia" w:ascii="宋体" w:hAnsi="宋体" w:eastAsia="宋体" w:cs="宋体"/>
                <w:b/>
                <w:bCs/>
                <w:kern w:val="0"/>
                <w:sz w:val="18"/>
                <w:szCs w:val="18"/>
              </w:rPr>
              <w:t>项）</w:t>
            </w:r>
          </w:p>
        </w:tc>
      </w:tr>
      <w:tr>
        <w:trPr>
          <w:cantSplit/>
          <w:trHeight w:val="665"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序号</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before="0" w:after="0" w:line="320" w:lineRule="exact"/>
              <w:ind w:left="0" w:leftChars="0" w:right="0" w:firstLine="0" w:firstLineChars="0"/>
              <w:jc w:val="center"/>
              <w:textAlignment w:val="center"/>
              <w:outlineLvl w:val="9"/>
              <w:rPr>
                <w:rFonts w:hint="eastAsia" w:ascii="宋体" w:hAnsi="宋体" w:eastAsia="宋体" w:cs="宋体"/>
                <w:sz w:val="18"/>
                <w:szCs w:val="18"/>
              </w:rPr>
            </w:pPr>
            <w:r>
              <w:rPr>
                <w:rFonts w:hint="eastAsia" w:ascii="宋体" w:hAnsi="宋体" w:eastAsia="宋体" w:cs="宋体"/>
                <w:sz w:val="18"/>
                <w:szCs w:val="18"/>
              </w:rPr>
              <w:t>职权</w:t>
            </w:r>
          </w:p>
          <w:p>
            <w:pPr>
              <w:widowControl w:val="0"/>
              <w:wordWrap/>
              <w:autoSpaceDN w:val="0"/>
              <w:adjustRightInd/>
              <w:snapToGrid/>
              <w:spacing w:before="0" w:after="0" w:line="320" w:lineRule="exact"/>
              <w:ind w:left="0" w:leftChars="0" w:right="0" w:firstLine="0" w:firstLineChars="0"/>
              <w:jc w:val="center"/>
              <w:textAlignment w:val="center"/>
              <w:outlineLvl w:val="9"/>
              <w:rPr>
                <w:rFonts w:hint="eastAsia" w:ascii="宋体" w:hAnsi="宋体" w:eastAsia="宋体" w:cs="宋体"/>
                <w:sz w:val="18"/>
                <w:szCs w:val="18"/>
              </w:rPr>
            </w:pPr>
            <w:r>
              <w:rPr>
                <w:rFonts w:hint="eastAsia" w:ascii="宋体" w:hAnsi="宋体" w:eastAsia="宋体" w:cs="宋体"/>
                <w:sz w:val="18"/>
                <w:szCs w:val="18"/>
              </w:rPr>
              <w:t>类型</w:t>
            </w:r>
          </w:p>
        </w:tc>
        <w:tc>
          <w:tcPr>
            <w:tcW w:w="1980"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项目名称</w:t>
            </w:r>
          </w:p>
        </w:tc>
        <w:tc>
          <w:tcPr>
            <w:tcW w:w="535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职权依据</w:t>
            </w:r>
          </w:p>
        </w:tc>
        <w:tc>
          <w:tcPr>
            <w:tcW w:w="2055"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w:t>
            </w:r>
          </w:p>
        </w:tc>
        <w:tc>
          <w:tcPr>
            <w:tcW w:w="2424" w:type="dxa"/>
            <w:tcBorders>
              <w:top w:val="single" w:color="000000" w:sz="4" w:space="0"/>
              <w:left w:val="single" w:color="000000" w:sz="4" w:space="0"/>
              <w:bottom w:val="single" w:color="000000" w:sz="4" w:space="0"/>
              <w:right w:val="single" w:color="000000" w:sz="4" w:space="0"/>
            </w:tcBorders>
            <w:vAlign w:val="center"/>
          </w:tcPr>
          <w:p>
            <w:pPr>
              <w:autoSpaceDN w:val="0"/>
              <w:spacing w:line="440" w:lineRule="exact"/>
              <w:jc w:val="center"/>
              <w:textAlignment w:val="center"/>
              <w:rPr>
                <w:rFonts w:hint="eastAsia" w:ascii="宋体" w:hAnsi="宋体" w:eastAsia="宋体" w:cs="宋体"/>
                <w:sz w:val="18"/>
                <w:szCs w:val="18"/>
              </w:rPr>
            </w:pPr>
            <w:r>
              <w:rPr>
                <w:rFonts w:hint="eastAsia" w:ascii="宋体" w:hAnsi="宋体" w:eastAsia="宋体" w:cs="宋体"/>
                <w:sz w:val="18"/>
                <w:szCs w:val="18"/>
              </w:rPr>
              <w:t>责任事项依据</w:t>
            </w:r>
          </w:p>
        </w:tc>
      </w:tr>
      <w:tr>
        <w:trPr>
          <w:cantSplit/>
          <w:trHeight w:val="4551"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sz w:val="18"/>
                <w:szCs w:val="18"/>
                <w:lang w:eastAsia="zh-CN"/>
              </w:rPr>
            </w:pPr>
            <w:r>
              <w:rPr>
                <w:rFonts w:hint="default" w:ascii="宋体" w:hAnsi="宋体" w:cs="宋体"/>
                <w:sz w:val="18"/>
                <w:szCs w:val="18"/>
                <w:lang w:eastAsia="zh-CN"/>
              </w:rPr>
              <w:t>1</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公共</w:t>
            </w:r>
          </w:p>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服务</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sz w:val="18"/>
                <w:szCs w:val="18"/>
              </w:rPr>
            </w:pPr>
            <w:r>
              <w:rPr>
                <w:rFonts w:hint="eastAsia" w:ascii="宋体" w:hAnsi="宋体" w:eastAsia="宋体" w:cs="宋体"/>
                <w:sz w:val="18"/>
                <w:szCs w:val="18"/>
              </w:rPr>
              <w:t>残疾人就业培训</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《中华人民共和国残疾人就业条例》（中华人民共和国国务院令〔2007〕第488号）第二十二条   中国残疾人联合会及其地方组织所属的残疾人就业服务机构应当免费为残疾人就业提供下列服务： （一）发布残疾人就业信息； （二）组织开展残疾人职业培训； （三）为残疾人提供职业心理咨询、职业适应评估、职业康复训练、求职定向指导、职业介绍等服务； （四）为残疾人自主择业提供必要的帮助； （五）为用人单位安排残疾人就业提供必要的支持。 国家鼓励其他就业服务机构为残疾人就业提供免费服务。《中华人民共和国残疾人保障法》（中华人民共和国主席令〔2018〕第16号）第三十七条  政府有关部门设立的公共就业服务机构，应当为残疾人免费提供就业服务。 残疾人联合会举办的残疾人就业服务机构，应当组织开展免费的职业指导、职业介绍和职业培训，为残疾人就业和用人单位招用残疾人提供服务和帮助。  </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组织开展残疾人职业培训。</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 xml:space="preserve">《中华人民共和国残疾人就业条例》（中华人民共和国国务院令〔2007〕第488号） </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 xml:space="preserve"> 《中华人民共和国残疾人保障法》（中华人民共和国主席令〔2018〕第16号）</w:t>
            </w:r>
          </w:p>
        </w:tc>
      </w:tr>
      <w:tr>
        <w:trPr>
          <w:cantSplit/>
          <w:trHeight w:val="8533"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sz w:val="18"/>
                <w:szCs w:val="18"/>
                <w:lang w:val="en-US" w:eastAsia="zh-CN"/>
              </w:rPr>
            </w:pPr>
            <w:r>
              <w:rPr>
                <w:rFonts w:hint="eastAsia" w:ascii="宋体" w:hAnsi="宋体" w:cs="宋体"/>
                <w:sz w:val="18"/>
                <w:szCs w:val="18"/>
                <w:lang w:val="en-US" w:eastAsia="zh-CN"/>
              </w:rPr>
              <w:t>2</w:t>
            </w:r>
            <w:bookmarkStart w:id="0" w:name="_GoBack"/>
            <w:bookmarkEnd w:id="0"/>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公共</w:t>
            </w:r>
          </w:p>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eastAsia="zh-CN"/>
              </w:rPr>
            </w:pPr>
            <w:r>
              <w:rPr>
                <w:rFonts w:hint="eastAsia" w:ascii="宋体" w:hAnsi="宋体" w:eastAsia="宋体" w:cs="宋体"/>
                <w:kern w:val="0"/>
                <w:sz w:val="18"/>
                <w:szCs w:val="18"/>
                <w:lang w:eastAsia="zh-CN"/>
              </w:rPr>
              <w:t>服务</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sz w:val="18"/>
                <w:szCs w:val="18"/>
              </w:rPr>
            </w:pPr>
            <w:r>
              <w:rPr>
                <w:rFonts w:hint="eastAsia" w:ascii="宋体" w:hAnsi="宋体" w:eastAsia="宋体" w:cs="宋体"/>
                <w:sz w:val="18"/>
                <w:szCs w:val="18"/>
              </w:rPr>
              <w:t>残疾人就业咨询与职业介绍服务</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《残疾人就业条例》（国务院令〔2007〕第488号）第二十二条  中国残疾人联合会及其地方组织所属的残疾人就业服务机构应当免费为残疾人就业提供下列服务：（一）发布残疾人就业信息；（二）组织开展残疾人职业培训；（三）为残疾人提供职业心理咨询、职业适应评估、职业康复训练、求职定向指导、职业介绍等服务；（四）为残疾人自主择业提供必要的帮助；（五）为用人单位安排残疾人就业提供必要的支持。国家鼓励其他就业服务机构为残疾人就业提供免费服务。《湖南省按比例安排残疾人就业规定》（湖南省人民政府令〔2015〕第273号）第一条  为了落实按比例安排残疾人就业制度，保障残疾人的劳动权利，提高残疾人的生活水平，根据《中华人民共和国残疾人保障法》、《残疾人就业条例》、《湖南省实施〈中华人民共和国残疾人保障法〉办法》等法律、法规，结合本省实际，制定本规定。 第二条  县级以上人民政府应当将按比例安排残疾人就业纳入整体就业规划，并采取措施，保障本规定的实施。 第三条   按比例安排残疾人就业工作，按照分级管理原则，由县级以上人民政府残疾人工作委员会负责综合协调，县级以上残疾人联合会负责组织实施，残疾人联合会所属残疾人劳动就业服务机构负责具体工作。 县级以上人民政府人力资源社会保障、财政、地方税务、民政、统计等有关部门应当按照各自职责做好按比例安排残疾人就业的相关工作。 《国务院关于印发“十三五”推进基本公共服务均等化规划的通知》（国发〔2017〕第9号）全文。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1.发布残疾人就业信息；2.组织开展残疾人职业培训；3.为残疾人提供职业心理咨询、职业适应评估、职业康复训练、求职定向指导、职业介绍等服务；4.为残疾人自主择业提供必要的帮助；5.为用人单位安排残疾人就业提供必要的支持</w:t>
            </w:r>
            <w:r>
              <w:rPr>
                <w:rFonts w:hint="eastAsia" w:ascii="宋体" w:hAnsi="宋体" w:cs="宋体"/>
                <w:sz w:val="18"/>
                <w:szCs w:val="18"/>
              </w:rPr>
              <w:t>；</w:t>
            </w:r>
            <w:r>
              <w:rPr>
                <w:rFonts w:hint="default" w:ascii="宋体" w:hAnsi="宋体" w:cs="宋体"/>
                <w:sz w:val="18"/>
                <w:szCs w:val="18"/>
              </w:rPr>
              <w:t>6.</w:t>
            </w:r>
            <w:r>
              <w:rPr>
                <w:rFonts w:hint="eastAsia" w:ascii="宋体" w:hAnsi="宋体" w:eastAsia="宋体" w:cs="宋体"/>
                <w:sz w:val="18"/>
                <w:szCs w:val="18"/>
              </w:rPr>
              <w:t>法律法规规章文件规定应履行的其他责任。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 xml:space="preserve">《残疾人就业条例》（国务院令〔2007〕第488号） </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《湖南省按比例安排残疾人就业规定》（湖南省人民政府令〔2015〕第273号）</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《国务院关于印发“十三五”推进基本公共服务均等化规划的通知》（国发〔2017〕第9号）</w:t>
            </w:r>
          </w:p>
        </w:tc>
      </w:tr>
      <w:tr>
        <w:trPr>
          <w:cantSplit/>
          <w:trHeight w:val="559" w:hRule="atLeast"/>
          <w:jc w:val="center"/>
        </w:trPr>
        <w:tc>
          <w:tcPr>
            <w:tcW w:w="14085" w:type="dxa"/>
            <w:gridSpan w:val="6"/>
            <w:tcBorders>
              <w:top w:val="single" w:color="000000" w:sz="4" w:space="0"/>
              <w:left w:val="single" w:color="000000" w:sz="8" w:space="0"/>
              <w:bottom w:val="single" w:color="000000" w:sz="4" w:space="0"/>
              <w:right w:val="single" w:color="000000" w:sz="8"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b/>
                <w:bCs/>
                <w:kern w:val="0"/>
                <w:sz w:val="18"/>
                <w:szCs w:val="18"/>
              </w:rPr>
              <w:t>二、行政确认类（</w:t>
            </w:r>
            <w:r>
              <w:rPr>
                <w:rFonts w:hint="default" w:ascii="宋体" w:hAnsi="宋体" w:cs="宋体"/>
                <w:b/>
                <w:bCs/>
                <w:kern w:val="0"/>
                <w:sz w:val="18"/>
                <w:szCs w:val="18"/>
                <w:lang w:eastAsia="zh-CN"/>
              </w:rPr>
              <w:t>2</w:t>
            </w:r>
            <w:r>
              <w:rPr>
                <w:rFonts w:hint="eastAsia" w:ascii="宋体" w:hAnsi="宋体" w:eastAsia="宋体" w:cs="宋体"/>
                <w:b/>
                <w:bCs/>
                <w:kern w:val="0"/>
                <w:sz w:val="18"/>
                <w:szCs w:val="18"/>
              </w:rPr>
              <w:t>项）</w:t>
            </w:r>
          </w:p>
        </w:tc>
      </w:tr>
      <w:tr>
        <w:trPr>
          <w:cantSplit/>
          <w:trHeight w:val="559"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职权</w:t>
            </w:r>
          </w:p>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类型</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rPr>
          <w:cantSplit/>
          <w:trHeight w:val="90"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sz w:val="18"/>
                <w:szCs w:val="18"/>
              </w:rPr>
            </w:pPr>
            <w:r>
              <w:rPr>
                <w:rFonts w:hint="eastAsia" w:ascii="宋体" w:hAnsi="宋体" w:eastAsia="宋体" w:cs="宋体"/>
                <w:sz w:val="18"/>
                <w:szCs w:val="18"/>
              </w:rPr>
              <w:t>行政</w:t>
            </w:r>
          </w:p>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sz w:val="18"/>
                <w:szCs w:val="18"/>
              </w:rPr>
            </w:pPr>
            <w:r>
              <w:rPr>
                <w:rFonts w:hint="eastAsia" w:ascii="宋体" w:hAnsi="宋体" w:eastAsia="宋体" w:cs="宋体"/>
                <w:sz w:val="18"/>
                <w:szCs w:val="18"/>
              </w:rPr>
              <w:t>确认</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sz w:val="18"/>
                <w:szCs w:val="18"/>
              </w:rPr>
            </w:pPr>
            <w:r>
              <w:rPr>
                <w:rFonts w:hint="eastAsia" w:ascii="宋体" w:hAnsi="宋体" w:eastAsia="宋体" w:cs="宋体"/>
                <w:sz w:val="18"/>
                <w:szCs w:val="18"/>
              </w:rPr>
              <w:t>残疾人证</w:t>
            </w:r>
            <w:r>
              <w:rPr>
                <w:rFonts w:hint="eastAsia" w:ascii="宋体" w:hAnsi="宋体" w:cs="宋体"/>
                <w:sz w:val="18"/>
                <w:szCs w:val="18"/>
                <w:lang w:eastAsia="zh-CN"/>
              </w:rPr>
              <w:t>办理</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cs="宋体"/>
                <w:sz w:val="18"/>
                <w:szCs w:val="18"/>
              </w:rPr>
              <w:t xml:space="preserve">《中华人民共和国残疾人证管理办法》第七条  县级残联负责残疾人证的申办受理、核发管理等工作。 县级残联按照省级卫生计生委和残联指定的医院或专业机构（以下简称指定机构）作出的残疾类别和残疾等级评定结论，核发残疾人证，并负责办证原始档案管理。省级残联、地市级残联做好残疾人证核发、使用、管理等工作的指导和监督检查。省级残联和卫生计生委成立残疾评定专家委员会，负责受理残疾评定争议。 </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eastAsia="zh-CN"/>
              </w:rPr>
              <w:t>受理</w:t>
            </w:r>
            <w:r>
              <w:rPr>
                <w:rFonts w:hint="eastAsia" w:ascii="宋体" w:hAnsi="宋体" w:eastAsia="宋体" w:cs="宋体"/>
                <w:sz w:val="18"/>
                <w:szCs w:val="18"/>
              </w:rPr>
              <w:t>责任：一次性告知补正材料；依法受理或不予受理（不予受理应当告知理由）</w:t>
            </w:r>
            <w:r>
              <w:rPr>
                <w:rFonts w:hint="eastAsia" w:ascii="宋体" w:hAnsi="宋体" w:cs="宋体"/>
                <w:sz w:val="18"/>
                <w:szCs w:val="18"/>
                <w:lang w:eastAsia="zh-CN"/>
              </w:rPr>
              <w:t>；</w:t>
            </w:r>
            <w:r>
              <w:rPr>
                <w:rFonts w:hint="eastAsia" w:ascii="宋体" w:hAnsi="宋体" w:eastAsia="宋体" w:cs="宋体"/>
                <w:sz w:val="18"/>
                <w:szCs w:val="18"/>
                <w:lang w:val="en-US" w:eastAsia="zh-CN"/>
              </w:rPr>
              <w:t>2.</w:t>
            </w:r>
            <w:r>
              <w:rPr>
                <w:rFonts w:hint="eastAsia" w:ascii="宋体" w:hAnsi="宋体" w:eastAsia="宋体" w:cs="宋体"/>
                <w:sz w:val="18"/>
                <w:szCs w:val="18"/>
              </w:rPr>
              <w:t>审核责任：</w:t>
            </w:r>
            <w:r>
              <w:rPr>
                <w:rFonts w:hint="eastAsia" w:ascii="宋体" w:hAnsi="宋体" w:eastAsia="宋体" w:cs="宋体"/>
                <w:sz w:val="18"/>
                <w:szCs w:val="18"/>
                <w:lang w:eastAsia="zh-CN"/>
              </w:rPr>
              <w:t>在规定期限内</w:t>
            </w:r>
            <w:r>
              <w:rPr>
                <w:rFonts w:hint="eastAsia" w:ascii="宋体" w:hAnsi="宋体" w:eastAsia="宋体" w:cs="宋体"/>
                <w:sz w:val="18"/>
                <w:szCs w:val="18"/>
              </w:rPr>
              <w:t>对</w:t>
            </w:r>
            <w:r>
              <w:rPr>
                <w:rFonts w:hint="eastAsia" w:ascii="宋体" w:hAnsi="宋体" w:cs="宋体"/>
                <w:sz w:val="18"/>
                <w:szCs w:val="18"/>
                <w:lang w:eastAsia="zh-CN"/>
              </w:rPr>
              <w:t>申请人</w:t>
            </w:r>
            <w:r>
              <w:rPr>
                <w:rFonts w:hint="eastAsia" w:ascii="宋体" w:hAnsi="宋体" w:eastAsia="宋体" w:cs="宋体"/>
                <w:sz w:val="18"/>
                <w:szCs w:val="18"/>
              </w:rPr>
              <w:t>依法进行审核</w:t>
            </w:r>
            <w:r>
              <w:rPr>
                <w:rFonts w:hint="eastAsia" w:ascii="宋体" w:hAnsi="宋体" w:cs="宋体"/>
                <w:sz w:val="18"/>
                <w:szCs w:val="18"/>
                <w:lang w:eastAsia="zh-CN"/>
              </w:rPr>
              <w:t>；</w:t>
            </w:r>
            <w:r>
              <w:rPr>
                <w:rFonts w:hint="eastAsia" w:ascii="宋体" w:hAnsi="宋体" w:eastAsia="宋体" w:cs="宋体"/>
                <w:sz w:val="18"/>
                <w:szCs w:val="18"/>
                <w:lang w:val="en-US" w:eastAsia="zh-CN"/>
              </w:rPr>
              <w:t>3.</w:t>
            </w:r>
            <w:r>
              <w:rPr>
                <w:rFonts w:hint="eastAsia" w:ascii="宋体" w:hAnsi="宋体" w:eastAsia="宋体" w:cs="宋体"/>
                <w:sz w:val="18"/>
                <w:szCs w:val="18"/>
                <w:lang w:eastAsia="zh-CN"/>
              </w:rPr>
              <w:t>作出决定和公示责任：符合法定条件的，</w:t>
            </w:r>
            <w:r>
              <w:rPr>
                <w:rFonts w:hint="eastAsia" w:ascii="宋体" w:hAnsi="宋体" w:eastAsia="宋体" w:cs="宋体"/>
                <w:sz w:val="18"/>
                <w:szCs w:val="18"/>
                <w:lang w:val="en-US" w:eastAsia="zh-CN"/>
              </w:rPr>
              <w:t>依法进行公示</w:t>
            </w:r>
            <w:r>
              <w:rPr>
                <w:rFonts w:hint="eastAsia" w:ascii="宋体" w:hAnsi="宋体" w:cs="宋体"/>
                <w:sz w:val="18"/>
                <w:szCs w:val="18"/>
                <w:lang w:val="en-US" w:eastAsia="zh-CN"/>
              </w:rPr>
              <w:t>；</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lang w:val="en-US" w:eastAsia="zh-CN"/>
              </w:rPr>
              <w:t>4.认定责任：公示期后予以认定</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5.</w:t>
            </w:r>
            <w:r>
              <w:rPr>
                <w:rFonts w:hint="eastAsia" w:ascii="宋体" w:hAnsi="宋体" w:cs="宋体"/>
                <w:sz w:val="18"/>
                <w:szCs w:val="18"/>
                <w:lang w:val="en-US"/>
              </w:rPr>
              <w:t>事中事后监管责任</w:t>
            </w:r>
            <w:r>
              <w:rPr>
                <w:rFonts w:hint="eastAsia" w:ascii="宋体" w:hAnsi="宋体" w:eastAsia="宋体" w:cs="宋体"/>
                <w:sz w:val="18"/>
                <w:szCs w:val="18"/>
              </w:rPr>
              <w:t>。</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ascii="宋体" w:hAnsi="宋体" w:cs="宋体"/>
                <w:sz w:val="18"/>
                <w:szCs w:val="18"/>
              </w:rPr>
            </w:pPr>
            <w:r>
              <w:rPr>
                <w:rFonts w:hint="eastAsia" w:ascii="宋体" w:hAnsi="宋体" w:eastAsia="宋体" w:cs="宋体"/>
                <w:sz w:val="18"/>
                <w:szCs w:val="18"/>
              </w:rPr>
              <w:t xml:space="preserve"> </w:t>
            </w:r>
            <w:r>
              <w:rPr>
                <w:rFonts w:hint="eastAsia" w:ascii="宋体" w:hAnsi="宋体" w:cs="宋体"/>
                <w:sz w:val="18"/>
                <w:szCs w:val="18"/>
              </w:rPr>
              <w:t>《中华人民共和国残疾人证管理办法》</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cs="宋体"/>
                <w:sz w:val="18"/>
                <w:szCs w:val="18"/>
              </w:rPr>
            </w:pPr>
            <w:r>
              <w:rPr>
                <w:rFonts w:hint="eastAsia" w:ascii="宋体" w:hAnsi="宋体" w:cs="宋体"/>
                <w:sz w:val="18"/>
                <w:szCs w:val="18"/>
              </w:rPr>
              <w:t>《湖南省残疾人证管理办法实施细则》</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lang w:eastAsia="zh-CN"/>
              </w:rPr>
            </w:pPr>
            <w:r>
              <w:rPr>
                <w:rFonts w:hint="eastAsia" w:ascii="宋体" w:hAnsi="宋体" w:cs="宋体"/>
                <w:sz w:val="18"/>
                <w:szCs w:val="18"/>
              </w:rPr>
              <w:t>《安化县残疾人证核发管理细则》</w:t>
            </w:r>
          </w:p>
        </w:tc>
      </w:tr>
      <w:tr>
        <w:trPr>
          <w:cantSplit/>
          <w:trHeight w:val="3400"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2"/>
                <w:sz w:val="18"/>
                <w:szCs w:val="18"/>
                <w:lang w:eastAsia="zh-CN" w:bidi="ar-SA"/>
              </w:rPr>
            </w:pPr>
            <w:r>
              <w:rPr>
                <w:rFonts w:hint="default" w:ascii="宋体" w:hAnsi="宋体" w:cs="宋体"/>
                <w:sz w:val="18"/>
                <w:szCs w:val="18"/>
              </w:rPr>
              <w:t>2</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2"/>
                <w:sz w:val="18"/>
                <w:szCs w:val="18"/>
                <w:lang w:val="en-US" w:bidi="ar-SA"/>
              </w:rPr>
            </w:pPr>
            <w:r>
              <w:rPr>
                <w:rFonts w:hint="eastAsia" w:ascii="宋体" w:hAnsi="宋体" w:cs="宋体"/>
                <w:sz w:val="18"/>
                <w:szCs w:val="18"/>
                <w:lang w:val="en-US"/>
              </w:rPr>
              <w:t>行政确认</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全国残疾人按比例就业情况联网认证</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1.《残疾人就业条例》（中华人民共和国国务院令第488号）第九条 用人单位安排残疾人就业达不到其所在地省、自治区、直辖市人民政府规定比例的，应当缴纳残疾人就业保障金。</w:t>
            </w:r>
          </w:p>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2.《残疾人就业保障金征收使用管理办法》（财税〔2015〕72号）第十二条   残疾人就业服务机构应当配合保障金征收机关做好保障金征收工作。用人单位应按规定时限如实向残疾人就业服务机构申报上年本单位安排的残疾人就业人数。未在规定时限申报的，视为未安排残疾人就业。残疾人就业服务机构进行审核后，确定用人单位实际安排的残疾人就业人数，并及时提供给保障金征收机关。</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1.审核用人单位申报的上年本单位安排的残疾人就业人数</w:t>
            </w:r>
            <w:r>
              <w:rPr>
                <w:rFonts w:hint="eastAsia" w:ascii="宋体" w:hAnsi="宋体" w:cs="宋体"/>
                <w:sz w:val="18"/>
                <w:szCs w:val="18"/>
                <w:lang w:eastAsia="zh-CN"/>
              </w:rPr>
              <w:t>；</w:t>
            </w:r>
            <w:r>
              <w:rPr>
                <w:rFonts w:hint="eastAsia" w:ascii="宋体" w:hAnsi="宋体" w:eastAsia="宋体" w:cs="宋体"/>
                <w:sz w:val="18"/>
                <w:szCs w:val="18"/>
              </w:rPr>
              <w:t>2.将审核结论及时提供给保障金征收机关</w:t>
            </w:r>
            <w:r>
              <w:rPr>
                <w:rFonts w:hint="eastAsia" w:ascii="宋体" w:hAnsi="宋体" w:cs="宋体"/>
                <w:sz w:val="18"/>
                <w:szCs w:val="18"/>
              </w:rPr>
              <w:t>；</w:t>
            </w:r>
            <w:r>
              <w:rPr>
                <w:rFonts w:hint="default" w:ascii="宋体" w:hAnsi="宋体" w:cs="宋体"/>
                <w:sz w:val="18"/>
                <w:szCs w:val="18"/>
              </w:rPr>
              <w:t>3.</w:t>
            </w:r>
            <w:r>
              <w:rPr>
                <w:rFonts w:hint="eastAsia" w:ascii="宋体" w:hAnsi="宋体" w:cs="宋体"/>
                <w:sz w:val="18"/>
                <w:szCs w:val="18"/>
                <w:lang w:val="en-US"/>
              </w:rPr>
              <w:t>事中事后监管责任。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残疾人就业条例》（中华人民共和国国务院令第488号）</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《残疾人就业保障金征收使用管理办法》（财税〔2015〕72号）</w:t>
            </w:r>
          </w:p>
        </w:tc>
      </w:tr>
      <w:tr>
        <w:trPr>
          <w:cantSplit/>
          <w:trHeight w:val="559" w:hRule="atLeast"/>
          <w:jc w:val="center"/>
        </w:trPr>
        <w:tc>
          <w:tcPr>
            <w:tcW w:w="14085" w:type="dxa"/>
            <w:gridSpan w:val="6"/>
            <w:tcBorders>
              <w:top w:val="single" w:color="000000" w:sz="4" w:space="0"/>
              <w:left w:val="single" w:color="000000" w:sz="8" w:space="0"/>
              <w:bottom w:val="single" w:color="000000" w:sz="4" w:space="0"/>
              <w:right w:val="single" w:color="000000" w:sz="8"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cs="宋体"/>
                <w:b/>
                <w:bCs/>
                <w:kern w:val="0"/>
                <w:sz w:val="18"/>
                <w:szCs w:val="18"/>
                <w:lang w:val="en-US"/>
              </w:rPr>
              <w:t>三</w:t>
            </w:r>
            <w:r>
              <w:rPr>
                <w:rFonts w:hint="eastAsia" w:ascii="宋体" w:hAnsi="宋体" w:eastAsia="宋体" w:cs="宋体"/>
                <w:b/>
                <w:bCs/>
                <w:kern w:val="0"/>
                <w:sz w:val="18"/>
                <w:szCs w:val="18"/>
              </w:rPr>
              <w:t>、行政</w:t>
            </w:r>
            <w:r>
              <w:rPr>
                <w:rFonts w:hint="eastAsia" w:ascii="宋体" w:hAnsi="宋体" w:cs="宋体"/>
                <w:b/>
                <w:bCs/>
                <w:kern w:val="0"/>
                <w:sz w:val="18"/>
                <w:szCs w:val="18"/>
                <w:lang w:val="en-US"/>
              </w:rPr>
              <w:t>给付</w:t>
            </w:r>
            <w:r>
              <w:rPr>
                <w:rFonts w:hint="eastAsia" w:ascii="宋体" w:hAnsi="宋体" w:eastAsia="宋体" w:cs="宋体"/>
                <w:b/>
                <w:bCs/>
                <w:kern w:val="0"/>
                <w:sz w:val="18"/>
                <w:szCs w:val="18"/>
              </w:rPr>
              <w:t>类（</w:t>
            </w:r>
            <w:r>
              <w:rPr>
                <w:rFonts w:hint="default" w:ascii="宋体" w:hAnsi="宋体" w:cs="宋体"/>
                <w:b/>
                <w:bCs/>
                <w:kern w:val="0"/>
                <w:sz w:val="18"/>
                <w:szCs w:val="18"/>
                <w:lang w:eastAsia="zh-CN"/>
              </w:rPr>
              <w:t>9</w:t>
            </w:r>
            <w:r>
              <w:rPr>
                <w:rFonts w:hint="eastAsia" w:ascii="宋体" w:hAnsi="宋体" w:eastAsia="宋体" w:cs="宋体"/>
                <w:b/>
                <w:bCs/>
                <w:kern w:val="0"/>
                <w:sz w:val="18"/>
                <w:szCs w:val="18"/>
              </w:rPr>
              <w:t>项）</w:t>
            </w:r>
          </w:p>
        </w:tc>
      </w:tr>
      <w:tr>
        <w:trPr>
          <w:cantSplit/>
          <w:trHeight w:val="559"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序号</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职权</w:t>
            </w:r>
          </w:p>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类型</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项目名称</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职权依据</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责任事项</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rPr>
            </w:pPr>
            <w:r>
              <w:rPr>
                <w:rFonts w:hint="eastAsia" w:ascii="宋体" w:hAnsi="宋体" w:eastAsia="宋体" w:cs="宋体"/>
                <w:kern w:val="0"/>
                <w:sz w:val="18"/>
                <w:szCs w:val="18"/>
              </w:rPr>
              <w:t>责任事项依据</w:t>
            </w:r>
          </w:p>
        </w:tc>
      </w:tr>
      <w:tr>
        <w:trPr>
          <w:cantSplit/>
          <w:trHeight w:val="559"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2"/>
                <w:sz w:val="18"/>
                <w:szCs w:val="18"/>
                <w:lang w:eastAsia="zh-CN" w:bidi="ar-SA"/>
              </w:rPr>
            </w:pPr>
            <w:r>
              <w:rPr>
                <w:rFonts w:hint="default" w:ascii="宋体" w:hAnsi="宋体" w:cs="宋体"/>
                <w:sz w:val="18"/>
                <w:szCs w:val="18"/>
                <w:lang w:eastAsia="zh-CN"/>
              </w:rPr>
              <w:t>1</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kern w:val="0"/>
                <w:sz w:val="18"/>
                <w:szCs w:val="18"/>
                <w:lang w:eastAsia="zh-CN"/>
              </w:rPr>
              <w:t>残疾人法律救助</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rPr>
              <w:t>《</w:t>
            </w:r>
            <w:r>
              <w:rPr>
                <w:rFonts w:hint="eastAsia" w:ascii="宋体" w:hAnsi="宋体" w:eastAsia="宋体" w:cs="宋体"/>
                <w:sz w:val="18"/>
                <w:szCs w:val="18"/>
                <w:lang w:val="en-US" w:eastAsia="zh-CN"/>
              </w:rPr>
              <w:t>最高人民法院、最高人民检察院、公安部、司法部、民政部、人力资源和社会保障部、教育部、卫生部、中国残联关于加强残疾人法律救助工作的意见》</w:t>
            </w:r>
            <w:r>
              <w:rPr>
                <w:rFonts w:hint="eastAsia" w:ascii="宋体" w:hAnsi="宋体" w:eastAsia="宋体" w:cs="宋体"/>
                <w:sz w:val="18"/>
                <w:szCs w:val="18"/>
                <w:lang w:val="en-US"/>
              </w:rPr>
              <w:t>（残联发〔2009〕10号）全文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1.成立残疾人法律救助工作协调机构（残疾人法律救助工作站等）</w:t>
            </w:r>
            <w:r>
              <w:rPr>
                <w:rFonts w:hint="eastAsia" w:ascii="宋体" w:hAnsi="宋体" w:cs="宋体"/>
                <w:sz w:val="18"/>
                <w:szCs w:val="18"/>
                <w:lang w:eastAsia="zh-CN"/>
              </w:rPr>
              <w:t>；</w:t>
            </w:r>
            <w:r>
              <w:rPr>
                <w:rFonts w:hint="eastAsia" w:ascii="宋体" w:hAnsi="宋体" w:eastAsia="宋体" w:cs="宋体"/>
                <w:sz w:val="18"/>
                <w:szCs w:val="18"/>
              </w:rPr>
              <w:t>2.为残疾人提供法律救助服务，残疾人法律救助的内容包括但不限于咨询、代书、调解、协调、代理等</w:t>
            </w:r>
            <w:r>
              <w:rPr>
                <w:rFonts w:hint="eastAsia" w:ascii="宋体" w:hAnsi="宋体" w:cs="宋体"/>
                <w:sz w:val="18"/>
                <w:szCs w:val="18"/>
              </w:rPr>
              <w:t>；</w:t>
            </w:r>
            <w:r>
              <w:rPr>
                <w:rFonts w:hint="default" w:ascii="宋体" w:hAnsi="宋体" w:cs="宋体"/>
                <w:sz w:val="18"/>
                <w:szCs w:val="18"/>
              </w:rPr>
              <w:t>3.</w:t>
            </w:r>
            <w:r>
              <w:rPr>
                <w:rFonts w:hint="eastAsia" w:ascii="宋体" w:hAnsi="宋体" w:eastAsia="宋体" w:cs="宋体"/>
                <w:sz w:val="18"/>
                <w:szCs w:val="18"/>
              </w:rPr>
              <w:t>法律法规规章文件规定应履行的其他责任。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《关于加强残疾人法律救助工作的意见》</w:t>
            </w:r>
          </w:p>
        </w:tc>
      </w:tr>
      <w:tr>
        <w:trPr>
          <w:cantSplit/>
          <w:trHeight w:val="4288"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2"/>
                <w:sz w:val="18"/>
                <w:szCs w:val="18"/>
                <w:lang w:eastAsia="zh-CN" w:bidi="ar-SA"/>
              </w:rPr>
            </w:pPr>
            <w:r>
              <w:rPr>
                <w:rFonts w:hint="default" w:ascii="宋体" w:hAnsi="宋体" w:cs="宋体"/>
                <w:sz w:val="18"/>
                <w:szCs w:val="18"/>
                <w:lang w:eastAsia="zh-CN"/>
              </w:rPr>
              <w:t>2</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困难</w:t>
            </w:r>
            <w:r>
              <w:rPr>
                <w:rFonts w:hint="eastAsia" w:ascii="宋体" w:hAnsi="宋体" w:eastAsia="宋体" w:cs="宋体"/>
                <w:sz w:val="18"/>
                <w:szCs w:val="18"/>
              </w:rPr>
              <w:t>残疾人家庭无障碍改造</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 xml:space="preserve">《无障碍环境建设条例》（国务院令〔2012〕第622号）第二十九条  对需要进行无障碍设施改造的贫困家庭，县级以上地方人民政府可以给予适当补助。《湖南省实施&lt;中华人民共和国残疾人保障法&gt;办法》第三十五条   县级以上人民政府应当对无障碍环境建设进行统筹规划，将无障碍环境建设纳入城乡建设规划内容，推进无障碍环境建设的系统化、科学化。新建、扩建、改建城市道路、公共建筑、公共交通设施、居住建筑、居住区应当符合无障碍设施工程建设标准。无障碍设施工程应当与主体工程同步设计、同步施工、同步验收投入使用。县级以上人民政府应当逐步推进已建成设施的无障碍改造，优先推进社区、学校、福利机构、大中型商场以及公园、旅游景区等公共场所无障碍设施的建设和改造，并为困难残疾人家庭住宅无障碍设施改造提供资助。 </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default" w:ascii="宋体" w:hAnsi="宋体" w:cs="宋体"/>
                <w:sz w:val="18"/>
                <w:szCs w:val="18"/>
              </w:rPr>
              <w:t>1.</w:t>
            </w:r>
            <w:r>
              <w:rPr>
                <w:rFonts w:hint="eastAsia" w:ascii="宋体" w:hAnsi="宋体" w:eastAsia="宋体" w:cs="宋体"/>
                <w:sz w:val="18"/>
                <w:szCs w:val="18"/>
              </w:rPr>
              <w:t>为困难残疾人家庭住宅无障碍设施改造提供资助</w:t>
            </w:r>
            <w:r>
              <w:rPr>
                <w:rFonts w:hint="eastAsia" w:ascii="宋体" w:hAnsi="宋体" w:cs="宋体"/>
                <w:sz w:val="18"/>
                <w:szCs w:val="18"/>
              </w:rPr>
              <w:t>；</w:t>
            </w:r>
            <w:r>
              <w:rPr>
                <w:rFonts w:hint="default" w:ascii="宋体" w:hAnsi="宋体" w:cs="宋体"/>
                <w:sz w:val="18"/>
                <w:szCs w:val="18"/>
              </w:rPr>
              <w:t>2.</w:t>
            </w:r>
            <w:r>
              <w:rPr>
                <w:rFonts w:hint="eastAsia" w:ascii="宋体" w:hAnsi="宋体" w:cs="宋体"/>
                <w:sz w:val="18"/>
                <w:szCs w:val="18"/>
                <w:lang w:val="en-US"/>
              </w:rPr>
              <w:t>事中事后</w:t>
            </w:r>
            <w:r>
              <w:rPr>
                <w:rFonts w:hint="eastAsia" w:ascii="宋体" w:hAnsi="宋体" w:eastAsia="宋体" w:cs="宋体"/>
                <w:sz w:val="18"/>
                <w:szCs w:val="18"/>
              </w:rPr>
              <w:t>监督管理责任。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《无障碍环境建设条例》（国务院令〔2012〕第622号）</w:t>
            </w:r>
          </w:p>
        </w:tc>
      </w:tr>
      <w:tr>
        <w:trPr>
          <w:cantSplit/>
          <w:trHeight w:val="2402"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2"/>
                <w:sz w:val="18"/>
                <w:szCs w:val="18"/>
                <w:lang w:eastAsia="zh-CN" w:bidi="ar-SA"/>
              </w:rPr>
            </w:pPr>
            <w:r>
              <w:rPr>
                <w:rFonts w:hint="default" w:ascii="宋体" w:hAnsi="宋体" w:cs="宋体"/>
                <w:sz w:val="18"/>
                <w:szCs w:val="18"/>
                <w:lang w:eastAsia="zh-CN"/>
              </w:rPr>
              <w:t>3</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残疾人机动车轮椅车燃油补贴</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《国家财政部、中国残疾人联合会关于残疾人机动轮椅车燃油补贴的通知》（财社〔2010〕第256号）全文。《湖南省财政厅、湖南省残疾人联合会关于残疾人机动轮椅车燃油补贴的通知》全文。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default" w:ascii="宋体" w:hAnsi="宋体" w:cs="宋体"/>
                <w:sz w:val="18"/>
                <w:szCs w:val="18"/>
              </w:rPr>
              <w:t>1.</w:t>
            </w:r>
            <w:r>
              <w:rPr>
                <w:rFonts w:hint="eastAsia" w:ascii="宋体" w:hAnsi="宋体" w:eastAsia="宋体" w:cs="宋体"/>
                <w:sz w:val="18"/>
                <w:szCs w:val="18"/>
              </w:rPr>
              <w:t>负责残疾人机动车轮椅车燃油补贴对象审核</w:t>
            </w:r>
            <w:r>
              <w:rPr>
                <w:rFonts w:hint="eastAsia" w:ascii="宋体" w:hAnsi="宋体" w:cs="宋体"/>
                <w:sz w:val="18"/>
                <w:szCs w:val="18"/>
              </w:rPr>
              <w:t>；</w:t>
            </w:r>
            <w:r>
              <w:rPr>
                <w:rFonts w:hint="default" w:ascii="宋体" w:hAnsi="宋体" w:cs="宋体"/>
                <w:sz w:val="18"/>
                <w:szCs w:val="18"/>
              </w:rPr>
              <w:t>2.</w:t>
            </w:r>
            <w:r>
              <w:rPr>
                <w:rFonts w:hint="eastAsia" w:ascii="宋体" w:hAnsi="宋体" w:eastAsia="宋体" w:cs="宋体"/>
                <w:sz w:val="18"/>
                <w:szCs w:val="18"/>
              </w:rPr>
              <w:t>补贴资金发放管理</w:t>
            </w:r>
            <w:r>
              <w:rPr>
                <w:rFonts w:hint="eastAsia" w:ascii="宋体" w:hAnsi="宋体" w:cs="宋体"/>
                <w:sz w:val="18"/>
                <w:szCs w:val="18"/>
              </w:rPr>
              <w:t>；</w:t>
            </w:r>
            <w:r>
              <w:rPr>
                <w:rFonts w:hint="default" w:ascii="宋体" w:hAnsi="宋体" w:cs="宋体"/>
                <w:sz w:val="18"/>
                <w:szCs w:val="18"/>
              </w:rPr>
              <w:t>3.</w:t>
            </w:r>
            <w:r>
              <w:rPr>
                <w:rFonts w:hint="eastAsia" w:ascii="宋体" w:hAnsi="宋体" w:eastAsia="宋体" w:cs="宋体"/>
                <w:sz w:val="18"/>
                <w:szCs w:val="18"/>
              </w:rPr>
              <w:t>相关数据的统计、上报工作</w:t>
            </w:r>
            <w:r>
              <w:rPr>
                <w:rFonts w:hint="eastAsia" w:ascii="宋体" w:hAnsi="宋体" w:cs="宋体"/>
                <w:sz w:val="18"/>
                <w:szCs w:val="18"/>
              </w:rPr>
              <w:t>；</w:t>
            </w:r>
            <w:r>
              <w:rPr>
                <w:rFonts w:hint="default" w:ascii="宋体" w:hAnsi="宋体" w:cs="宋体"/>
                <w:sz w:val="18"/>
                <w:szCs w:val="18"/>
              </w:rPr>
              <w:t>4.</w:t>
            </w:r>
            <w:r>
              <w:rPr>
                <w:rFonts w:hint="eastAsia" w:ascii="宋体" w:hAnsi="宋体" w:cs="宋体"/>
                <w:sz w:val="18"/>
                <w:szCs w:val="18"/>
                <w:lang w:val="en-US"/>
              </w:rPr>
              <w:t>事中事后</w:t>
            </w:r>
            <w:r>
              <w:rPr>
                <w:rFonts w:hint="eastAsia" w:ascii="宋体" w:hAnsi="宋体" w:eastAsia="宋体" w:cs="宋体"/>
                <w:sz w:val="18"/>
                <w:szCs w:val="18"/>
              </w:rPr>
              <w:t>监督管理责任。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《国家财政部、中国残疾人联合会关于残疾人机动轮椅车燃油补贴的通知》（财社〔2010〕第256号）</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《湖南省财政厅、湖南省残疾人联合会关于残疾人机动轮椅车燃油补贴的通知》</w:t>
            </w:r>
          </w:p>
        </w:tc>
      </w:tr>
      <w:tr>
        <w:trPr>
          <w:cantSplit/>
          <w:trHeight w:val="4954"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default" w:ascii="宋体" w:hAnsi="宋体" w:eastAsia="宋体" w:cs="宋体"/>
                <w:kern w:val="2"/>
                <w:sz w:val="18"/>
                <w:szCs w:val="18"/>
                <w:lang w:eastAsia="zh-CN" w:bidi="ar-SA"/>
              </w:rPr>
            </w:pPr>
            <w:r>
              <w:rPr>
                <w:rFonts w:hint="default" w:ascii="宋体" w:hAnsi="宋体" w:cs="宋体"/>
                <w:sz w:val="18"/>
                <w:szCs w:val="18"/>
                <w:lang w:eastAsia="zh-CN"/>
              </w:rPr>
              <w:t>4</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残疾人创业小额贷款贴息</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《中华人民共和国残疾人保障法》（中华人民共和国主席令〔2018〕第16号）第三十六条  国家对安排残疾人就业达到、超过规定比例或者集中安排残疾人就业的用人单位和从事个体经营的残疾人，依法给予税收优惠，并在生产、经营、技术、资金、物资、场地等方面给予扶持。国家对从事个体经营的残疾人，免除行政事业性收费。 县级以上地方人民政府及其有关部门应当确定适合残疾人生产、经营的产品、项目，优先安排残疾人福利性单位生产或者经营，并根据残疾人福利性单位的生产特点确定某些产品由其专产。 政府采购，在同等条件下应当优先购买残疾人福利性单位的产品或者服务。 地方各级人民政府应当开发适合残疾人就业的公益性岗位。 对申请从事个体经营的残疾人，有关部门应当优先核发营业执照。 对从事各类生产劳动的农村残疾人，有关部门应当在生产服务、技术指导、农用物资供应、农副产品购销和信贷等方面，给予帮助。 《关于印发&lt;湖南省残疾人创业小额贷款贴息项目方案&gt;的通知》（湘残联字〔2014〕第31号）全文。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1.组织贴息审查</w:t>
            </w:r>
            <w:r>
              <w:rPr>
                <w:rFonts w:hint="eastAsia" w:ascii="宋体" w:hAnsi="宋体" w:cs="宋体"/>
                <w:sz w:val="18"/>
                <w:szCs w:val="18"/>
                <w:lang w:eastAsia="zh-CN"/>
              </w:rPr>
              <w:t>；</w:t>
            </w:r>
            <w:r>
              <w:rPr>
                <w:rFonts w:hint="eastAsia" w:ascii="宋体" w:hAnsi="宋体" w:eastAsia="宋体" w:cs="宋体"/>
                <w:sz w:val="18"/>
                <w:szCs w:val="18"/>
              </w:rPr>
              <w:t>2.贴息资金核拨</w:t>
            </w:r>
            <w:r>
              <w:rPr>
                <w:rFonts w:hint="eastAsia" w:ascii="宋体" w:hAnsi="宋体" w:cs="宋体"/>
                <w:sz w:val="18"/>
                <w:szCs w:val="18"/>
                <w:lang w:eastAsia="zh-CN"/>
              </w:rPr>
              <w:t>；</w:t>
            </w:r>
            <w:r>
              <w:rPr>
                <w:rFonts w:hint="eastAsia" w:ascii="宋体" w:hAnsi="宋体" w:eastAsia="宋体" w:cs="宋体"/>
                <w:sz w:val="18"/>
                <w:szCs w:val="18"/>
              </w:rPr>
              <w:t>3.贴息对象回访</w:t>
            </w:r>
            <w:r>
              <w:rPr>
                <w:rFonts w:hint="eastAsia" w:ascii="宋体" w:hAnsi="宋体" w:cs="宋体"/>
                <w:sz w:val="18"/>
                <w:szCs w:val="18"/>
                <w:lang w:eastAsia="zh-CN"/>
              </w:rPr>
              <w:t>；</w:t>
            </w:r>
            <w:r>
              <w:rPr>
                <w:rFonts w:hint="eastAsia" w:ascii="宋体" w:hAnsi="宋体" w:eastAsia="宋体" w:cs="宋体"/>
                <w:sz w:val="18"/>
                <w:szCs w:val="18"/>
              </w:rPr>
              <w:t>4.会同县财政做好年度贴息资金决算</w:t>
            </w:r>
            <w:r>
              <w:rPr>
                <w:rFonts w:hint="eastAsia" w:ascii="宋体" w:hAnsi="宋体" w:cs="宋体"/>
                <w:sz w:val="18"/>
                <w:szCs w:val="18"/>
              </w:rPr>
              <w:t>；</w:t>
            </w:r>
            <w:r>
              <w:rPr>
                <w:rFonts w:hint="default" w:ascii="宋体" w:hAnsi="宋体" w:cs="宋体"/>
                <w:sz w:val="18"/>
                <w:szCs w:val="18"/>
              </w:rPr>
              <w:t>5.</w:t>
            </w:r>
            <w:r>
              <w:rPr>
                <w:rFonts w:hint="eastAsia" w:ascii="宋体" w:hAnsi="宋体" w:cs="宋体"/>
                <w:sz w:val="18"/>
                <w:szCs w:val="18"/>
                <w:lang w:val="en-US"/>
              </w:rPr>
              <w:t>事中事后</w:t>
            </w:r>
            <w:r>
              <w:rPr>
                <w:rFonts w:hint="eastAsia" w:ascii="宋体" w:hAnsi="宋体" w:eastAsia="宋体" w:cs="宋体"/>
                <w:sz w:val="18"/>
                <w:szCs w:val="18"/>
              </w:rPr>
              <w:t>监督管理责任。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《中华人民共和国残疾人保障法》（中华人民共和国主席令〔2018〕第16号）</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《关于印发&lt;湖南省残疾人创业小额贷款贴息项目方案&gt;的通知》（湘残联字〔2014〕第31号）</w:t>
            </w:r>
          </w:p>
        </w:tc>
      </w:tr>
      <w:tr>
        <w:trPr>
          <w:cantSplit/>
          <w:trHeight w:val="90"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default" w:ascii="宋体" w:hAnsi="宋体" w:eastAsia="宋体" w:cs="宋体"/>
                <w:kern w:val="2"/>
                <w:sz w:val="18"/>
                <w:szCs w:val="18"/>
                <w:lang w:eastAsia="zh-CN" w:bidi="ar-SA"/>
              </w:rPr>
            </w:pPr>
            <w:r>
              <w:rPr>
                <w:rFonts w:hint="default" w:ascii="宋体" w:hAnsi="宋体" w:cs="宋体"/>
                <w:sz w:val="18"/>
                <w:szCs w:val="18"/>
                <w:lang w:eastAsia="zh-CN"/>
              </w:rPr>
              <w:t>5</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残疾人大学生及贫困残疾人家庭子女大学生资助</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《关于印发 &lt;湖南省残疾人大学生及贫困残疾人家庭大学生子女资助管理办法&gt;的通知》（湘残联字〔2012〕第57号）全文。《关于调整&lt;残疾人大学生及贫困残疾人家庭大学生子女资助办法&gt;的通知》（暂无）全文。《关于印发&lt;湖南省高中阶段残疾学生和高中阶段贫困残疾人家庭子女资助管理办法&gt;的通知》（湘残联字〔2015〕第17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1.对申请对象资格进行审批2.公示拟资助对象</w:t>
            </w:r>
            <w:r>
              <w:rPr>
                <w:rFonts w:hint="eastAsia" w:ascii="宋体" w:hAnsi="宋体" w:cs="宋体"/>
                <w:sz w:val="18"/>
                <w:szCs w:val="18"/>
                <w:lang w:eastAsia="zh-CN"/>
              </w:rPr>
              <w:t>；</w:t>
            </w:r>
            <w:r>
              <w:rPr>
                <w:rFonts w:hint="eastAsia" w:ascii="宋体" w:hAnsi="宋体" w:eastAsia="宋体" w:cs="宋体"/>
                <w:sz w:val="18"/>
                <w:szCs w:val="18"/>
              </w:rPr>
              <w:t>3.公示期满后作出资助决定</w:t>
            </w:r>
            <w:r>
              <w:rPr>
                <w:rFonts w:hint="eastAsia" w:ascii="宋体" w:hAnsi="宋体" w:cs="宋体"/>
                <w:sz w:val="18"/>
                <w:szCs w:val="18"/>
                <w:lang w:eastAsia="zh-CN"/>
              </w:rPr>
              <w:t>；</w:t>
            </w:r>
            <w:r>
              <w:rPr>
                <w:rFonts w:hint="eastAsia" w:ascii="宋体" w:hAnsi="宋体" w:eastAsia="宋体" w:cs="宋体"/>
                <w:sz w:val="18"/>
                <w:szCs w:val="18"/>
              </w:rPr>
              <w:t>4.将资助方案提交县级财政局审核</w:t>
            </w:r>
            <w:r>
              <w:rPr>
                <w:rFonts w:hint="eastAsia" w:ascii="宋体" w:hAnsi="宋体" w:cs="宋体"/>
                <w:sz w:val="18"/>
                <w:szCs w:val="18"/>
                <w:lang w:eastAsia="zh-CN"/>
              </w:rPr>
              <w:t>；</w:t>
            </w:r>
            <w:r>
              <w:rPr>
                <w:rFonts w:hint="eastAsia" w:ascii="宋体" w:hAnsi="宋体" w:eastAsia="宋体" w:cs="宋体"/>
                <w:sz w:val="18"/>
                <w:szCs w:val="18"/>
              </w:rPr>
              <w:t>5.发放资助资金，并建档立卡</w:t>
            </w:r>
            <w:r>
              <w:rPr>
                <w:rFonts w:hint="eastAsia" w:ascii="宋体" w:hAnsi="宋体" w:cs="宋体"/>
                <w:sz w:val="18"/>
                <w:szCs w:val="18"/>
              </w:rPr>
              <w:t>；</w:t>
            </w:r>
            <w:r>
              <w:rPr>
                <w:rFonts w:hint="default" w:ascii="宋体" w:hAnsi="宋体" w:cs="宋体"/>
                <w:sz w:val="18"/>
                <w:szCs w:val="18"/>
              </w:rPr>
              <w:t>6.</w:t>
            </w:r>
            <w:r>
              <w:rPr>
                <w:rFonts w:hint="eastAsia" w:ascii="宋体" w:hAnsi="宋体" w:cs="宋体"/>
                <w:sz w:val="18"/>
                <w:szCs w:val="18"/>
                <w:lang w:val="en-US"/>
              </w:rPr>
              <w:t>事中事后</w:t>
            </w:r>
            <w:r>
              <w:rPr>
                <w:rFonts w:hint="eastAsia" w:ascii="宋体" w:hAnsi="宋体" w:eastAsia="宋体" w:cs="宋体"/>
                <w:sz w:val="18"/>
                <w:szCs w:val="18"/>
              </w:rPr>
              <w:t>监督管理责任。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《关于印发 &lt;湖南省残疾人大学生及贫困残疾人家庭大学生子女资助管理办法&gt;的通知》（湘残联字〔2012〕第57号）</w:t>
            </w:r>
            <w:r>
              <w:rPr>
                <w:rFonts w:hint="eastAsia" w:ascii="宋体" w:hAnsi="宋体" w:cs="宋体"/>
                <w:sz w:val="18"/>
                <w:szCs w:val="18"/>
              </w:rPr>
              <w:t>；</w:t>
            </w:r>
            <w:r>
              <w:rPr>
                <w:rFonts w:hint="eastAsia" w:ascii="宋体" w:hAnsi="宋体" w:eastAsia="宋体" w:cs="宋体"/>
                <w:sz w:val="18"/>
                <w:szCs w:val="18"/>
                <w:lang w:val="en-US" w:eastAsia="zh-CN"/>
              </w:rPr>
              <w:t>《关于调整&lt;残疾人大学生及贫困残疾人家庭大学生子女资助办法&gt;的通知》</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《关于印发&lt;湖南省高中阶段残疾学生和高中阶段贫困残疾人家庭子女资助管理办法&gt;的通知》（湘残联字〔2015〕第17号）</w:t>
            </w:r>
          </w:p>
        </w:tc>
      </w:tr>
      <w:tr>
        <w:trPr>
          <w:cantSplit/>
          <w:trHeight w:val="3630"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2"/>
                <w:sz w:val="18"/>
                <w:szCs w:val="18"/>
                <w:lang w:eastAsia="zh-CN" w:bidi="ar-SA"/>
              </w:rPr>
            </w:pPr>
            <w:r>
              <w:rPr>
                <w:rFonts w:hint="default" w:ascii="宋体" w:hAnsi="宋体" w:cs="宋体"/>
                <w:sz w:val="18"/>
                <w:szCs w:val="18"/>
                <w:lang w:eastAsia="zh-CN"/>
              </w:rPr>
              <w:t>6</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b w:val="0"/>
                <w:i w:val="0"/>
                <w:color w:val="393939"/>
                <w:sz w:val="18"/>
                <w:szCs w:val="18"/>
                <w:shd w:val="clear" w:color="auto" w:fill="FFFFFF"/>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残疾儿童康复救助</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val="0"/>
              <w:wordWrap/>
              <w:adjustRightInd/>
              <w:snapToGrid/>
              <w:spacing w:line="360" w:lineRule="exact"/>
              <w:ind w:left="0" w:leftChars="0" w:right="0" w:firstLine="0" w:firstLineChars="0"/>
              <w:outlineLvl w:val="9"/>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《湖南省人民政府关于建立残疾儿童康复救助制度的实施意见》（湘政发〔2018〕23号）全文。</w:t>
            </w:r>
            <w:r>
              <w:rPr>
                <w:rFonts w:hint="eastAsia" w:ascii="宋体" w:hAnsi="宋体" w:cs="宋体"/>
                <w:sz w:val="18"/>
                <w:szCs w:val="18"/>
                <w:lang w:val="en-US" w:eastAsia="zh-CN"/>
              </w:rPr>
              <w:t>安化县人民政府关于印发</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安化县残疾儿童康复救助实施办法</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的通知（安政发</w:t>
            </w:r>
            <w:r>
              <w:rPr>
                <w:rFonts w:hint="eastAsia" w:ascii="宋体" w:hAnsi="宋体" w:eastAsia="宋体" w:cs="宋体"/>
                <w:sz w:val="18"/>
                <w:szCs w:val="18"/>
              </w:rPr>
              <w:t>〔201</w:t>
            </w:r>
            <w:r>
              <w:rPr>
                <w:rFonts w:hint="eastAsia" w:ascii="宋体" w:hAnsi="宋体" w:cs="宋体"/>
                <w:sz w:val="18"/>
                <w:szCs w:val="18"/>
                <w:lang w:val="en-US" w:eastAsia="zh-CN"/>
              </w:rPr>
              <w:t>9</w:t>
            </w:r>
            <w:r>
              <w:rPr>
                <w:rFonts w:hint="eastAsia" w:ascii="宋体" w:hAnsi="宋体" w:eastAsia="宋体" w:cs="宋体"/>
                <w:sz w:val="18"/>
                <w:szCs w:val="18"/>
              </w:rPr>
              <w:t>〕</w:t>
            </w:r>
            <w:r>
              <w:rPr>
                <w:rFonts w:hint="eastAsia" w:ascii="宋体" w:hAnsi="宋体" w:cs="宋体"/>
                <w:sz w:val="18"/>
                <w:szCs w:val="18"/>
                <w:lang w:val="en-US" w:eastAsia="zh-CN"/>
              </w:rPr>
              <w:t>6号</w:t>
            </w:r>
            <w:r>
              <w:rPr>
                <w:rFonts w:hint="eastAsia" w:ascii="宋体" w:hAnsi="宋体" w:eastAsia="宋体" w:cs="宋体"/>
                <w:sz w:val="18"/>
                <w:szCs w:val="18"/>
              </w:rPr>
              <w:t>）</w:t>
            </w:r>
            <w:r>
              <w:rPr>
                <w:rFonts w:hint="eastAsia" w:ascii="宋体" w:hAnsi="宋体" w:cs="宋体"/>
                <w:sz w:val="18"/>
                <w:szCs w:val="18"/>
                <w:lang w:eastAsia="zh-CN"/>
              </w:rPr>
              <w:t>全文。</w:t>
            </w:r>
          </w:p>
          <w:p>
            <w:pPr>
              <w:widowControl w:val="0"/>
              <w:wordWrap/>
              <w:adjustRightInd/>
              <w:snapToGrid/>
              <w:spacing w:line="360" w:lineRule="exact"/>
              <w:ind w:left="0" w:leftChars="0" w:right="0" w:firstLine="0" w:firstLineChars="0"/>
              <w:outlineLvl w:val="9"/>
              <w:rPr>
                <w:rFonts w:hint="eastAsia" w:ascii="宋体" w:hAnsi="宋体" w:eastAsia="宋体" w:cs="宋体"/>
                <w:kern w:val="2"/>
                <w:sz w:val="18"/>
                <w:szCs w:val="18"/>
                <w:lang w:val="en-US" w:eastAsia="zh-CN" w:bidi="ar-SA"/>
              </w:rPr>
            </w:pP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rPr>
              <w:t>1.救助对象资格审查认定。对符合条件的予以批准，对不符合条件的不予以批准并向申请人说明理由</w:t>
            </w:r>
            <w:r>
              <w:rPr>
                <w:rFonts w:hint="eastAsia" w:ascii="宋体" w:hAnsi="宋体" w:cs="宋体"/>
                <w:sz w:val="18"/>
                <w:szCs w:val="18"/>
                <w:lang w:eastAsia="zh-CN"/>
              </w:rPr>
              <w:t>；</w:t>
            </w:r>
            <w:r>
              <w:rPr>
                <w:rFonts w:hint="eastAsia" w:ascii="宋体" w:hAnsi="宋体" w:eastAsia="宋体" w:cs="宋体"/>
                <w:sz w:val="18"/>
                <w:szCs w:val="18"/>
              </w:rPr>
              <w:t>2.结算救助对象在定点康复机构、福利机构或异地接受康复服务发生的费用</w:t>
            </w:r>
            <w:r>
              <w:rPr>
                <w:rFonts w:hint="eastAsia" w:ascii="宋体" w:hAnsi="宋体" w:cs="宋体"/>
                <w:sz w:val="18"/>
                <w:szCs w:val="18"/>
                <w:lang w:eastAsia="zh-CN"/>
              </w:rPr>
              <w:t>；</w:t>
            </w:r>
            <w:r>
              <w:rPr>
                <w:rFonts w:hint="eastAsia" w:ascii="宋体" w:hAnsi="宋体" w:eastAsia="宋体" w:cs="宋体"/>
                <w:sz w:val="18"/>
                <w:szCs w:val="18"/>
              </w:rPr>
              <w:t>3.</w:t>
            </w:r>
            <w:r>
              <w:rPr>
                <w:rFonts w:hint="eastAsia" w:ascii="宋体" w:hAnsi="宋体" w:cs="宋体"/>
                <w:sz w:val="18"/>
                <w:szCs w:val="18"/>
                <w:lang w:val="en-US"/>
              </w:rPr>
              <w:t>事中</w:t>
            </w:r>
            <w:r>
              <w:rPr>
                <w:rFonts w:hint="eastAsia" w:ascii="宋体" w:hAnsi="宋体" w:eastAsia="宋体" w:cs="宋体"/>
                <w:sz w:val="18"/>
                <w:szCs w:val="18"/>
              </w:rPr>
              <w:t>事后监督管理责任。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sz w:val="18"/>
                <w:szCs w:val="18"/>
              </w:rPr>
            </w:pPr>
            <w:r>
              <w:rPr>
                <w:rFonts w:hint="eastAsia" w:ascii="宋体" w:hAnsi="宋体" w:eastAsia="宋体" w:cs="宋体"/>
                <w:sz w:val="18"/>
                <w:szCs w:val="18"/>
              </w:rPr>
              <w:t>《湖南省人民政府关于建立残疾儿童康复救助制度的实施意见》（湘政发〔2018〕23号）</w:t>
            </w:r>
          </w:p>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w:t>
            </w:r>
            <w:r>
              <w:rPr>
                <w:rFonts w:hint="eastAsia" w:ascii="宋体" w:hAnsi="宋体" w:cs="宋体"/>
                <w:sz w:val="18"/>
                <w:szCs w:val="18"/>
                <w:lang w:val="en-US" w:eastAsia="zh-CN"/>
              </w:rPr>
              <w:t>安化县残疾儿童康复救助实施办法</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（安政发</w:t>
            </w:r>
            <w:r>
              <w:rPr>
                <w:rFonts w:hint="eastAsia" w:ascii="宋体" w:hAnsi="宋体" w:eastAsia="宋体" w:cs="宋体"/>
                <w:sz w:val="18"/>
                <w:szCs w:val="18"/>
              </w:rPr>
              <w:t>〔201</w:t>
            </w:r>
            <w:r>
              <w:rPr>
                <w:rFonts w:hint="eastAsia" w:ascii="宋体" w:hAnsi="宋体" w:cs="宋体"/>
                <w:sz w:val="18"/>
                <w:szCs w:val="18"/>
                <w:lang w:val="en-US" w:eastAsia="zh-CN"/>
              </w:rPr>
              <w:t>9</w:t>
            </w:r>
            <w:r>
              <w:rPr>
                <w:rFonts w:hint="eastAsia" w:ascii="宋体" w:hAnsi="宋体" w:eastAsia="宋体" w:cs="宋体"/>
                <w:sz w:val="18"/>
                <w:szCs w:val="18"/>
              </w:rPr>
              <w:t>〕</w:t>
            </w:r>
            <w:r>
              <w:rPr>
                <w:rFonts w:hint="eastAsia" w:ascii="宋体" w:hAnsi="宋体" w:cs="宋体"/>
                <w:sz w:val="18"/>
                <w:szCs w:val="18"/>
                <w:lang w:val="en-US" w:eastAsia="zh-CN"/>
              </w:rPr>
              <w:t>6号</w:t>
            </w:r>
            <w:r>
              <w:rPr>
                <w:rFonts w:hint="eastAsia" w:ascii="宋体" w:hAnsi="宋体" w:eastAsia="宋体" w:cs="宋体"/>
                <w:sz w:val="18"/>
                <w:szCs w:val="18"/>
              </w:rPr>
              <w:t>）</w:t>
            </w:r>
          </w:p>
        </w:tc>
      </w:tr>
      <w:tr>
        <w:trPr>
          <w:cantSplit/>
          <w:trHeight w:val="90"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jc w:val="center"/>
              <w:textAlignment w:val="center"/>
              <w:rPr>
                <w:rFonts w:hint="default" w:ascii="宋体" w:hAnsi="宋体" w:eastAsia="宋体" w:cs="宋体"/>
                <w:kern w:val="2"/>
                <w:sz w:val="18"/>
                <w:szCs w:val="18"/>
                <w:lang w:eastAsia="zh-CN" w:bidi="ar-SA"/>
              </w:rPr>
            </w:pPr>
            <w:r>
              <w:rPr>
                <w:rFonts w:hint="default" w:ascii="宋体" w:hAnsi="宋体" w:cs="宋体"/>
                <w:sz w:val="18"/>
                <w:szCs w:val="18"/>
                <w:lang w:eastAsia="zh-CN"/>
              </w:rPr>
              <w:t>7</w:t>
            </w:r>
          </w:p>
        </w:tc>
        <w:tc>
          <w:tcPr>
            <w:tcW w:w="1547"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jc w:val="center"/>
              <w:textAlignment w:val="center"/>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残疾人托养服务</w:t>
            </w:r>
          </w:p>
        </w:tc>
        <w:tc>
          <w:tcPr>
            <w:tcW w:w="53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360" w:lineRule="exact"/>
              <w:ind w:left="0" w:leftChars="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《国务院关于印发“十三五”推进基本公共服务均等化规划的通知》（国发〔2017〕第9号）全文。《关于印发&lt;湖南省残疾人托养服务工作实施办法&gt;的通知》（湘残联字〔2012〕第39号）全文。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1.审核、确认托养服务对象资格</w:t>
            </w:r>
            <w:r>
              <w:rPr>
                <w:rFonts w:hint="eastAsia" w:ascii="宋体" w:hAnsi="宋体" w:cs="宋体"/>
                <w:sz w:val="18"/>
                <w:szCs w:val="18"/>
                <w:lang w:eastAsia="zh-CN"/>
              </w:rPr>
              <w:t>；</w:t>
            </w:r>
            <w:r>
              <w:rPr>
                <w:rFonts w:hint="eastAsia" w:ascii="宋体" w:hAnsi="宋体" w:eastAsia="宋体" w:cs="宋体"/>
                <w:sz w:val="18"/>
                <w:szCs w:val="18"/>
              </w:rPr>
              <w:t>2.托养服务机构设立、变更、注销的审批</w:t>
            </w:r>
            <w:r>
              <w:rPr>
                <w:rFonts w:hint="eastAsia" w:ascii="宋体" w:hAnsi="宋体" w:cs="宋体"/>
                <w:sz w:val="18"/>
                <w:szCs w:val="18"/>
                <w:lang w:eastAsia="zh-CN"/>
              </w:rPr>
              <w:t>；</w:t>
            </w:r>
            <w:r>
              <w:rPr>
                <w:rFonts w:hint="eastAsia" w:ascii="宋体" w:hAnsi="宋体" w:eastAsia="宋体" w:cs="宋体"/>
                <w:sz w:val="18"/>
                <w:szCs w:val="18"/>
              </w:rPr>
              <w:t>3.托养服务机构建设奖励审批。</w:t>
            </w:r>
          </w:p>
        </w:tc>
        <w:tc>
          <w:tcPr>
            <w:tcW w:w="2424"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《国务院关于印发“十三五”推进基本公共服务均等化规划的通知》（国发〔2017〕第9号）</w:t>
            </w:r>
            <w:r>
              <w:rPr>
                <w:rFonts w:hint="eastAsia" w:ascii="宋体" w:hAnsi="宋体" w:cs="宋体"/>
                <w:sz w:val="18"/>
                <w:szCs w:val="18"/>
              </w:rPr>
              <w:t>、</w:t>
            </w:r>
            <w:r>
              <w:rPr>
                <w:rFonts w:hint="eastAsia" w:ascii="宋体" w:hAnsi="宋体" w:eastAsia="宋体" w:cs="宋体"/>
                <w:sz w:val="18"/>
                <w:szCs w:val="18"/>
              </w:rPr>
              <w:t>《关于印发&lt;湖南省残疾人托养服务工作实施办法&gt;的通知》（湘残联字〔2012〕第39号）</w:t>
            </w:r>
          </w:p>
        </w:tc>
      </w:tr>
      <w:tr>
        <w:trPr>
          <w:cantSplit/>
          <w:trHeight w:val="6158"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jc w:val="center"/>
              <w:textAlignment w:val="center"/>
              <w:rPr>
                <w:rFonts w:hint="default" w:ascii="宋体" w:hAnsi="宋体" w:eastAsia="宋体" w:cs="宋体"/>
                <w:kern w:val="2"/>
                <w:sz w:val="18"/>
                <w:szCs w:val="18"/>
                <w:lang w:eastAsia="zh-CN" w:bidi="ar-SA"/>
              </w:rPr>
            </w:pPr>
            <w:r>
              <w:rPr>
                <w:rFonts w:hint="default" w:ascii="宋体" w:hAnsi="宋体" w:cs="宋体"/>
                <w:sz w:val="18"/>
                <w:szCs w:val="18"/>
                <w:lang w:eastAsia="zh-CN"/>
              </w:rPr>
              <w:t>8</w:t>
            </w:r>
          </w:p>
        </w:tc>
        <w:tc>
          <w:tcPr>
            <w:tcW w:w="1547"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jc w:val="center"/>
              <w:textAlignment w:val="center"/>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jc w:val="left"/>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残疾人基本康复服务</w:t>
            </w:r>
          </w:p>
        </w:tc>
        <w:tc>
          <w:tcPr>
            <w:tcW w:w="5355" w:type="dxa"/>
            <w:tcBorders>
              <w:top w:val="single" w:color="000000" w:sz="4" w:space="0"/>
              <w:left w:val="single" w:color="000000" w:sz="4" w:space="0"/>
              <w:bottom w:val="single" w:color="000000" w:sz="4" w:space="0"/>
              <w:right w:val="single" w:color="000000" w:sz="4" w:space="0"/>
            </w:tcBorders>
            <w:vAlign w:val="center"/>
          </w:tcPr>
          <w:p>
            <w:pPr>
              <w:wordWrap/>
              <w:adjustRightInd/>
              <w:snapToGrid/>
              <w:spacing w:line="360" w:lineRule="exact"/>
              <w:ind w:left="0" w:leftChars="0" w:right="0" w:firstLine="0" w:firstLineChars="0"/>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《湖南省残疾人精准康复服务实施细则》（湘残联字〔2016〕第34号）全文。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1.制定本地基本康复服务目录和补贴标准</w:t>
            </w:r>
            <w:r>
              <w:rPr>
                <w:rFonts w:hint="eastAsia" w:ascii="宋体" w:hAnsi="宋体" w:cs="宋体"/>
                <w:sz w:val="18"/>
                <w:szCs w:val="18"/>
                <w:lang w:val="en-US" w:eastAsia="zh-CN"/>
              </w:rPr>
              <w:t>;</w:t>
            </w:r>
            <w:r>
              <w:rPr>
                <w:rFonts w:hint="eastAsia" w:ascii="宋体" w:hAnsi="宋体" w:eastAsia="宋体" w:cs="宋体"/>
                <w:sz w:val="18"/>
                <w:szCs w:val="18"/>
              </w:rPr>
              <w:t>2.确定康复服务机构</w:t>
            </w:r>
            <w:r>
              <w:rPr>
                <w:rFonts w:hint="eastAsia" w:ascii="宋体" w:hAnsi="宋体" w:cs="宋体"/>
                <w:sz w:val="18"/>
                <w:szCs w:val="18"/>
                <w:lang w:val="en-US" w:eastAsia="zh-CN"/>
              </w:rPr>
              <w:t>;</w:t>
            </w:r>
            <w:r>
              <w:rPr>
                <w:rFonts w:hint="eastAsia" w:ascii="宋体" w:hAnsi="宋体" w:eastAsia="宋体" w:cs="宋体"/>
                <w:sz w:val="18"/>
                <w:szCs w:val="18"/>
              </w:rPr>
              <w:t>3.负责筹措本级残疾人康复专项资金、多渠道筹集社会资金，统筹使用各级基本康复服务经费，有效整合基本医疗保险、大病保险、医疗救助和其他部门或组织康复服务经费</w:t>
            </w:r>
            <w:r>
              <w:rPr>
                <w:rFonts w:hint="eastAsia" w:ascii="宋体" w:hAnsi="宋体" w:cs="宋体"/>
                <w:sz w:val="18"/>
                <w:szCs w:val="18"/>
                <w:lang w:val="en-US" w:eastAsia="zh-CN"/>
              </w:rPr>
              <w:t>;</w:t>
            </w:r>
            <w:r>
              <w:rPr>
                <w:rFonts w:hint="eastAsia" w:ascii="宋体" w:hAnsi="宋体" w:eastAsia="宋体" w:cs="宋体"/>
                <w:sz w:val="18"/>
                <w:szCs w:val="18"/>
              </w:rPr>
              <w:t>4.开展康复服务</w:t>
            </w:r>
            <w:r>
              <w:rPr>
                <w:rFonts w:hint="eastAsia" w:ascii="宋体" w:hAnsi="宋体" w:cs="宋体"/>
                <w:sz w:val="18"/>
                <w:szCs w:val="18"/>
                <w:lang w:val="en-US" w:eastAsia="zh-CN"/>
              </w:rPr>
              <w:t>;</w:t>
            </w:r>
            <w:r>
              <w:rPr>
                <w:rFonts w:hint="eastAsia" w:ascii="宋体" w:hAnsi="宋体" w:eastAsia="宋体" w:cs="宋体"/>
                <w:sz w:val="18"/>
                <w:szCs w:val="18"/>
              </w:rPr>
              <w:t>5.对康复服务机构、社区康复协调员报送信息进行比对，审核无误后，将相关信息录入残疾人康复台账和残疾人精准康复服务数据库。</w:t>
            </w:r>
          </w:p>
        </w:tc>
        <w:tc>
          <w:tcPr>
            <w:tcW w:w="2424" w:type="dxa"/>
            <w:tcBorders>
              <w:top w:val="single" w:color="000000" w:sz="4" w:space="0"/>
              <w:left w:val="single" w:color="000000" w:sz="4" w:space="0"/>
              <w:bottom w:val="single" w:color="000000" w:sz="4" w:space="0"/>
              <w:right w:val="single" w:color="000000" w:sz="4" w:space="0"/>
            </w:tcBorders>
            <w:vAlign w:val="center"/>
          </w:tcPr>
          <w:p>
            <w:pPr>
              <w:wordWrap/>
              <w:autoSpaceDN w:val="0"/>
              <w:adjustRightInd/>
              <w:snapToGrid/>
              <w:spacing w:line="360" w:lineRule="exact"/>
              <w:ind w:left="0" w:leftChars="0" w:right="0" w:firstLine="0" w:firstLineChars="0"/>
              <w:textAlignment w:val="center"/>
              <w:rPr>
                <w:rFonts w:hint="eastAsia" w:ascii="宋体" w:hAnsi="宋体" w:eastAsia="宋体" w:cs="宋体"/>
                <w:kern w:val="2"/>
                <w:sz w:val="18"/>
                <w:szCs w:val="18"/>
                <w:lang w:val="en-US" w:eastAsia="zh-CN" w:bidi="ar-SA"/>
              </w:rPr>
            </w:pPr>
            <w:r>
              <w:rPr>
                <w:rFonts w:hint="eastAsia" w:ascii="宋体" w:hAnsi="宋体" w:eastAsia="宋体" w:cs="宋体"/>
                <w:sz w:val="18"/>
                <w:szCs w:val="18"/>
              </w:rPr>
              <w:t>《湖南省残疾人精准康复服务实施细则》（湘残联字〔2016〕第34号）</w:t>
            </w:r>
          </w:p>
        </w:tc>
      </w:tr>
      <w:tr>
        <w:trPr>
          <w:cantSplit/>
          <w:trHeight w:val="2701" w:hRule="atLeast"/>
          <w:jc w:val="center"/>
        </w:trPr>
        <w:tc>
          <w:tcPr>
            <w:tcW w:w="724" w:type="dxa"/>
            <w:tcBorders>
              <w:top w:val="single" w:color="000000" w:sz="4" w:space="0"/>
              <w:left w:val="single" w:color="000000" w:sz="8"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default" w:ascii="宋体" w:hAnsi="宋体" w:eastAsia="宋体" w:cs="宋体"/>
                <w:kern w:val="2"/>
                <w:sz w:val="18"/>
                <w:szCs w:val="18"/>
                <w:lang w:eastAsia="zh-CN" w:bidi="ar-SA"/>
              </w:rPr>
            </w:pPr>
            <w:r>
              <w:rPr>
                <w:rFonts w:hint="default" w:ascii="宋体" w:hAnsi="宋体" w:cs="宋体"/>
                <w:kern w:val="2"/>
                <w:sz w:val="18"/>
                <w:szCs w:val="18"/>
                <w:lang w:eastAsia="zh-CN" w:bidi="ar-SA"/>
              </w:rPr>
              <w:t>9</w:t>
            </w:r>
          </w:p>
        </w:tc>
        <w:tc>
          <w:tcPr>
            <w:tcW w:w="1547"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center"/>
              <w:textAlignment w:val="center"/>
              <w:outlineLvl w:val="9"/>
              <w:rPr>
                <w:rFonts w:hint="eastAsia" w:ascii="宋体" w:hAnsi="宋体" w:eastAsia="宋体" w:cs="宋体"/>
                <w:kern w:val="0"/>
                <w:sz w:val="18"/>
                <w:szCs w:val="18"/>
                <w:lang w:val="en-US" w:bidi="ar-SA"/>
              </w:rPr>
            </w:pPr>
            <w:r>
              <w:rPr>
                <w:rFonts w:hint="eastAsia" w:ascii="宋体" w:hAnsi="宋体" w:cs="宋体"/>
                <w:kern w:val="0"/>
                <w:sz w:val="18"/>
                <w:szCs w:val="18"/>
                <w:lang w:val="en-US"/>
              </w:rPr>
              <w:t>行政给付</w:t>
            </w:r>
          </w:p>
        </w:tc>
        <w:tc>
          <w:tcPr>
            <w:tcW w:w="1980"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jc w:val="left"/>
              <w:textAlignment w:val="center"/>
              <w:outlineLvl w:val="9"/>
              <w:rPr>
                <w:rFonts w:hint="eastAsia" w:ascii="宋体" w:hAnsi="宋体" w:eastAsia="宋体" w:cs="宋体"/>
                <w:kern w:val="2"/>
                <w:sz w:val="18"/>
                <w:szCs w:val="18"/>
                <w:lang w:val="en-US" w:eastAsia="zh-CN" w:bidi="ar-SA"/>
              </w:rPr>
            </w:pPr>
            <w:r>
              <w:rPr>
                <w:rFonts w:hint="eastAsia" w:ascii="宋体" w:hAnsi="宋体" w:cs="宋体"/>
                <w:sz w:val="18"/>
                <w:szCs w:val="18"/>
                <w:lang w:eastAsia="zh-CN"/>
              </w:rPr>
              <w:t>残疾人</w:t>
            </w:r>
            <w:r>
              <w:rPr>
                <w:rFonts w:hint="eastAsia" w:ascii="宋体" w:hAnsi="宋体" w:cs="宋体"/>
                <w:sz w:val="18"/>
                <w:szCs w:val="18"/>
                <w:lang w:val="en-US"/>
              </w:rPr>
              <w:t>就业创业补贴扶持</w:t>
            </w:r>
          </w:p>
        </w:tc>
        <w:tc>
          <w:tcPr>
            <w:tcW w:w="5355" w:type="dxa"/>
            <w:tcBorders>
              <w:top w:val="single" w:color="000000" w:sz="4" w:space="0"/>
              <w:left w:val="single" w:color="000000" w:sz="4" w:space="0"/>
              <w:bottom w:val="single" w:color="000000" w:sz="4" w:space="0"/>
              <w:right w:val="single" w:color="000000" w:sz="4" w:space="0"/>
            </w:tcBorders>
            <w:vAlign w:val="center"/>
          </w:tcPr>
          <w:p>
            <w:pPr>
              <w:widowControl/>
              <w:wordWrap/>
              <w:adjustRightInd/>
              <w:snapToGrid/>
              <w:spacing w:line="360" w:lineRule="exact"/>
              <w:ind w:left="0" w:leftChars="0" w:right="0"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《残疾人就业条例》（国务院令〔2007〕第488号）</w:t>
            </w:r>
            <w:r>
              <w:rPr>
                <w:rFonts w:hint="eastAsia" w:ascii="宋体" w:hAnsi="宋体" w:eastAsia="宋体" w:cs="宋体"/>
                <w:sz w:val="18"/>
                <w:szCs w:val="18"/>
                <w:lang w:val="en-US"/>
              </w:rPr>
              <w:t>第二条第二款</w:t>
            </w:r>
            <w:r>
              <w:rPr>
                <w:rFonts w:hint="default" w:ascii="宋体" w:hAnsi="宋体" w:eastAsia="宋体" w:cs="宋体"/>
                <w:sz w:val="18"/>
                <w:szCs w:val="18"/>
              </w:rPr>
              <w:t xml:space="preserve"> </w:t>
            </w:r>
            <w:r>
              <w:rPr>
                <w:rFonts w:hint="eastAsia" w:ascii="宋体" w:hAnsi="宋体" w:eastAsia="宋体" w:cs="宋体"/>
                <w:sz w:val="18"/>
                <w:szCs w:val="18"/>
                <w:lang w:val="en-US" w:eastAsia="zh-CN"/>
              </w:rPr>
              <w:t>县级以上人民政府应当将残疾人就业纳入国民经济和社会发展规划，并制定优惠政策和具体扶持保护措施，为残疾人就业创造条件。</w:t>
            </w:r>
            <w:r>
              <w:rPr>
                <w:rFonts w:hint="default" w:ascii="宋体" w:hAnsi="宋体" w:eastAsia="宋体" w:cs="宋体"/>
                <w:sz w:val="18"/>
                <w:szCs w:val="18"/>
              </w:rPr>
              <w:t xml:space="preserve"> </w:t>
            </w:r>
            <w:r>
              <w:rPr>
                <w:rFonts w:hint="eastAsia" w:ascii="宋体" w:hAnsi="宋体" w:eastAsia="宋体" w:cs="宋体"/>
                <w:sz w:val="18"/>
                <w:szCs w:val="18"/>
                <w:lang w:val="en-US"/>
              </w:rPr>
              <w:t>《关于促进残疾人灵活就业和自主创业的意见》</w:t>
            </w:r>
            <w:r>
              <w:rPr>
                <w:rFonts w:hint="eastAsia" w:ascii="宋体" w:hAnsi="宋体" w:eastAsia="宋体" w:cs="宋体"/>
                <w:sz w:val="18"/>
                <w:szCs w:val="18"/>
                <w:lang w:val="en-US" w:eastAsia="zh-CN"/>
              </w:rPr>
              <w:t>（湘残联字〔20</w:t>
            </w:r>
            <w:r>
              <w:rPr>
                <w:rFonts w:hint="default" w:ascii="宋体" w:hAnsi="宋体" w:eastAsia="宋体" w:cs="宋体"/>
                <w:sz w:val="18"/>
                <w:szCs w:val="18"/>
                <w:lang w:val="en-US" w:eastAsia="zh-CN"/>
              </w:rPr>
              <w:t>21</w:t>
            </w:r>
            <w:r>
              <w:rPr>
                <w:rFonts w:hint="eastAsia" w:ascii="宋体" w:hAnsi="宋体" w:eastAsia="宋体" w:cs="宋体"/>
                <w:sz w:val="18"/>
                <w:szCs w:val="18"/>
                <w:lang w:val="en-US" w:eastAsia="zh-CN"/>
              </w:rPr>
              <w:t>〕第</w:t>
            </w:r>
            <w:r>
              <w:rPr>
                <w:rFonts w:hint="default" w:ascii="宋体" w:hAnsi="宋体" w:eastAsia="宋体" w:cs="宋体"/>
                <w:sz w:val="18"/>
                <w:szCs w:val="18"/>
                <w:lang w:val="en-US" w:eastAsia="zh-CN"/>
              </w:rPr>
              <w:t>11</w:t>
            </w:r>
            <w:r>
              <w:rPr>
                <w:rFonts w:hint="eastAsia" w:ascii="宋体" w:hAnsi="宋体" w:eastAsia="宋体" w:cs="宋体"/>
                <w:sz w:val="18"/>
                <w:szCs w:val="18"/>
                <w:lang w:val="en-US" w:eastAsia="zh-CN"/>
              </w:rPr>
              <w:t>号）全文</w:t>
            </w:r>
          </w:p>
        </w:tc>
        <w:tc>
          <w:tcPr>
            <w:tcW w:w="2055"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bidi="ar-SA"/>
              </w:rPr>
            </w:pPr>
            <w:r>
              <w:rPr>
                <w:rFonts w:hint="default" w:ascii="宋体" w:hAnsi="宋体" w:cs="宋体"/>
                <w:sz w:val="18"/>
                <w:szCs w:val="18"/>
              </w:rPr>
              <w:t>1.</w:t>
            </w:r>
            <w:r>
              <w:rPr>
                <w:rFonts w:hint="eastAsia" w:ascii="宋体" w:hAnsi="宋体" w:cs="宋体"/>
                <w:sz w:val="18"/>
                <w:szCs w:val="18"/>
                <w:lang w:val="en-US"/>
              </w:rPr>
              <w:t>落实各项惠残就业创业政策；</w:t>
            </w:r>
            <w:r>
              <w:rPr>
                <w:rFonts w:hint="default" w:ascii="宋体" w:hAnsi="宋体" w:cs="宋体"/>
                <w:sz w:val="18"/>
                <w:szCs w:val="18"/>
              </w:rPr>
              <w:t>2.</w:t>
            </w:r>
            <w:r>
              <w:rPr>
                <w:rFonts w:hint="eastAsia" w:ascii="宋体" w:hAnsi="宋体" w:cs="宋体"/>
                <w:sz w:val="18"/>
                <w:szCs w:val="18"/>
                <w:lang w:val="en-US"/>
              </w:rPr>
              <w:t>拓宽残疾人就业发展渠道；</w:t>
            </w:r>
            <w:r>
              <w:rPr>
                <w:rFonts w:hint="default" w:ascii="宋体" w:hAnsi="宋体" w:cs="宋体"/>
                <w:sz w:val="18"/>
                <w:szCs w:val="18"/>
              </w:rPr>
              <w:t>3.</w:t>
            </w:r>
            <w:r>
              <w:rPr>
                <w:rFonts w:hint="eastAsia" w:ascii="宋体" w:hAnsi="宋体" w:cs="宋体"/>
                <w:sz w:val="18"/>
                <w:szCs w:val="18"/>
                <w:lang w:val="en-US"/>
              </w:rPr>
              <w:t>提升残疾人就业创业能力；</w:t>
            </w:r>
            <w:r>
              <w:rPr>
                <w:rFonts w:hint="default" w:ascii="宋体" w:hAnsi="宋体" w:cs="宋体"/>
                <w:sz w:val="18"/>
                <w:szCs w:val="18"/>
              </w:rPr>
              <w:t>4.</w:t>
            </w:r>
            <w:r>
              <w:rPr>
                <w:rFonts w:hint="eastAsia" w:ascii="宋体" w:hAnsi="宋体" w:cs="宋体"/>
                <w:sz w:val="18"/>
                <w:szCs w:val="18"/>
                <w:lang w:val="en-US"/>
              </w:rPr>
              <w:t>建设残疾人就业创业支持性平台；</w:t>
            </w:r>
            <w:r>
              <w:rPr>
                <w:rFonts w:hint="default" w:ascii="宋体" w:hAnsi="宋体" w:cs="宋体"/>
                <w:sz w:val="18"/>
                <w:szCs w:val="18"/>
              </w:rPr>
              <w:t>5.</w:t>
            </w:r>
            <w:r>
              <w:rPr>
                <w:rFonts w:hint="eastAsia" w:ascii="宋体" w:hAnsi="宋体" w:eastAsia="宋体" w:cs="宋体"/>
                <w:sz w:val="18"/>
                <w:szCs w:val="18"/>
              </w:rPr>
              <w:t>法律法规规章文件规定应履行的其他责任。</w:t>
            </w:r>
          </w:p>
        </w:tc>
        <w:tc>
          <w:tcPr>
            <w:tcW w:w="2424" w:type="dxa"/>
            <w:tcBorders>
              <w:top w:val="single" w:color="000000" w:sz="4" w:space="0"/>
              <w:left w:val="single" w:color="000000" w:sz="4" w:space="0"/>
              <w:bottom w:val="single" w:color="000000" w:sz="4" w:space="0"/>
              <w:right w:val="single" w:color="000000" w:sz="4" w:space="0"/>
            </w:tcBorders>
            <w:vAlign w:val="center"/>
          </w:tcPr>
          <w:p>
            <w:pPr>
              <w:widowControl w:val="0"/>
              <w:wordWrap/>
              <w:autoSpaceDN w:val="0"/>
              <w:adjustRightInd/>
              <w:snapToGrid/>
              <w:spacing w:line="360" w:lineRule="exact"/>
              <w:ind w:left="0" w:leftChars="0" w:right="0" w:firstLine="0" w:firstLineChars="0"/>
              <w:textAlignment w:val="center"/>
              <w:outlineLvl w:val="9"/>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《残疾人就业条例》</w:t>
            </w:r>
            <w:r>
              <w:rPr>
                <w:rFonts w:hint="eastAsia" w:ascii="宋体" w:hAnsi="宋体" w:cs="宋体"/>
                <w:sz w:val="18"/>
                <w:szCs w:val="18"/>
                <w:lang w:val="en-US"/>
              </w:rPr>
              <w:t>、《关于促进残疾人灵活就业和自主创业的意见》</w:t>
            </w:r>
            <w:r>
              <w:rPr>
                <w:rFonts w:hint="eastAsia" w:ascii="宋体" w:hAnsi="宋体" w:eastAsia="宋体" w:cs="宋体"/>
                <w:sz w:val="18"/>
                <w:szCs w:val="18"/>
                <w:lang w:val="en-US" w:eastAsia="zh-CN"/>
              </w:rPr>
              <w:t>（湘残联字〔20</w:t>
            </w:r>
            <w:r>
              <w:rPr>
                <w:rFonts w:hint="default" w:ascii="宋体" w:hAnsi="宋体" w:cs="宋体"/>
                <w:sz w:val="18"/>
                <w:szCs w:val="18"/>
                <w:lang w:eastAsia="zh-CN"/>
              </w:rPr>
              <w:t>21</w:t>
            </w:r>
            <w:r>
              <w:rPr>
                <w:rFonts w:hint="eastAsia" w:ascii="宋体" w:hAnsi="宋体" w:eastAsia="宋体" w:cs="宋体"/>
                <w:sz w:val="18"/>
                <w:szCs w:val="18"/>
                <w:lang w:val="en-US" w:eastAsia="zh-CN"/>
              </w:rPr>
              <w:t>〕第</w:t>
            </w:r>
            <w:r>
              <w:rPr>
                <w:rFonts w:hint="default" w:ascii="宋体" w:hAnsi="宋体" w:cs="宋体"/>
                <w:sz w:val="18"/>
                <w:szCs w:val="18"/>
                <w:lang w:eastAsia="zh-CN"/>
              </w:rPr>
              <w:t>11</w:t>
            </w:r>
            <w:r>
              <w:rPr>
                <w:rFonts w:hint="eastAsia" w:ascii="宋体" w:hAnsi="宋体" w:eastAsia="宋体" w:cs="宋体"/>
                <w:sz w:val="18"/>
                <w:szCs w:val="18"/>
                <w:lang w:val="en-US" w:eastAsia="zh-CN"/>
              </w:rPr>
              <w:t>号）</w:t>
            </w:r>
          </w:p>
        </w:tc>
      </w:tr>
    </w:tbl>
    <w:p>
      <w:pPr>
        <w:spacing w:line="540" w:lineRule="exact"/>
        <w:rPr>
          <w:rFonts w:hint="eastAsia" w:ascii="方正仿宋_GBK" w:eastAsia="方正仿宋_GBK"/>
          <w:sz w:val="18"/>
          <w:szCs w:val="18"/>
        </w:rPr>
      </w:pPr>
      <w:r>
        <w:rPr>
          <w:rFonts w:hint="eastAsia" w:ascii="Times" w:hAnsi="Times" w:eastAsia="仿宋_GB2312" w:cs="Times New Roman"/>
          <w:color w:val="000000"/>
          <w:kern w:val="2"/>
          <w:sz w:val="18"/>
          <w:szCs w:val="18"/>
          <w:lang w:val="en-US" w:eastAsia="zh-CN" w:bidi="ar-SA"/>
        </w:rPr>
        <w:pict>
          <v:rect id="文本框 5" o:spid="_x0000_s1027" style="position:absolute;left:0;margin-left:-17.85pt;margin-top:601.85pt;height:62.4pt;width:108pt;rotation:0f;z-index:251658240;" o:ole="f" fillcolor="#FFFFFF" filled="t" o:preferrelative="t" stroked="f" coordsize="21600,21600">
            <v:imagedata gain="65536f" blacklevel="0f" gamma="0"/>
            <o:lock v:ext="edit" position="f" selection="f" grouping="f" rotation="f" cropping="f" text="f" aspectratio="f"/>
            <v:textbox>
              <w:txbxContent>
                <w:p/>
              </w:txbxContent>
            </v:textbox>
          </v:rect>
        </w:pict>
      </w:r>
    </w:p>
    <w:sectPr>
      <w:headerReference r:id="rId4" w:type="default"/>
      <w:footerReference r:id="rId5" w:type="default"/>
      <w:pgSz w:w="16840" w:h="11907" w:orient="landscape"/>
      <w:pgMar w:top="1797" w:right="1440" w:bottom="1406" w:left="1429" w:header="851" w:footer="992" w:gutter="0"/>
      <w:cols w:space="720" w:num="1"/>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DejaVu Sans">
    <w:altName w:val="Times New Roman"/>
    <w:panose1 w:val="02020603050405020304"/>
    <w:charset w:val="00"/>
    <w:family w:val="auto"/>
    <w:pitch w:val="default"/>
    <w:sig w:usb0="20007A87" w:usb1="80000000" w:usb2="00000008" w:usb3="00000000" w:csb0="000001FF" w:csb1="00000000"/>
  </w:font>
  <w:font w:name="方正书宋_GBK">
    <w:altName w:val="宋体"/>
    <w:panose1 w:val="02000000000000000000"/>
    <w:charset w:val="86"/>
    <w:family w:val="auto"/>
    <w:pitch w:val="default"/>
    <w:sig w:usb0="A00002BF" w:usb1="38CF7CFA" w:usb2="00082016" w:usb3="00000000" w:csb0="00040001" w:csb1="00000000"/>
  </w:font>
  <w:font w:name="方正黑体_GBK">
    <w:altName w:val="黑体"/>
    <w:panose1 w:val="02000000000000000000"/>
    <w:charset w:val="86"/>
    <w:family w:val="auto"/>
    <w:pitch w:val="default"/>
    <w:sig w:usb0="00000001" w:usb1="0800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w:panose1 w:val="020F0502020204030204"/>
    <w:charset w:val="00"/>
    <w:family w:val="auto"/>
    <w:pitch w:val="default"/>
    <w:sig w:usb0="E10002FF" w:usb1="4000ACFF" w:usb2="00000009" w:usb3="00000000" w:csb0="2000019F" w:csb1="00000000"/>
  </w:font>
  <w:font w:name="汉仪书宋二KW">
    <w:altName w:val="宋体"/>
    <w:panose1 w:val="00020600040101010101"/>
    <w:charset w:val="86"/>
    <w:family w:val="auto"/>
    <w:pitch w:val="default"/>
    <w:sig w:usb0="A00002BF" w:usb1="18EF7CFA" w:usb2="00000016" w:usb3="00000000" w:csb0="00040000" w:csb1="00000000"/>
  </w:font>
  <w:font w:name="苹方-简">
    <w:altName w:val="宋体"/>
    <w:panose1 w:val="020B0400000000000000"/>
    <w:charset w:val="86"/>
    <w:family w:val="auto"/>
    <w:pitch w:val="default"/>
    <w:sig w:usb0="A00002FF" w:usb1="7ACFFDFB" w:usb2="00000017" w:usb3="00000000" w:csb0="00040001" w:csb1="00000000"/>
  </w:font>
  <w:font w:name="Helvetica Neue">
    <w:altName w:val="Corbel"/>
    <w:panose1 w:val="02000503000000020004"/>
    <w:charset w:val="00"/>
    <w:family w:val="auto"/>
    <w:pitch w:val="default"/>
    <w:sig w:usb0="E50002FF" w:usb1="500079DB" w:usb2="00000010" w:usb3="00000000" w:csb0="0000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A00002BF" w:usb1="38CF7CFA" w:usb2="00082016" w:usb3="00000000" w:csb0="00040001" w:csb1="00000000"/>
  </w:font>
  <w:font w:name="Times">
    <w:altName w:val="宋体"/>
    <w:panose1 w:val="00000500000000020000"/>
    <w:charset w:val="86"/>
    <w:family w:val="auto"/>
    <w:pitch w:val="default"/>
    <w:sig w:usb0="E00002FF" w:usb1="5000205A" w:usb2="00000000" w:usb3="00000000" w:csb0="2000019F" w:csb1="4F01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0000000000000000000"/>
    <w:charset w:val="00"/>
    <w:family w:val="auto"/>
    <w:pitch w:val="default"/>
    <w:sig w:usb0="00000000" w:usb1="00000000" w:usb2="00000000" w:usb3="00000000" w:csb0="00040001" w:csb1="00000000"/>
  </w:font>
  <w:font w:name="汉仪中黑KW">
    <w:altName w:val="黑体"/>
    <w:panose1 w:val="00020600040101010101"/>
    <w:charset w:val="86"/>
    <w:family w:val="auto"/>
    <w:pitch w:val="default"/>
    <w:sig w:usb0="A00002BF" w:usb1="18EF7CFA" w:usb2="00000016" w:usb3="00000000" w:csb0="00040000" w:csb1="00000000"/>
  </w:font>
  <w:font w:name="宋体-简">
    <w:altName w:val="宋体"/>
    <w:panose1 w:val="02010800040101010101"/>
    <w:charset w:val="86"/>
    <w:family w:val="auto"/>
    <w:pitch w:val="default"/>
    <w:sig w:usb0="00000001" w:usb1="080F0000" w:usb2="00000000" w:usb3="00000000" w:csb0="00040000" w:csb1="00000000"/>
  </w:font>
  <w:font w:name="Kingsoft Sign">
    <w:altName w:val="Segoe Print"/>
    <w:panose1 w:val="05050102010706020507"/>
    <w:charset w:val="00"/>
    <w:family w:val="auto"/>
    <w:pitch w:val="default"/>
    <w:sig w:usb0="00000000" w:usb1="10000000" w:usb2="00000000" w:usb3="00000000" w:csb0="00000001" w:csb1="00000000"/>
  </w:font>
  <w:font w:name="PingFang SC">
    <w:altName w:val="宋体"/>
    <w:panose1 w:val="020B0400000000000000"/>
    <w:charset w:val="86"/>
    <w:family w:val="auto"/>
    <w:pitch w:val="default"/>
    <w:sig w:usb0="A00002FF" w:usb1="7ACFFDFB" w:usb2="00000017" w:usb3="00000000" w:csb0="00040001" w:csb1="00000000"/>
  </w:font>
  <w:font w:name="汉仪旗黑">
    <w:altName w:val="黑体"/>
    <w:panose1 w:val="00020600040101010101"/>
    <w:charset w:val="86"/>
    <w:family w:val="auto"/>
    <w:pitch w:val="default"/>
    <w:sig w:usb0="A00002BF" w:usb1="1ACF7CFA" w:usb2="00000016" w:usb3="00000000" w:csb0="0004009F" w:csb1="DFD70000"/>
  </w:font>
  <w:font w:name="Hiragino Sans GB W3">
    <w:altName w:val="宋体"/>
    <w:panose1 w:val="020B0300000000000000"/>
    <w:charset w:val="86"/>
    <w:family w:val="auto"/>
    <w:pitch w:val="default"/>
    <w:sig w:usb0="A00002BF" w:usb1="1ACF7CFA" w:usb2="00000016" w:usb3="00000000" w:csb0="00060007" w:csb1="00000000"/>
  </w:font>
  <w:font w:name="儷宋 Pro">
    <w:altName w:val="宋体"/>
    <w:panose1 w:val="02020300000000000000"/>
    <w:charset w:val="88"/>
    <w:family w:val="auto"/>
    <w:pitch w:val="default"/>
    <w:sig w:usb0="80000001" w:usb1="28091800" w:usb2="00000016" w:usb3="00000000" w:csb0="00100000" w:csb1="00000000"/>
  </w:font>
  <w:font w:name="汉仪楷体KW">
    <w:altName w:val="楷体_GB2312"/>
    <w:panose1 w:val="00020600040101010101"/>
    <w:charset w:val="86"/>
    <w:family w:val="auto"/>
    <w:pitch w:val="default"/>
    <w:sig w:usb0="A00002BF" w:usb1="18EF7CFA" w:usb2="00000016" w:usb3="00000000" w:csb0="00040000" w:csb1="00000000"/>
  </w:font>
  <w:font w:name="PingFangHK">
    <w:altName w:val="微软雅黑"/>
    <w:panose1 w:val="00000000000000000000"/>
    <w:charset w:val="00"/>
    <w:family w:val="auto"/>
    <w:pitch w:val="default"/>
    <w:sig w:usb0="00000000" w:usb1="00000000" w:usb2="00000000" w:usb3="00000000" w:csb0="00040001" w:csb1="00000000"/>
  </w:font>
  <w:font w:name="PingFangSC-Regular">
    <w:altName w:val="宋体"/>
    <w:panose1 w:val="020B0400000000000000"/>
    <w:charset w:val="86"/>
    <w:family w:val="auto"/>
    <w:pitch w:val="default"/>
    <w:sig w:usb0="A00002FF" w:usb1="7ACFFDFB" w:usb2="00000017" w:usb3="00000000" w:csb0="00040001" w:csb1="00000000"/>
  </w:font>
  <w:font w:name="STSongti-SC-Regular">
    <w:altName w:val="宋体"/>
    <w:panose1 w:val="02010800040101010101"/>
    <w:charset w:val="86"/>
    <w:family w:val="auto"/>
    <w:pitch w:val="default"/>
    <w:sig w:usb0="00000001" w:usb1="080F0000" w:usb2="00000000" w:usb3="00000000" w:csb0="00040000" w:csb1="00000000"/>
  </w:font>
  <w:font w:name="TimesNewRomanPSMT">
    <w:altName w:val="Times New Roman"/>
    <w:panose1 w:val="02020603050405020304"/>
    <w:charset w:val="00"/>
    <w:family w:val="auto"/>
    <w:pitch w:val="default"/>
    <w:sig w:usb0="E0002AEF" w:usb1="C0007841" w:usb2="00000009" w:usb3="00000000" w:csb0="400001FF" w:csb1="FFFF0000"/>
  </w:font>
  <w:font w:name="Arial Unicode MS">
    <w:altName w:val="宋体"/>
    <w:panose1 w:val="020B0604020202020204"/>
    <w:charset w:val="86"/>
    <w:family w:val="auto"/>
    <w:pitch w:val="default"/>
    <w:sig w:usb0="FFFFFFFF" w:usb1="E9FFFFFF" w:usb2="0000003F" w:usb3="00000000" w:csb0="603F01FF" w:csb1="FFFF0000"/>
  </w:font>
  <w:font w:name="Helvetica Light Oblique">
    <w:altName w:val="Consolas"/>
    <w:panose1 w:val="00000000000000000000"/>
    <w:charset w:val="00"/>
    <w:family w:val="auto"/>
    <w:pitch w:val="default"/>
    <w:sig w:usb0="E00002FF" w:usb1="5000785B" w:usb2="00000000" w:usb3="00000000" w:csb0="2000019F" w:csb1="4F010000"/>
  </w:font>
  <w:font w:name="STHeiti Light">
    <w:altName w:val="宋体"/>
    <w:panose1 w:val="02010600040101010101"/>
    <w:charset w:val="86"/>
    <w:family w:val="auto"/>
    <w:pitch w:val="default"/>
    <w:sig w:usb0="00000287" w:usb1="080F0000" w:usb2="00000000" w:usb3="00000000" w:csb0="00040001" w:csb1="00000000"/>
  </w:font>
  <w:font w:name="Kaiti SC Regular">
    <w:altName w:val="宋体"/>
    <w:panose1 w:val="02010600040101010101"/>
    <w:charset w:val="86"/>
    <w:family w:val="auto"/>
    <w:pitch w:val="default"/>
    <w:sig w:usb0="80000287" w:usb1="280F3C52" w:usb2="00000016" w:usb3="00000000" w:csb0="0004001F" w:csb1="00000000"/>
  </w:font>
  <w:font w:name="凌慧体-简">
    <w:altName w:val="宋体"/>
    <w:panose1 w:val="03050602040302020204"/>
    <w:charset w:val="86"/>
    <w:family w:val="auto"/>
    <w:pitch w:val="default"/>
    <w:sig w:usb0="A00002FF" w:usb1="7ACF7CFB" w:usb2="0000001E" w:usb3="00000000" w:csb0="00040001" w:csb1="00000000"/>
  </w:font>
  <w:font w:name="Songti TC Regular">
    <w:altName w:val="宋体"/>
    <w:panose1 w:val="02010600040101010101"/>
    <w:charset w:val="86"/>
    <w:family w:val="auto"/>
    <w:pitch w:val="default"/>
    <w:sig w:usb0="00000287" w:usb1="080F0000" w:usb2="00000000" w:usb3="00000000" w:csb0="0004009F" w:csb1="DFD70000"/>
  </w:font>
  <w:font w:name="Hannotate SC Regular">
    <w:altName w:val="宋体"/>
    <w:panose1 w:val="03000500000000000000"/>
    <w:charset w:val="86"/>
    <w:family w:val="auto"/>
    <w:pitch w:val="default"/>
    <w:sig w:usb0="A00002FF" w:usb1="7ACF7CFB" w:usb2="00000016" w:usb3="00000000" w:csb0="00040001" w:csb1="00000000"/>
  </w:font>
  <w:font w:name="汉仪楷体简">
    <w:altName w:val="楷体_GB2312"/>
    <w:panose1 w:val="02010600000101010101"/>
    <w:charset w:val="86"/>
    <w:family w:val="auto"/>
    <w:pitch w:val="default"/>
    <w:sig w:usb0="00000001" w:usb1="080E0800" w:usb2="00000002" w:usb3="00000000" w:csb0="00040000" w:csb1="00000000"/>
  </w:font>
  <w:font w:name="冬青黑体繁体中文">
    <w:altName w:val="黑体"/>
    <w:panose1 w:val="020B0300000000000000"/>
    <w:charset w:val="88"/>
    <w:family w:val="auto"/>
    <w:pitch w:val="default"/>
    <w:sig w:usb0="00000001" w:usb1="1A0F1900" w:usb2="00000016" w:usb3="00000000" w:csb0="00120005" w:csb1="00000000"/>
  </w:font>
  <w:font w:name="报隶-繁">
    <w:altName w:val="宋体"/>
    <w:panose1 w:val="02010600040101010101"/>
    <w:charset w:val="86"/>
    <w:family w:val="auto"/>
    <w:pitch w:val="default"/>
    <w:sig w:usb0="80000287" w:usb1="280F3C52" w:usb2="00000016" w:usb3="00000000" w:csb0="0004001F" w:csb1="00000000"/>
  </w:font>
  <w:font w:name="华文楷体">
    <w:altName w:val="楷体_GB2312"/>
    <w:panose1 w:val="02010600040101010101"/>
    <w:charset w:val="86"/>
    <w:family w:val="auto"/>
    <w:pitch w:val="default"/>
    <w:sig w:usb0="80000287" w:usb1="280F3C52" w:usb2="00000016" w:usb3="00000000" w:csb0="0004001F" w:csb1="00000000"/>
  </w:font>
  <w:font w:name="兰亭黑-繁">
    <w:altName w:val="黑体"/>
    <w:panose1 w:val="03000509000000000000"/>
    <w:charset w:val="88"/>
    <w:family w:val="auto"/>
    <w:pitch w:val="default"/>
    <w:sig w:usb0="00000001" w:usb1="080E0000" w:usb2="00000000" w:usb3="00000000" w:csb0="00100000" w:csb1="00000000"/>
  </w:font>
  <w:font w:name="方正大标宋简体">
    <w:altName w:val="微软雅黑"/>
    <w:panose1 w:val="00000000000000000000"/>
    <w:charset w:val="00"/>
    <w:family w:val="auto"/>
    <w:pitch w:val="default"/>
    <w:sig w:usb0="00000000" w:usb1="00000000" w:usb2="00000000" w:usb3="00000000" w:csb0="00040001" w:csb1="00000000"/>
  </w:font>
  <w:font w:name="Corbel">
    <w:panose1 w:val="020B0503020204020204"/>
    <w:charset w:val="00"/>
    <w:family w:val="auto"/>
    <w:pitch w:val="default"/>
    <w:sig w:usb0="A00002EF" w:usb1="4000A44B" w:usb2="00000000" w:usb3="00000000" w:csb0="2000019F" w:csb1="00000000"/>
  </w:font>
  <w:font w:name="Segoe Print">
    <w:panose1 w:val="02000600000000000000"/>
    <w:charset w:val="00"/>
    <w:family w:val="auto"/>
    <w:pitch w:val="default"/>
    <w:sig w:usb0="0000028F" w:usb1="00000000" w:usb2="00000000" w:usb3="00000000" w:csb0="2000009F" w:csb1="47010000"/>
  </w:font>
  <w:font w:name="Consolas">
    <w:panose1 w:val="020B0609020204030204"/>
    <w:charset w:val="00"/>
    <w:family w:val="auto"/>
    <w:pitch w:val="default"/>
    <w:sig w:usb0="E10002FF" w:usb1="4000FCFF" w:usb2="00000009" w:usb3="00000000" w:csb0="6000019F" w:csb1="DFD70000"/>
  </w:font>
  <w:font w:name="冬青黑体简体中文">
    <w:altName w:val="黑体"/>
    <w:panose1 w:val="020B0300000000000000"/>
    <w:charset w:val="86"/>
    <w:family w:val="auto"/>
    <w:pitch w:val="default"/>
    <w:sig w:usb0="A00002BF" w:usb1="1ACF7CFA" w:usb2="00000016" w:usb3="00000000" w:csb0="000600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6"/>
      <w:ind w:right="360" w:firstLine="360"/>
    </w:pPr>
    <w:r>
      <w:rPr>
        <w:rFonts w:ascii="Times New Roman" w:hAnsi="Times New Roman" w:eastAsia="宋体" w:cs="Times New Roman"/>
        <w:kern w:val="2"/>
        <w:sz w:val="18"/>
        <w:lang w:val="en-US" w:eastAsia="zh-CN" w:bidi="ar-SA"/>
      </w:rPr>
      <w:pict>
        <v:rect id="文本框4" o:spid="_x0000_s1025" style="position:absolute;left:0;margin-top:0pt;height:18.15pt;width:77.05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6"/>
                  <w:ind w:left="420" w:leftChars="200" w:right="420" w:rightChars="200"/>
                  <w:rPr>
                    <w:rStyle w:val="12"/>
                    <w:rFonts w:ascii="宋体" w:hAnsi="宋体"/>
                    <w:sz w:val="28"/>
                    <w:szCs w:val="28"/>
                  </w:rPr>
                </w:pPr>
                <w:r>
                  <w:rPr>
                    <w:rFonts w:hint="eastAsia" w:ascii="宋体" w:hAnsi="宋体"/>
                    <w:sz w:val="28"/>
                    <w:szCs w:val="28"/>
                    <w:lang w:val="en-US" w:eastAsia="zh-CN"/>
                  </w:rPr>
                  <w:t xml:space="preserve">- </w:t>
                </w:r>
                <w:r>
                  <w:rPr>
                    <w:rFonts w:ascii="宋体" w:hAnsi="宋体"/>
                    <w:sz w:val="28"/>
                    <w:szCs w:val="28"/>
                  </w:rPr>
                  <w:fldChar w:fldCharType="begin"/>
                </w:r>
                <w:r>
                  <w:rPr>
                    <w:rStyle w:val="12"/>
                    <w:rFonts w:ascii="宋体" w:hAnsi="宋体"/>
                    <w:sz w:val="28"/>
                    <w:szCs w:val="28"/>
                  </w:rPr>
                  <w:instrText xml:space="preserve">PAGE  </w:instrText>
                </w:r>
                <w:r>
                  <w:rPr>
                    <w:rFonts w:ascii="宋体" w:hAnsi="宋体"/>
                    <w:sz w:val="28"/>
                    <w:szCs w:val="28"/>
                  </w:rPr>
                  <w:fldChar w:fldCharType="separate"/>
                </w:r>
                <w:r>
                  <w:rPr>
                    <w:rStyle w:val="12"/>
                    <w:rFonts w:ascii="宋体" w:hAnsi="宋体"/>
                    <w:sz w:val="28"/>
                    <w:szCs w:val="28"/>
                  </w:rPr>
                  <w:t>1</w:t>
                </w:r>
                <w:r>
                  <w:rPr>
                    <w:rFonts w:ascii="宋体" w:hAnsi="宋体"/>
                    <w:sz w:val="28"/>
                    <w:szCs w:val="28"/>
                  </w:rPr>
                  <w:fldChar w:fldCharType="end"/>
                </w:r>
                <w:r>
                  <w:rPr>
                    <w:rFonts w:hint="eastAsia" w:ascii="宋体" w:hAnsi="宋体"/>
                    <w:sz w:val="28"/>
                    <w:szCs w:val="28"/>
                    <w:lang w:val="en-US" w:eastAsia="zh-CN"/>
                  </w:rPr>
                  <w:t xml:space="preserve"> -</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Bdr>
        <w:bottom w:val="none" w:color="auto" w:sz="0" w:space="0"/>
      </w:pBdr>
      <w:jc w:val="left"/>
      <w:rPr>
        <w:rFonts w:hint="default" w:eastAsia="宋体"/>
        <w:lang w:val="en-US" w:eastAsia="zh-C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9"/>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qFormat="1" w:unhideWhenUsed="0" w:uiPriority="0" w:semiHidden="0"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link w:val="10"/>
    <w:qFormat/>
    <w:uiPriority w:val="0"/>
    <w:rPr>
      <w:rFonts w:eastAsia="仿宋_GB2312"/>
      <w:sz w:val="24"/>
    </w:rPr>
  </w:style>
  <w:style w:type="paragraph" w:styleId="2">
    <w:name w:val="Body Text Indent"/>
    <w:basedOn w:val="1"/>
    <w:qFormat/>
    <w:uiPriority w:val="0"/>
    <w:pPr>
      <w:ind w:firstLine="200" w:firstLineChars="200"/>
    </w:pPr>
    <w:rPr>
      <w:rFonts w:ascii="仿宋_GB2312" w:eastAsia="仿宋_GB2312"/>
      <w:sz w:val="32"/>
      <w:szCs w:val="24"/>
    </w:rPr>
  </w:style>
  <w:style w:type="paragraph" w:styleId="3">
    <w:name w:val="Plain Text"/>
    <w:basedOn w:val="1"/>
    <w:qFormat/>
    <w:uiPriority w:val="0"/>
    <w:rPr>
      <w:rFonts w:ascii="宋体" w:cs="Courier New"/>
      <w:szCs w:val="21"/>
      <w:lang w:bidi="ar-SA"/>
    </w:rPr>
  </w:style>
  <w:style w:type="paragraph" w:styleId="4">
    <w:name w:val="Date"/>
    <w:basedOn w:val="1"/>
    <w:next w:val="1"/>
    <w:qFormat/>
    <w:uiPriority w:val="0"/>
    <w:pPr>
      <w:ind w:left="2500" w:leftChars="2500"/>
    </w:pPr>
  </w:style>
  <w:style w:type="paragraph" w:styleId="5">
    <w:name w:val="Balloon Text"/>
    <w:basedOn w:val="1"/>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10">
    <w:name w:val="Char"/>
    <w:basedOn w:val="1"/>
    <w:link w:val="9"/>
    <w:qFormat/>
    <w:uiPriority w:val="0"/>
    <w:pPr>
      <w:snapToGrid w:val="0"/>
      <w:spacing w:line="360" w:lineRule="auto"/>
      <w:ind w:firstLine="200" w:firstLineChars="200"/>
    </w:pPr>
    <w:rPr>
      <w:rFonts w:eastAsia="仿宋_GB2312"/>
      <w:sz w:val="24"/>
    </w:rPr>
  </w:style>
  <w:style w:type="character" w:styleId="11">
    <w:name w:val="Strong"/>
    <w:basedOn w:val="9"/>
    <w:qFormat/>
    <w:uiPriority w:val="0"/>
    <w:rPr>
      <w:b/>
      <w:bCs/>
    </w:rPr>
  </w:style>
  <w:style w:type="character" w:styleId="12">
    <w:name w:val="page number"/>
    <w:basedOn w:val="9"/>
    <w:qFormat/>
    <w:uiPriority w:val="0"/>
    <w:rPr/>
  </w:style>
  <w:style w:type="character" w:styleId="13">
    <w:name w:val="FollowedHyperlink"/>
    <w:basedOn w:val="9"/>
    <w:unhideWhenUsed/>
    <w:qFormat/>
    <w:uiPriority w:val="99"/>
    <w:rPr>
      <w:color w:val="333333"/>
      <w:u w:val="none"/>
    </w:rPr>
  </w:style>
  <w:style w:type="character" w:styleId="14">
    <w:name w:val="Hyperlink"/>
    <w:basedOn w:val="9"/>
    <w:unhideWhenUsed/>
    <w:qFormat/>
    <w:uiPriority w:val="99"/>
    <w:rPr>
      <w:color w:val="333333"/>
      <w:u w:val="none"/>
    </w:rPr>
  </w:style>
  <w:style w:type="paragraph" w:customStyle="1" w:styleId="15">
    <w:name w:val="正文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6">
    <w:name w:val="正文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7">
    <w:name w:val="正文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8">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19">
    <w:name w:val="正文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正文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1">
    <w:name w:val="正文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2">
    <w:name w:val="Char1"/>
    <w:basedOn w:val="1"/>
    <w:qFormat/>
    <w:uiPriority w:val="0"/>
    <w:pPr>
      <w:widowControl/>
      <w:tabs>
        <w:tab w:val="right" w:pos="8494"/>
      </w:tabs>
      <w:spacing w:after="160" w:line="240" w:lineRule="exact"/>
      <w:jc w:val="left"/>
    </w:pPr>
    <w:rPr>
      <w:szCs w:val="21"/>
    </w:rPr>
  </w:style>
  <w:style w:type="paragraph" w:customStyle="1" w:styleId="23">
    <w:name w:val="正文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正文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5">
    <w:name w:val="正文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6">
    <w:name w:val="正文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7">
    <w:name w:val="正文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8">
    <w:name w:val="p0"/>
    <w:basedOn w:val="1"/>
    <w:qFormat/>
    <w:uiPriority w:val="0"/>
    <w:pPr>
      <w:widowControl/>
    </w:pPr>
    <w:rPr>
      <w:rFonts w:ascii="Calibri" w:hAnsi="Calibri" w:cs="宋体"/>
      <w:kern w:val="0"/>
      <w:szCs w:val="21"/>
    </w:rPr>
  </w:style>
  <w:style w:type="paragraph" w:customStyle="1" w:styleId="29">
    <w:name w:val="正文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bzmc1"/>
    <w:basedOn w:val="9"/>
    <w:qFormat/>
    <w:uiPriority w:val="0"/>
    <w:rPr/>
  </w:style>
  <w:style w:type="character" w:customStyle="1" w:styleId="31">
    <w:name w:val="bzmc"/>
    <w:basedOn w:val="9"/>
    <w:qFormat/>
    <w:uiPriority w:val="0"/>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 Id="rId7"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0</Pages>
  <Words>0</Words>
  <Characters>0</Characters>
  <Lines>0</Lines>
  <Paragraphs>0</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2012-01-16T20:38:00Z</dcterms:created>
  <dc:creator>微软用户</dc:creator>
  <cp:lastModifiedBy>Administrator</cp:lastModifiedBy>
  <cp:lastPrinted>2022-01-07T18:17:00Z</cp:lastPrinted>
  <dcterms:modified xsi:type="dcterms:W3CDTF">2022-01-11T00:11:41Z</dcterms:modified>
  <dc:title>周秘书长：</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