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32"/>
          <w:szCs w:val="32"/>
          <w:shd w:val="clear" w:fill="FFFFFF"/>
          <w:lang w:val="en-US" w:eastAsia="zh-CN" w:bidi="ar"/>
        </w:rPr>
        <w:t>安化县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教育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32"/>
          <w:szCs w:val="32"/>
          <w:shd w:val="clear" w:fill="FFFFFF"/>
          <w:lang w:val="en-US" w:eastAsia="zh-CN" w:bidi="ar"/>
        </w:rPr>
        <w:t>2022年普法重点任务清单</w:t>
      </w:r>
    </w:p>
    <w:tbl>
      <w:tblPr>
        <w:tblStyle w:val="3"/>
        <w:tblW w:w="10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566"/>
        <w:gridCol w:w="22"/>
        <w:gridCol w:w="3588"/>
        <w:gridCol w:w="3134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6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4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1680" w:firstLineChars="6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重点普法内容</w:t>
            </w:r>
          </w:p>
        </w:tc>
        <w:tc>
          <w:tcPr>
            <w:tcW w:w="8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43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935" w:leftChars="312" w:right="0" w:hanging="280" w:hanging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《中华人民共和国宪法》《中华人民共和国民法典》《中华人民共和国家庭教育促进法》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3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655" w:leftChars="312" w:righ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《中华人民共和国教育法》《中华人民共和国义务教育法》《教育督导条例》《湖南教育督导条例》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基础教育股、教育督导室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43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《中华人民共和国教师法》《教师资格条例》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43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935" w:leftChars="312" w:right="0" w:hanging="280" w:hanging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《中华人民共和国民办教育促进法》《中华人民共和国民办教育促进法实施条例》《中华人民共和国职业教育法》《幼儿园管理条例》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职业教育与成人教育股、学前教育股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4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874" w:leftChars="416" w:righ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《中华人民共和国未成年人保护法》《湖南省学校学生人身伤害事故预防与处理条例》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学校安全管理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主题活动及重要节点</w:t>
            </w:r>
          </w:p>
        </w:tc>
        <w:tc>
          <w:tcPr>
            <w:tcW w:w="849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4·15”全民国家安全教育日“5·1”国际劳动节、“6·5”世界环境日、“6·25”国际禁毒日、“12·1”世界艾滋病日，“12·4”国家宪法日和“宪法宣传周”等普法重要时间节点。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普法阵地</w:t>
            </w:r>
          </w:p>
        </w:tc>
        <w:tc>
          <w:tcPr>
            <w:tcW w:w="849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媒体：广播电视台相关栏目、校园网。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实体平台：广场、校园宣传厨窗、黑板报等。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0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重点普法项目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7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1.开展“学宪法　讲宪法”系列活动。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2.６月份全民禁毒宣传月系列活动。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3.宪法小卫士答题和禁毒知识竞赛。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4.预防青少年防性侵、防欺凌教育。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5.组织中小学生“宪法晨读”等活动。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6.制定我县教育系统“八五”普法规划。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0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法律服务项目</w:t>
            </w:r>
          </w:p>
        </w:tc>
        <w:tc>
          <w:tcPr>
            <w:tcW w:w="847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针对教师、青少年学生和家长等开展各类免费法律咨询活动。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pPr w:leftFromText="180" w:rightFromText="180" w:vertAnchor="text" w:tblpX="-1012" w:tblpY="-27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32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WFmNjM2MmU5MTNlMGM1ZTQ0YTM3MTczYjNkZGYifQ=="/>
  </w:docVars>
  <w:rsids>
    <w:rsidRoot w:val="3D0A24E0"/>
    <w:rsid w:val="3D0A24E0"/>
    <w:rsid w:val="4EDA4BC8"/>
    <w:rsid w:val="599F5A17"/>
    <w:rsid w:val="6240664F"/>
    <w:rsid w:val="62E36A4D"/>
    <w:rsid w:val="69A40637"/>
    <w:rsid w:val="7AD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872</Characters>
  <Lines>0</Lines>
  <Paragraphs>0</Paragraphs>
  <TotalTime>2</TotalTime>
  <ScaleCrop>false</ScaleCrop>
  <LinksUpToDate>false</LinksUpToDate>
  <CharactersWithSpaces>873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2022-10-26T03:24:00Z</dcterms:created>
  <dc:creator>杨长春</dc:creator>
  <cp:lastModifiedBy>pc</cp:lastModifiedBy>
  <dcterms:modified xsi:type="dcterms:W3CDTF">2022-10-27T08:13:54Z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05743D3AA18042C39DD6EEA7A0B97B92</vt:lpwstr>
  </property>
</Properties>
</file>