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1044" w:firstLineChars="200"/>
        <w:jc w:val="center"/>
        <w:textAlignment w:val="auto"/>
        <w:rPr>
          <w:rFonts w:hint="eastAsia" w:ascii="楷体" w:hAnsi="楷体" w:eastAsia="楷体" w:cs="楷体"/>
          <w:b/>
          <w:bCs/>
          <w:sz w:val="52"/>
          <w:szCs w:val="52"/>
          <w:highlight w:val="none"/>
          <w:lang w:val="en-US" w:eastAsia="zh-CN"/>
        </w:rPr>
      </w:pPr>
      <w:r>
        <w:rPr>
          <w:rFonts w:hint="eastAsia" w:ascii="宋体" w:hAnsi="宋体" w:eastAsia="宋体" w:cs="宋体"/>
          <w:b/>
          <w:bCs/>
          <w:sz w:val="52"/>
          <w:szCs w:val="52"/>
          <w:highlight w:val="none"/>
          <w:lang w:val="en-US" w:eastAsia="zh-CN"/>
        </w:rPr>
        <w:t>2022年度重大政策和重点项目绩效执行情况</w:t>
      </w:r>
    </w:p>
    <w:p>
      <w:pPr>
        <w:pStyle w:val="2"/>
        <w:rPr>
          <w:rFonts w:hint="default"/>
          <w:lang w:val="en-US" w:eastAsia="zh-CN"/>
        </w:rPr>
      </w:pPr>
    </w:p>
    <w:p>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FangSong_GB2312" w:hAnsi="FangSong_GB2312" w:eastAsia="FangSong_GB2312" w:cs="Times New Roman"/>
          <w:sz w:val="32"/>
          <w:szCs w:val="32"/>
        </w:rPr>
      </w:pP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我们全面贯彻县委县政府决策部署，按照县人大有关决议要求和财政经济委员会审查意见，围绕“三高四新”战略，全力支持“乡村振兴”，扎实做好“六稳”“六保”工作，不断加强财政资源统筹，不断优化支出结构</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全面落实党政机关过</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紧日子</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要求，大力实施积极的财政政策服务全县经济社会发展，各项工作稳步推进。</w:t>
      </w:r>
    </w:p>
    <w:p>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楷体" w:hAnsi="楷体" w:eastAsia="楷体" w:cs="Times New Roman"/>
          <w:sz w:val="32"/>
          <w:szCs w:val="32"/>
        </w:rPr>
      </w:pPr>
      <w:r>
        <w:rPr>
          <w:rFonts w:hint="eastAsia" w:ascii="楷体" w:hAnsi="楷体" w:eastAsia="楷体" w:cs="楷体"/>
          <w:sz w:val="32"/>
          <w:szCs w:val="32"/>
        </w:rPr>
        <w:t>（一）狠抓收支管理，财政收入不断增长。</w:t>
      </w:r>
    </w:p>
    <w:p>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FangSong_GB2312" w:hAnsi="FangSong_GB2312" w:eastAsia="FangSong_GB2312" w:cs="Times New Roman"/>
          <w:sz w:val="32"/>
          <w:szCs w:val="32"/>
        </w:rPr>
      </w:pPr>
      <w:r>
        <w:rPr>
          <w:rFonts w:hint="eastAsia" w:ascii="FangSong_GB2312" w:hAnsi="FangSong_GB2312" w:eastAsia="FangSong_GB2312" w:cs="FangSong_GB2312"/>
          <w:sz w:val="32"/>
          <w:szCs w:val="32"/>
        </w:rPr>
        <w:t>严格落实“收支两条线”管理要求，坚持增收与节支并举，开源与节流并重，切实增强财政支持能力。</w:t>
      </w:r>
      <w:r>
        <w:rPr>
          <w:rFonts w:hint="eastAsia" w:ascii="FangSong_GB2312" w:hAnsi="FangSong_GB2312" w:eastAsia="FangSong_GB2312" w:cs="FangSong_GB2312"/>
          <w:b/>
          <w:bCs/>
          <w:sz w:val="32"/>
          <w:szCs w:val="32"/>
        </w:rPr>
        <w:t>一是</w:t>
      </w:r>
      <w:r>
        <w:rPr>
          <w:rFonts w:hint="eastAsia" w:ascii="FangSong_GB2312" w:hAnsi="FangSong_GB2312" w:eastAsia="FangSong_GB2312" w:cs="FangSong_GB2312"/>
          <w:sz w:val="32"/>
          <w:szCs w:val="32"/>
        </w:rPr>
        <w:t>狠抓收入质量。紧紧围绕全县财政收入任务和增长目标，在保障经济发展的基础上，积极培植财源税源，掌控重点收入，做到应收尽收。</w:t>
      </w:r>
      <w:r>
        <w:rPr>
          <w:rFonts w:hint="eastAsia" w:ascii="FangSong_GB2312" w:hAnsi="FangSong_GB2312" w:eastAsia="FangSong_GB2312" w:cs="FangSong_GB2312"/>
          <w:b/>
          <w:bCs/>
          <w:sz w:val="32"/>
          <w:szCs w:val="32"/>
        </w:rPr>
        <w:t>二是</w:t>
      </w:r>
      <w:r>
        <w:rPr>
          <w:rFonts w:hint="eastAsia" w:ascii="FangSong_GB2312" w:hAnsi="FangSong_GB2312" w:eastAsia="FangSong_GB2312" w:cs="FangSong_GB2312"/>
          <w:sz w:val="32"/>
          <w:szCs w:val="32"/>
        </w:rPr>
        <w:t>全力兜牢“三保”底线。</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年，全县一般公共财政预算总支出完成</w:t>
      </w:r>
      <w:r>
        <w:rPr>
          <w:rFonts w:ascii="FangSong_GB2312" w:hAnsi="FangSong_GB2312" w:eastAsia="FangSong_GB2312" w:cs="FangSong_GB2312"/>
          <w:sz w:val="32"/>
          <w:szCs w:val="32"/>
        </w:rPr>
        <w:t>713141</w:t>
      </w:r>
      <w:r>
        <w:rPr>
          <w:rFonts w:hint="eastAsia" w:ascii="FangSong_GB2312" w:hAnsi="FangSong_GB2312" w:eastAsia="FangSong_GB2312" w:cs="FangSong_GB2312"/>
          <w:sz w:val="32"/>
          <w:szCs w:val="32"/>
        </w:rPr>
        <w:t>万元</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同比增长</w:t>
      </w:r>
      <w:r>
        <w:rPr>
          <w:rFonts w:ascii="FangSong_GB2312" w:hAnsi="FangSong_GB2312" w:eastAsia="FangSong_GB2312" w:cs="FangSong_GB2312"/>
          <w:sz w:val="32"/>
          <w:szCs w:val="32"/>
        </w:rPr>
        <w:t>8.63%</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年预算安排“三保”支出</w:t>
      </w:r>
      <w:r>
        <w:rPr>
          <w:rFonts w:ascii="FangSong_GB2312" w:hAnsi="FangSong_GB2312" w:eastAsia="FangSong_GB2312" w:cs="FangSong_GB2312"/>
          <w:sz w:val="32"/>
          <w:szCs w:val="32"/>
        </w:rPr>
        <w:t>450170</w:t>
      </w:r>
      <w:r>
        <w:rPr>
          <w:rFonts w:hint="eastAsia" w:ascii="FangSong_GB2312" w:hAnsi="FangSong_GB2312" w:eastAsia="FangSong_GB2312" w:cs="FangSong_GB2312"/>
          <w:sz w:val="32"/>
          <w:szCs w:val="32"/>
        </w:rPr>
        <w:t>万元，其中：保工资</w:t>
      </w:r>
      <w:r>
        <w:rPr>
          <w:rFonts w:ascii="FangSong_GB2312" w:hAnsi="FangSong_GB2312" w:eastAsia="FangSong_GB2312" w:cs="FangSong_GB2312"/>
          <w:sz w:val="32"/>
          <w:szCs w:val="32"/>
        </w:rPr>
        <w:t>220144</w:t>
      </w:r>
      <w:r>
        <w:rPr>
          <w:rFonts w:hint="eastAsia" w:ascii="FangSong_GB2312" w:hAnsi="FangSong_GB2312" w:eastAsia="FangSong_GB2312" w:cs="FangSong_GB2312"/>
          <w:sz w:val="32"/>
          <w:szCs w:val="32"/>
        </w:rPr>
        <w:t>万元、保运转</w:t>
      </w:r>
      <w:r>
        <w:rPr>
          <w:rFonts w:ascii="FangSong_GB2312" w:hAnsi="FangSong_GB2312" w:eastAsia="FangSong_GB2312" w:cs="FangSong_GB2312"/>
          <w:sz w:val="32"/>
          <w:szCs w:val="32"/>
        </w:rPr>
        <w:t>11837</w:t>
      </w:r>
      <w:r>
        <w:rPr>
          <w:rFonts w:hint="eastAsia" w:ascii="FangSong_GB2312" w:hAnsi="FangSong_GB2312" w:eastAsia="FangSong_GB2312" w:cs="FangSong_GB2312"/>
          <w:sz w:val="32"/>
          <w:szCs w:val="32"/>
        </w:rPr>
        <w:t>万元、保基本民生</w:t>
      </w:r>
      <w:r>
        <w:rPr>
          <w:rFonts w:ascii="FangSong_GB2312" w:hAnsi="FangSong_GB2312" w:eastAsia="FangSong_GB2312" w:cs="FangSong_GB2312"/>
          <w:sz w:val="32"/>
          <w:szCs w:val="32"/>
        </w:rPr>
        <w:t>218189</w:t>
      </w:r>
      <w:r>
        <w:rPr>
          <w:rFonts w:hint="eastAsia" w:ascii="FangSong_GB2312" w:hAnsi="FangSong_GB2312" w:eastAsia="FangSong_GB2312" w:cs="FangSong_GB2312"/>
          <w:sz w:val="32"/>
          <w:szCs w:val="32"/>
        </w:rPr>
        <w:t>万元。</w:t>
      </w:r>
    </w:p>
    <w:p>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楷体" w:hAnsi="楷体" w:eastAsia="楷体" w:cs="Times New Roman"/>
          <w:sz w:val="32"/>
          <w:szCs w:val="32"/>
        </w:rPr>
      </w:pPr>
      <w:r>
        <w:rPr>
          <w:rFonts w:hint="eastAsia" w:ascii="楷体" w:hAnsi="楷体" w:eastAsia="楷体" w:cs="楷体"/>
          <w:sz w:val="32"/>
          <w:szCs w:val="32"/>
        </w:rPr>
        <w:t>（二）优化支出结构，民生投入不断增加。</w:t>
      </w:r>
    </w:p>
    <w:p>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坚持保障民生，持续加大民生投入。</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年安排民生支出</w:t>
      </w:r>
      <w:r>
        <w:rPr>
          <w:rFonts w:ascii="FangSong_GB2312" w:hAnsi="FangSong_GB2312" w:eastAsia="FangSong_GB2312" w:cs="FangSong_GB2312"/>
          <w:sz w:val="32"/>
          <w:szCs w:val="32"/>
        </w:rPr>
        <w:t>581940</w:t>
      </w:r>
      <w:r>
        <w:rPr>
          <w:rFonts w:hint="eastAsia" w:ascii="FangSong_GB2312" w:hAnsi="FangSong_GB2312" w:eastAsia="FangSong_GB2312" w:cs="FangSong_GB2312"/>
          <w:sz w:val="32"/>
          <w:szCs w:val="32"/>
        </w:rPr>
        <w:t>万元，占一般公共预算支出总量</w:t>
      </w:r>
      <w:r>
        <w:rPr>
          <w:rFonts w:ascii="FangSong_GB2312" w:hAnsi="FangSong_GB2312" w:eastAsia="FangSong_GB2312" w:cs="FangSong_GB2312"/>
          <w:sz w:val="32"/>
          <w:szCs w:val="32"/>
        </w:rPr>
        <w:t>81.6%</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b/>
          <w:bCs/>
          <w:sz w:val="32"/>
          <w:szCs w:val="32"/>
        </w:rPr>
        <w:t>一是</w:t>
      </w:r>
      <w:r>
        <w:rPr>
          <w:rFonts w:hint="eastAsia" w:ascii="FangSong_GB2312" w:hAnsi="FangSong_GB2312" w:eastAsia="FangSong_GB2312" w:cs="FangSong_GB2312"/>
          <w:sz w:val="32"/>
          <w:szCs w:val="32"/>
        </w:rPr>
        <w:t>坚持教育优先。建立教育投入稳定增长机制，全年教育支出</w:t>
      </w:r>
      <w:r>
        <w:rPr>
          <w:rFonts w:ascii="FangSong_GB2312" w:hAnsi="FangSong_GB2312" w:eastAsia="FangSong_GB2312" w:cs="FangSong_GB2312"/>
          <w:sz w:val="32"/>
          <w:szCs w:val="32"/>
        </w:rPr>
        <w:t>120334</w:t>
      </w:r>
      <w:r>
        <w:rPr>
          <w:rFonts w:hint="eastAsia" w:ascii="FangSong_GB2312" w:hAnsi="FangSong_GB2312" w:eastAsia="FangSong_GB2312" w:cs="FangSong_GB2312"/>
          <w:sz w:val="32"/>
          <w:szCs w:val="32"/>
        </w:rPr>
        <w:t>万元，积极支持教育事业持续健康发展。</w:t>
      </w:r>
      <w:r>
        <w:rPr>
          <w:rFonts w:hint="eastAsia" w:ascii="FangSong_GB2312" w:hAnsi="FangSong_GB2312" w:eastAsia="FangSong_GB2312" w:cs="FangSong_GB2312"/>
          <w:b/>
          <w:bCs/>
          <w:sz w:val="32"/>
          <w:szCs w:val="32"/>
        </w:rPr>
        <w:t>二是</w:t>
      </w:r>
      <w:r>
        <w:rPr>
          <w:rFonts w:hint="eastAsia" w:ascii="FangSong_GB2312" w:hAnsi="FangSong_GB2312" w:eastAsia="FangSong_GB2312" w:cs="FangSong_GB2312"/>
          <w:sz w:val="32"/>
          <w:szCs w:val="32"/>
        </w:rPr>
        <w:t>推进乡村振兴。聚焦巩固拓展脱贫攻坚成果，提升脱贫质量，把农业农村作为财政支出的重点保障领域，全年筹整合使用财政涉农资金</w:t>
      </w:r>
      <w:r>
        <w:rPr>
          <w:rFonts w:ascii="FangSong_GB2312" w:hAnsi="FangSong_GB2312" w:eastAsia="FangSong_GB2312" w:cs="FangSong_GB2312"/>
          <w:sz w:val="32"/>
          <w:szCs w:val="32"/>
        </w:rPr>
        <w:t>38994.84</w:t>
      </w:r>
      <w:r>
        <w:rPr>
          <w:rFonts w:hint="eastAsia" w:ascii="FangSong_GB2312" w:hAnsi="FangSong_GB2312" w:eastAsia="FangSong_GB2312" w:cs="FangSong_GB2312"/>
          <w:sz w:val="32"/>
          <w:szCs w:val="32"/>
        </w:rPr>
        <w:t>万元，为我县推进“乡村振兴”工作开好局起好步。积极组织各预算单位在</w:t>
      </w:r>
      <w:r>
        <w:rPr>
          <w:rFonts w:ascii="FangSong_GB2312" w:hAnsi="FangSong_GB2312" w:eastAsia="FangSong_GB2312" w:cs="FangSong_GB2312"/>
          <w:sz w:val="32"/>
          <w:szCs w:val="32"/>
        </w:rPr>
        <w:t>832</w:t>
      </w:r>
      <w:r>
        <w:rPr>
          <w:rFonts w:hint="eastAsia" w:ascii="FangSong_GB2312" w:hAnsi="FangSong_GB2312" w:eastAsia="FangSong_GB2312" w:cs="FangSong_GB2312"/>
          <w:sz w:val="32"/>
          <w:szCs w:val="32"/>
        </w:rPr>
        <w:t>平台和乡村振兴馆填报预留份额，两个平台共完成采购</w:t>
      </w:r>
      <w:r>
        <w:rPr>
          <w:rFonts w:ascii="FangSong_GB2312" w:hAnsi="FangSong_GB2312" w:eastAsia="FangSong_GB2312" w:cs="FangSong_GB2312"/>
          <w:sz w:val="32"/>
          <w:szCs w:val="32"/>
        </w:rPr>
        <w:t>790.85</w:t>
      </w:r>
      <w:r>
        <w:rPr>
          <w:rFonts w:hint="eastAsia" w:ascii="FangSong_GB2312" w:hAnsi="FangSong_GB2312" w:eastAsia="FangSong_GB2312" w:cs="FangSong_GB2312"/>
          <w:sz w:val="32"/>
          <w:szCs w:val="32"/>
        </w:rPr>
        <w:t>万元。预留份额的填报数量和速度、采购任务完成的数量和速度等两个指标居全市第一，全省前列。</w:t>
      </w:r>
      <w:r>
        <w:rPr>
          <w:rFonts w:hint="eastAsia" w:ascii="FangSong_GB2312" w:hAnsi="FangSong_GB2312" w:eastAsia="FangSong_GB2312" w:cs="FangSong_GB2312"/>
          <w:b/>
          <w:bCs/>
          <w:sz w:val="32"/>
          <w:szCs w:val="32"/>
        </w:rPr>
        <w:t>三是</w:t>
      </w:r>
      <w:r>
        <w:rPr>
          <w:rFonts w:hint="eastAsia" w:ascii="FangSong_GB2312" w:hAnsi="FangSong_GB2312" w:eastAsia="FangSong_GB2312" w:cs="FangSong_GB2312"/>
          <w:sz w:val="32"/>
          <w:szCs w:val="32"/>
        </w:rPr>
        <w:t>提升基本公共卫生服务水平。财政全年投入</w:t>
      </w:r>
      <w:r>
        <w:rPr>
          <w:rFonts w:ascii="FangSong_GB2312" w:hAnsi="FangSong_GB2312" w:eastAsia="FangSong_GB2312" w:cs="FangSong_GB2312"/>
          <w:sz w:val="32"/>
          <w:szCs w:val="32"/>
        </w:rPr>
        <w:t>12043.56</w:t>
      </w:r>
      <w:r>
        <w:rPr>
          <w:rFonts w:hint="eastAsia" w:ascii="FangSong_GB2312" w:hAnsi="FangSong_GB2312" w:eastAsia="FangSong_GB2312" w:cs="FangSong_GB2312"/>
          <w:sz w:val="32"/>
          <w:szCs w:val="32"/>
        </w:rPr>
        <w:t>万元，推进公共卫生服务能力建设，完善疾病预防控制和公共卫生</w:t>
      </w:r>
      <w:bookmarkStart w:id="0" w:name="_GoBack"/>
      <w:bookmarkEnd w:id="0"/>
      <w:r>
        <w:rPr>
          <w:rFonts w:hint="eastAsia" w:ascii="FangSong_GB2312" w:hAnsi="FangSong_GB2312" w:eastAsia="FangSong_GB2312" w:cs="FangSong_GB2312"/>
          <w:sz w:val="32"/>
          <w:szCs w:val="32"/>
        </w:rPr>
        <w:t>应急管理体系。投入公立医院的运转和基础设施建设资金</w:t>
      </w:r>
      <w:r>
        <w:rPr>
          <w:rFonts w:ascii="FangSong_GB2312" w:hAnsi="FangSong_GB2312" w:eastAsia="FangSong_GB2312" w:cs="FangSong_GB2312"/>
          <w:sz w:val="32"/>
          <w:szCs w:val="32"/>
        </w:rPr>
        <w:t>4.97</w:t>
      </w:r>
      <w:r>
        <w:rPr>
          <w:rFonts w:hint="eastAsia" w:ascii="FangSong_GB2312" w:hAnsi="FangSong_GB2312" w:eastAsia="FangSong_GB2312" w:cs="FangSong_GB2312"/>
          <w:sz w:val="32"/>
          <w:szCs w:val="32"/>
        </w:rPr>
        <w:t>亿元，保障基层医疗卫生机构有效运转，推动医疗卫生事业均衡发展。</w:t>
      </w:r>
      <w:r>
        <w:rPr>
          <w:rFonts w:hint="eastAsia" w:ascii="FangSong_GB2312" w:hAnsi="FangSong_GB2312" w:eastAsia="FangSong_GB2312" w:cs="FangSong_GB2312"/>
          <w:b/>
          <w:bCs/>
          <w:sz w:val="32"/>
          <w:szCs w:val="32"/>
          <w:highlight w:val="none"/>
        </w:rPr>
        <w:t>四是</w:t>
      </w:r>
      <w:r>
        <w:rPr>
          <w:rFonts w:hint="eastAsia" w:ascii="FangSong_GB2312" w:hAnsi="FangSong_GB2312" w:eastAsia="FangSong_GB2312" w:cs="FangSong_GB2312"/>
          <w:b w:val="0"/>
          <w:bCs w:val="0"/>
          <w:sz w:val="32"/>
          <w:szCs w:val="32"/>
          <w:highlight w:val="none"/>
        </w:rPr>
        <w:t>稳定市场就业。投入就业创业服务补助</w:t>
      </w:r>
      <w:r>
        <w:rPr>
          <w:rFonts w:hint="eastAsia" w:ascii="FangSong_GB2312" w:hAnsi="FangSong_GB2312" w:eastAsia="FangSong_GB2312" w:cs="FangSong_GB2312"/>
          <w:b w:val="0"/>
          <w:bCs w:val="0"/>
          <w:sz w:val="32"/>
          <w:szCs w:val="32"/>
          <w:highlight w:val="none"/>
          <w:lang w:eastAsia="zh-CN"/>
        </w:rPr>
        <w:t>等资金</w:t>
      </w:r>
      <w:r>
        <w:rPr>
          <w:rFonts w:hint="eastAsia" w:ascii="FangSong_GB2312" w:hAnsi="FangSong_GB2312" w:eastAsia="FangSong_GB2312" w:cs="FangSong_GB2312"/>
          <w:b w:val="0"/>
          <w:bCs w:val="0"/>
          <w:sz w:val="32"/>
          <w:szCs w:val="32"/>
          <w:highlight w:val="none"/>
          <w:lang w:val="en-US" w:eastAsia="zh-CN"/>
        </w:rPr>
        <w:t>1357.6万元，</w:t>
      </w:r>
      <w:r>
        <w:rPr>
          <w:rFonts w:hint="eastAsia" w:ascii="FangSong_GB2312" w:hAnsi="FangSong_GB2312" w:eastAsia="FangSong_GB2312" w:cs="FangSong_GB2312"/>
          <w:b w:val="0"/>
          <w:bCs w:val="0"/>
          <w:sz w:val="32"/>
          <w:szCs w:val="32"/>
          <w:highlight w:val="none"/>
        </w:rPr>
        <w:t>实施创新创业驱动战略，安排2796.1万元统筹做好就业补助和职业技能提升，切实提高失业人员再就业竞争力。</w:t>
      </w:r>
      <w:r>
        <w:rPr>
          <w:rFonts w:hint="eastAsia" w:ascii="FangSong_GB2312" w:hAnsi="FangSong_GB2312" w:eastAsia="FangSong_GB2312" w:cs="FangSong_GB2312"/>
          <w:b/>
          <w:bCs/>
          <w:sz w:val="32"/>
          <w:szCs w:val="32"/>
        </w:rPr>
        <w:t>五是</w:t>
      </w:r>
      <w:r>
        <w:rPr>
          <w:rFonts w:hint="eastAsia" w:ascii="FangSong_GB2312" w:hAnsi="FangSong_GB2312" w:eastAsia="FangSong_GB2312" w:cs="FangSong_GB2312"/>
          <w:sz w:val="32"/>
          <w:szCs w:val="32"/>
        </w:rPr>
        <w:t>提高保障能力。切实落实财政民生兜底责任，拨付资金</w:t>
      </w:r>
      <w:r>
        <w:rPr>
          <w:rFonts w:ascii="FangSong_GB2312" w:hAnsi="FangSong_GB2312" w:eastAsia="FangSong_GB2312" w:cs="FangSong_GB2312"/>
          <w:sz w:val="32"/>
          <w:szCs w:val="32"/>
        </w:rPr>
        <w:t>30323.25</w:t>
      </w:r>
      <w:r>
        <w:rPr>
          <w:rFonts w:hint="eastAsia" w:ascii="FangSong_GB2312" w:hAnsi="FangSong_GB2312" w:eastAsia="FangSong_GB2312" w:cs="FangSong_GB2312"/>
          <w:sz w:val="32"/>
          <w:szCs w:val="32"/>
        </w:rPr>
        <w:t>万元，用于城乡低保、特困人员、残疾人等困难群众生活补助</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保障全县城乡低保对象、城乡特困人员等困难群众基本生活。</w:t>
      </w:r>
    </w:p>
    <w:p>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楷体" w:hAnsi="楷体" w:eastAsia="楷体" w:cs="Times New Roman"/>
          <w:sz w:val="32"/>
          <w:szCs w:val="32"/>
        </w:rPr>
      </w:pPr>
      <w:r>
        <w:rPr>
          <w:rFonts w:hint="eastAsia" w:ascii="楷体" w:hAnsi="楷体" w:eastAsia="楷体" w:cs="楷体"/>
          <w:sz w:val="32"/>
          <w:szCs w:val="32"/>
        </w:rPr>
        <w:t>（三）深化改革创新，体制机制不断完善。</w:t>
      </w:r>
    </w:p>
    <w:p>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FangSong_GB2312" w:hAnsi="FangSong_GB2312" w:eastAsia="FangSong_GB2312" w:cs="Times New Roman"/>
          <w:sz w:val="32"/>
          <w:szCs w:val="32"/>
          <w:highlight w:val="yellow"/>
        </w:rPr>
      </w:pPr>
      <w:r>
        <w:rPr>
          <w:rFonts w:hint="eastAsia" w:ascii="FangSong_GB2312" w:hAnsi="FangSong_GB2312" w:eastAsia="FangSong_GB2312" w:cs="FangSong_GB2312"/>
          <w:sz w:val="32"/>
          <w:szCs w:val="32"/>
        </w:rPr>
        <w:t>不断完善体制机制，抓好财政管理改革。</w:t>
      </w:r>
      <w:r>
        <w:rPr>
          <w:rFonts w:hint="eastAsia" w:ascii="FangSong_GB2312" w:hAnsi="FangSong_GB2312" w:eastAsia="FangSong_GB2312" w:cs="FangSong_GB2312"/>
          <w:b/>
          <w:bCs/>
          <w:sz w:val="32"/>
          <w:szCs w:val="32"/>
        </w:rPr>
        <w:t>一是</w:t>
      </w:r>
      <w:r>
        <w:rPr>
          <w:rFonts w:hint="eastAsia" w:ascii="FangSong_GB2312" w:hAnsi="FangSong_GB2312" w:eastAsia="FangSong_GB2312" w:cs="FangSong_GB2312"/>
          <w:sz w:val="32"/>
          <w:szCs w:val="32"/>
        </w:rPr>
        <w:t>以预算管理一体化建设为基础，全面改革预算管理模式，切实增强预算约束力、执行力。严格按照省厅预算管理一体化建设的安排部署，在预算管理一体化系统中完成了基础信息、项目库信息、指标管理、预算编制初始化采集。组织全县预算单位开展了预算管理一体化业务规范和预算管理一体化系统编制部门预算操作业务培训，完成预算管理一体化系统编制部门预算“一上”工作。</w:t>
      </w:r>
      <w:r>
        <w:rPr>
          <w:rFonts w:hint="eastAsia" w:ascii="FangSong_GB2312" w:hAnsi="FangSong_GB2312" w:eastAsia="FangSong_GB2312" w:cs="FangSong_GB2312"/>
          <w:b/>
          <w:bCs/>
          <w:sz w:val="32"/>
          <w:szCs w:val="32"/>
        </w:rPr>
        <w:t>二是</w:t>
      </w:r>
      <w:r>
        <w:rPr>
          <w:rFonts w:hint="eastAsia" w:ascii="FangSong_GB2312" w:hAnsi="FangSong_GB2312" w:eastAsia="FangSong_GB2312" w:cs="FangSong_GB2312"/>
          <w:sz w:val="32"/>
          <w:szCs w:val="32"/>
        </w:rPr>
        <w:t>以平台公司转型为契机，根据防范化解政府债务风险推进平台转型工作方案要求，成立专班积极推进转型。强力推进国有资产归集，注入优质资产，有力充实平台公司经营资产，有效提升国有资产经营效益。</w:t>
      </w:r>
      <w:r>
        <w:rPr>
          <w:rFonts w:hint="eastAsia" w:ascii="FangSong_GB2312" w:hAnsi="FangSong_GB2312" w:eastAsia="FangSong_GB2312" w:cs="FangSong_GB2312"/>
          <w:b/>
          <w:bCs/>
          <w:sz w:val="32"/>
          <w:szCs w:val="32"/>
        </w:rPr>
        <w:t>三是</w:t>
      </w:r>
      <w:r>
        <w:rPr>
          <w:rFonts w:hint="eastAsia" w:ascii="FangSong_GB2312" w:hAnsi="FangSong_GB2312" w:eastAsia="FangSong_GB2312" w:cs="FangSong_GB2312"/>
          <w:sz w:val="32"/>
          <w:szCs w:val="32"/>
        </w:rPr>
        <w:t>以直达资金管理为抓手，全面推进财政资金直接惠企利民，促进财政资金高效使用。全年直达资金分配进度</w:t>
      </w:r>
      <w:r>
        <w:rPr>
          <w:rFonts w:ascii="FangSong_GB2312" w:hAnsi="FangSong_GB2312" w:eastAsia="FangSong_GB2312" w:cs="FangSong_GB2312"/>
          <w:sz w:val="32"/>
          <w:szCs w:val="32"/>
        </w:rPr>
        <w:t>100%</w:t>
      </w:r>
      <w:r>
        <w:rPr>
          <w:rFonts w:hint="eastAsia" w:ascii="FangSong_GB2312" w:hAnsi="FangSong_GB2312" w:eastAsia="FangSong_GB2312" w:cs="FangSong_GB2312"/>
          <w:sz w:val="32"/>
          <w:szCs w:val="32"/>
        </w:rPr>
        <w:t>，支出进度</w:t>
      </w:r>
      <w:r>
        <w:rPr>
          <w:rFonts w:ascii="FangSong_GB2312" w:hAnsi="FangSong_GB2312" w:eastAsia="FangSong_GB2312" w:cs="FangSong_GB2312"/>
          <w:sz w:val="32"/>
          <w:szCs w:val="32"/>
        </w:rPr>
        <w:t>97.3%</w:t>
      </w:r>
      <w:r>
        <w:rPr>
          <w:rFonts w:hint="eastAsia" w:ascii="FangSong_GB2312" w:hAnsi="FangSong_GB2312" w:eastAsia="FangSong_GB2312" w:cs="FangSong_GB2312"/>
          <w:sz w:val="32"/>
          <w:szCs w:val="32"/>
        </w:rPr>
        <w:t>。实行通报制度，进一步强化直达资金管理。</w:t>
      </w:r>
      <w:r>
        <w:rPr>
          <w:rFonts w:hint="eastAsia" w:ascii="FangSong_GB2312" w:hAnsi="FangSong_GB2312" w:eastAsia="FangSong_GB2312" w:cs="FangSong_GB2312"/>
          <w:b/>
          <w:bCs/>
          <w:sz w:val="32"/>
          <w:szCs w:val="32"/>
        </w:rPr>
        <w:t>四是</w:t>
      </w:r>
      <w:r>
        <w:rPr>
          <w:rFonts w:hint="eastAsia" w:ascii="FangSong_GB2312" w:hAnsi="FangSong_GB2312" w:eastAsia="FangSong_GB2312" w:cs="FangSong_GB2312"/>
          <w:b w:val="0"/>
          <w:bCs w:val="0"/>
          <w:sz w:val="32"/>
          <w:szCs w:val="32"/>
          <w:lang w:eastAsia="zh-CN"/>
        </w:rPr>
        <w:t>以</w:t>
      </w:r>
      <w:r>
        <w:rPr>
          <w:rFonts w:hint="eastAsia" w:ascii="FangSong_GB2312" w:hAnsi="FangSong_GB2312" w:eastAsia="FangSong_GB2312" w:cs="FangSong_GB2312"/>
          <w:sz w:val="32"/>
          <w:szCs w:val="32"/>
        </w:rPr>
        <w:t>全面推进预算绩效管理工作</w:t>
      </w:r>
      <w:r>
        <w:rPr>
          <w:rFonts w:hint="eastAsia" w:ascii="FangSong_GB2312" w:hAnsi="FangSong_GB2312" w:eastAsia="FangSong_GB2312" w:cs="FangSong_GB2312"/>
          <w:sz w:val="32"/>
          <w:szCs w:val="32"/>
          <w:lang w:eastAsia="zh-CN"/>
        </w:rPr>
        <w:t>为重点，</w:t>
      </w:r>
      <w:r>
        <w:rPr>
          <w:rFonts w:hint="eastAsia" w:ascii="FangSong_GB2312" w:hAnsi="FangSong_GB2312" w:eastAsia="FangSong_GB2312" w:cs="FangSong_GB2312"/>
          <w:sz w:val="32"/>
          <w:szCs w:val="32"/>
        </w:rPr>
        <w:t>进一步完善机制体制，起草了《安化县人民政府关于全面实施预算绩效管理的实施意见》，出台了《安化县预算绩效评价管理办法》《安化县全面实施预算绩效管理实施细则（试行）》等一系列政策文件。</w:t>
      </w:r>
      <w:r>
        <w:rPr>
          <w:rFonts w:hint="eastAsia" w:ascii="FangSong_GB2312" w:hAnsi="FangSong_GB2312" w:eastAsia="FangSong_GB2312" w:cs="FangSong_GB2312"/>
          <w:b w:val="0"/>
          <w:bCs w:val="0"/>
          <w:sz w:val="32"/>
          <w:szCs w:val="32"/>
        </w:rPr>
        <w:t>强化源头管控，实现关口前移</w:t>
      </w:r>
      <w:r>
        <w:rPr>
          <w:rFonts w:hint="eastAsia" w:ascii="FangSong_GB2312" w:hAnsi="FangSong_GB2312" w:eastAsia="FangSong_GB2312" w:cs="FangSong_GB2312"/>
          <w:b w:val="0"/>
          <w:bCs w:val="0"/>
          <w:sz w:val="32"/>
          <w:szCs w:val="32"/>
          <w:lang w:val="en-US" w:eastAsia="zh-CN"/>
        </w:rPr>
        <w:t>,</w:t>
      </w:r>
      <w:r>
        <w:rPr>
          <w:rFonts w:hint="eastAsia" w:ascii="FangSong_GB2312" w:hAnsi="FangSong_GB2312" w:eastAsia="FangSong_GB2312" w:cs="FangSong_GB2312"/>
          <w:b w:val="0"/>
          <w:bCs w:val="0"/>
          <w:sz w:val="32"/>
          <w:szCs w:val="32"/>
        </w:rPr>
        <w:t>加强事中监管，强化绩效责任</w:t>
      </w:r>
      <w:r>
        <w:rPr>
          <w:rFonts w:hint="eastAsia" w:ascii="FangSong_GB2312" w:hAnsi="FangSong_GB2312" w:eastAsia="FangSong_GB2312" w:cs="FangSong_GB2312"/>
          <w:b w:val="0"/>
          <w:bCs w:val="0"/>
          <w:sz w:val="32"/>
          <w:szCs w:val="32"/>
          <w:lang w:val="en-US" w:eastAsia="zh-CN"/>
        </w:rPr>
        <w:t>,</w:t>
      </w:r>
      <w:r>
        <w:rPr>
          <w:rFonts w:hint="eastAsia" w:ascii="FangSong_GB2312" w:hAnsi="FangSong_GB2312" w:eastAsia="FangSong_GB2312" w:cs="FangSong_GB2312"/>
          <w:b w:val="0"/>
          <w:bCs w:val="0"/>
          <w:sz w:val="32"/>
          <w:szCs w:val="32"/>
        </w:rPr>
        <w:t>落实事后</w:t>
      </w:r>
      <w:r>
        <w:rPr>
          <w:rFonts w:hint="eastAsia" w:ascii="FangSong_GB2312" w:hAnsi="FangSong_GB2312" w:eastAsia="FangSong_GB2312" w:cs="FangSong_GB2312"/>
          <w:b w:val="0"/>
          <w:bCs w:val="0"/>
          <w:sz w:val="32"/>
          <w:szCs w:val="32"/>
          <w:lang w:eastAsia="zh-CN"/>
        </w:rPr>
        <w:t>评价，强化</w:t>
      </w:r>
      <w:r>
        <w:rPr>
          <w:rFonts w:hint="eastAsia" w:ascii="FangSong_GB2312" w:hAnsi="FangSong_GB2312" w:eastAsia="FangSong_GB2312" w:cs="FangSong_GB2312"/>
          <w:b w:val="0"/>
          <w:bCs w:val="0"/>
          <w:sz w:val="32"/>
          <w:szCs w:val="32"/>
        </w:rPr>
        <w:t>结果运用，</w:t>
      </w:r>
      <w:r>
        <w:rPr>
          <w:rFonts w:hint="eastAsia" w:ascii="FangSong_GB2312" w:hAnsi="FangSong_GB2312" w:eastAsia="FangSong_GB2312" w:cs="FangSong_GB2312"/>
          <w:sz w:val="32"/>
          <w:szCs w:val="32"/>
        </w:rPr>
        <w:t>加大了财政资金绩效管理激励约束力度。</w:t>
      </w:r>
    </w:p>
    <w:p>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楷体" w:hAnsi="楷体" w:eastAsia="楷体" w:cs="Times New Roman"/>
          <w:sz w:val="32"/>
          <w:szCs w:val="32"/>
        </w:rPr>
      </w:pPr>
      <w:r>
        <w:rPr>
          <w:rFonts w:hint="eastAsia" w:ascii="楷体" w:hAnsi="楷体" w:eastAsia="楷体" w:cs="楷体"/>
          <w:sz w:val="32"/>
          <w:szCs w:val="32"/>
        </w:rPr>
        <w:t>（四）防范化解风险，发展内力不断增强。</w:t>
      </w:r>
    </w:p>
    <w:p>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FangSong_GB2312" w:hAnsi="FangSong_GB2312" w:eastAsia="FangSong_GB2312" w:cs="Times New Roman"/>
          <w:sz w:val="32"/>
          <w:szCs w:val="32"/>
        </w:rPr>
      </w:pPr>
      <w:r>
        <w:rPr>
          <w:rFonts w:hint="eastAsia" w:ascii="FangSong_GB2312" w:hAnsi="FangSong_GB2312" w:eastAsia="FangSong_GB2312" w:cs="FangSong_GB2312"/>
          <w:sz w:val="32"/>
          <w:szCs w:val="32"/>
        </w:rPr>
        <w:t>秉持“发展就是防范化解风险最有效的手段”理念，在严格执行地方政府债务防范化解方案的基础上，充分挖掘有限资源，增强发展内力，壮大财政实力，从根本上提升防范化解风险的能力。一是积极化解债务，坚决守住不新增隐性债务的底线。二是狠抓财源建设。围绕重点产业税收提升、骨干税源企业培育和园区产业发展提质拟定了财源建设工作方案，“一企一策”针对性破解企业发展的瓶颈。强化征管措施，保障税收秩序。突出了园区提质，把园区作为财源建设主战场，围绕产业发展、优化税源结构，选择一批具有产业优势、成长性好、辐射带动作用突出的企业作为骨干税源企业培育，促进骨干税源企业稳步成长。</w:t>
      </w:r>
    </w:p>
    <w:p>
      <w:pPr>
        <w:keepNext w:val="0"/>
        <w:keepLines w:val="0"/>
        <w:pageBreakBefore w:val="0"/>
        <w:widowControl w:val="0"/>
        <w:kinsoku/>
        <w:wordWrap/>
        <w:overflowPunct/>
        <w:topLinePunct w:val="0"/>
        <w:autoSpaceDN/>
        <w:bidi w:val="0"/>
        <w:adjustRightInd/>
        <w:snapToGrid/>
        <w:spacing w:line="576" w:lineRule="exact"/>
        <w:ind w:left="0" w:leftChars="0" w:firstLine="616" w:firstLineChars="200"/>
        <w:jc w:val="left"/>
        <w:textAlignment w:val="auto"/>
        <w:rPr>
          <w:rFonts w:hint="eastAsia" w:ascii="楷体" w:hAnsi="楷体" w:eastAsia="楷体" w:cs="楷体"/>
          <w:spacing w:val="-6"/>
          <w:sz w:val="32"/>
          <w:szCs w:val="32"/>
        </w:rPr>
      </w:pPr>
      <w:r>
        <w:rPr>
          <w:rFonts w:hint="eastAsia" w:ascii="楷体" w:hAnsi="楷体" w:eastAsia="楷体" w:cs="楷体"/>
          <w:spacing w:val="-6"/>
          <w:sz w:val="32"/>
          <w:szCs w:val="32"/>
        </w:rPr>
        <w:t>（五）</w:t>
      </w:r>
      <w:r>
        <w:rPr>
          <w:rFonts w:hint="eastAsia" w:ascii="楷体" w:hAnsi="楷体" w:eastAsia="楷体" w:cs="楷体"/>
          <w:sz w:val="32"/>
          <w:szCs w:val="32"/>
        </w:rPr>
        <w:t>压实监管责任，治理效能不断提高</w:t>
      </w:r>
      <w:r>
        <w:rPr>
          <w:rFonts w:hint="eastAsia" w:ascii="楷体" w:hAnsi="楷体" w:eastAsia="楷体" w:cs="楷体"/>
          <w:spacing w:val="-6"/>
          <w:sz w:val="32"/>
          <w:szCs w:val="32"/>
        </w:rPr>
        <w:t>。</w:t>
      </w:r>
    </w:p>
    <w:p>
      <w:pPr>
        <w:keepNext w:val="0"/>
        <w:keepLines w:val="0"/>
        <w:pageBreakBefore w:val="0"/>
        <w:widowControl w:val="0"/>
        <w:kinsoku/>
        <w:wordWrap/>
        <w:overflowPunct/>
        <w:topLinePunct w:val="0"/>
        <w:autoSpaceDN/>
        <w:bidi w:val="0"/>
        <w:adjustRightInd/>
        <w:snapToGrid/>
        <w:spacing w:line="576" w:lineRule="exact"/>
        <w:ind w:firstLine="640" w:firstLineChars="200"/>
        <w:jc w:val="both"/>
        <w:textAlignment w:val="auto"/>
        <w:rPr>
          <w:rFonts w:ascii="Calibri" w:hAnsi="Calibri" w:eastAsia="宋体" w:cs="Times New Roman"/>
          <w:kern w:val="2"/>
          <w:sz w:val="21"/>
          <w:szCs w:val="21"/>
          <w:lang w:val="en-US" w:eastAsia="zh-CN" w:bidi="ar-SA"/>
        </w:rPr>
      </w:pPr>
      <w:r>
        <w:rPr>
          <w:rFonts w:hint="eastAsia" w:ascii="FangSong_GB2312" w:hAnsi="FangSong_GB2312" w:eastAsia="FangSong_GB2312" w:cs="FangSong_GB2312"/>
          <w:kern w:val="2"/>
          <w:sz w:val="32"/>
          <w:szCs w:val="32"/>
          <w:lang w:val="en-US" w:eastAsia="zh-CN" w:bidi="ar-SA"/>
        </w:rPr>
        <w:t>扎实推进财政治理体系和治理能力建设，不断提升治理效能。高度重视财政资金监管工作，保障财政资金安全高效运行，管好用好政府的“钱袋子”。</w:t>
      </w:r>
      <w:r>
        <w:rPr>
          <w:rFonts w:hint="eastAsia" w:ascii="FangSong_GB2312" w:hAnsi="FangSong_GB2312" w:eastAsia="FangSong_GB2312" w:cs="FangSong_GB2312"/>
          <w:b/>
          <w:bCs/>
          <w:kern w:val="2"/>
          <w:sz w:val="32"/>
          <w:szCs w:val="32"/>
          <w:lang w:val="en-US" w:eastAsia="zh-CN" w:bidi="ar-SA"/>
        </w:rPr>
        <w:t>一是</w:t>
      </w:r>
      <w:r>
        <w:rPr>
          <w:rFonts w:hint="eastAsia" w:ascii="FangSong_GB2312" w:hAnsi="FangSong_GB2312" w:eastAsia="FangSong_GB2312" w:cs="FangSong_GB2312"/>
          <w:kern w:val="2"/>
          <w:sz w:val="32"/>
          <w:szCs w:val="32"/>
          <w:lang w:val="en-US" w:eastAsia="zh-CN" w:bidi="ar-SA"/>
        </w:rPr>
        <w:t>严把政府采购关。规范政府采购行为，组织全县预算单位开展政府采购电子卖场采购培训，全县所有预算单位进驻政府采购电子卖场采购。全年电子卖场交易额达到</w:t>
      </w:r>
      <w:r>
        <w:rPr>
          <w:rFonts w:ascii="FangSong_GB2312" w:hAnsi="FangSong_GB2312" w:eastAsia="FangSong_GB2312" w:cs="FangSong_GB2312"/>
          <w:kern w:val="2"/>
          <w:sz w:val="32"/>
          <w:szCs w:val="32"/>
          <w:lang w:val="en-US" w:eastAsia="zh-CN" w:bidi="ar-SA"/>
        </w:rPr>
        <w:t>79726</w:t>
      </w:r>
      <w:r>
        <w:rPr>
          <w:rFonts w:hint="eastAsia" w:ascii="FangSong_GB2312" w:hAnsi="FangSong_GB2312" w:eastAsia="FangSong_GB2312" w:cs="FangSong_GB2312"/>
          <w:kern w:val="2"/>
          <w:sz w:val="32"/>
          <w:szCs w:val="32"/>
          <w:lang w:val="en-US" w:eastAsia="zh-CN" w:bidi="ar-SA"/>
        </w:rPr>
        <w:t>万元，完成交易次数</w:t>
      </w:r>
      <w:r>
        <w:rPr>
          <w:rFonts w:ascii="FangSong_GB2312" w:hAnsi="FangSong_GB2312" w:eastAsia="FangSong_GB2312" w:cs="FangSong_GB2312"/>
          <w:kern w:val="2"/>
          <w:sz w:val="32"/>
          <w:szCs w:val="32"/>
          <w:lang w:val="en-US" w:eastAsia="zh-CN" w:bidi="ar-SA"/>
        </w:rPr>
        <w:t>29539</w:t>
      </w:r>
      <w:r>
        <w:rPr>
          <w:rFonts w:hint="eastAsia" w:ascii="FangSong_GB2312" w:hAnsi="FangSong_GB2312" w:eastAsia="FangSong_GB2312" w:cs="FangSong_GB2312"/>
          <w:kern w:val="2"/>
          <w:sz w:val="32"/>
          <w:szCs w:val="32"/>
          <w:lang w:val="en-US" w:eastAsia="zh-CN" w:bidi="ar-SA"/>
        </w:rPr>
        <w:t>次。</w:t>
      </w:r>
      <w:r>
        <w:rPr>
          <w:rFonts w:hint="eastAsia" w:ascii="FangSong_GB2312" w:hAnsi="FangSong_GB2312" w:eastAsia="FangSong_GB2312" w:cs="FangSong_GB2312"/>
          <w:b/>
          <w:bCs/>
          <w:kern w:val="2"/>
          <w:sz w:val="32"/>
          <w:szCs w:val="32"/>
          <w:lang w:val="en-US" w:eastAsia="zh-CN" w:bidi="ar-SA"/>
        </w:rPr>
        <w:t>二是</w:t>
      </w:r>
      <w:r>
        <w:rPr>
          <w:rFonts w:hint="eastAsia" w:ascii="FangSong_GB2312" w:hAnsi="FangSong_GB2312" w:eastAsia="FangSong_GB2312" w:cs="FangSong_GB2312"/>
          <w:kern w:val="2"/>
          <w:sz w:val="32"/>
          <w:szCs w:val="32"/>
          <w:lang w:val="en-US" w:eastAsia="zh-CN" w:bidi="ar-SA"/>
        </w:rPr>
        <w:t>严把项目投资评审关。</w:t>
      </w:r>
      <w:r>
        <w:rPr>
          <w:rFonts w:ascii="FangSong_GB2312" w:hAnsi="FangSong_GB2312" w:eastAsia="FangSong_GB2312" w:cs="FangSong_GB2312"/>
          <w:kern w:val="2"/>
          <w:sz w:val="32"/>
          <w:szCs w:val="32"/>
          <w:lang w:val="en-US" w:eastAsia="zh-CN" w:bidi="ar-SA"/>
        </w:rPr>
        <w:t>2022</w:t>
      </w:r>
      <w:r>
        <w:rPr>
          <w:rFonts w:hint="eastAsia" w:ascii="FangSong_GB2312" w:hAnsi="FangSong_GB2312" w:eastAsia="FangSong_GB2312" w:cs="FangSong_GB2312"/>
          <w:kern w:val="2"/>
          <w:sz w:val="32"/>
          <w:szCs w:val="32"/>
          <w:lang w:val="en-US" w:eastAsia="zh-CN" w:bidi="ar-SA"/>
        </w:rPr>
        <w:t>年审核预算项目</w:t>
      </w:r>
      <w:r>
        <w:rPr>
          <w:rFonts w:ascii="FangSong_GB2312" w:hAnsi="FangSong_GB2312" w:eastAsia="FangSong_GB2312" w:cs="FangSong_GB2312"/>
          <w:kern w:val="2"/>
          <w:sz w:val="32"/>
          <w:szCs w:val="32"/>
          <w:lang w:val="en-US" w:eastAsia="zh-CN" w:bidi="ar-SA"/>
        </w:rPr>
        <w:t>95</w:t>
      </w:r>
      <w:r>
        <w:rPr>
          <w:rFonts w:hint="eastAsia" w:ascii="FangSong_GB2312" w:hAnsi="FangSong_GB2312" w:eastAsia="FangSong_GB2312" w:cs="FangSong_GB2312"/>
          <w:kern w:val="2"/>
          <w:sz w:val="32"/>
          <w:szCs w:val="32"/>
          <w:lang w:val="en-US" w:eastAsia="zh-CN" w:bidi="ar-SA"/>
        </w:rPr>
        <w:t>个，送审金额</w:t>
      </w:r>
      <w:r>
        <w:rPr>
          <w:rFonts w:ascii="FangSong_GB2312" w:hAnsi="FangSong_GB2312" w:eastAsia="FangSong_GB2312" w:cs="FangSong_GB2312"/>
          <w:kern w:val="2"/>
          <w:sz w:val="32"/>
          <w:szCs w:val="32"/>
          <w:lang w:val="en-US" w:eastAsia="zh-CN" w:bidi="ar-SA"/>
        </w:rPr>
        <w:t>6</w:t>
      </w:r>
      <w:r>
        <w:rPr>
          <w:rFonts w:hint="eastAsia" w:ascii="FangSong_GB2312" w:hAnsi="FangSong_GB2312" w:eastAsia="FangSong_GB2312" w:cs="FangSong_GB2312"/>
          <w:kern w:val="2"/>
          <w:sz w:val="32"/>
          <w:szCs w:val="32"/>
          <w:lang w:val="en-US" w:eastAsia="zh-CN" w:bidi="ar-SA"/>
        </w:rPr>
        <w:t>亿元，审定金额</w:t>
      </w:r>
      <w:r>
        <w:rPr>
          <w:rFonts w:ascii="FangSong_GB2312" w:hAnsi="FangSong_GB2312" w:eastAsia="FangSong_GB2312" w:cs="FangSong_GB2312"/>
          <w:kern w:val="2"/>
          <w:sz w:val="32"/>
          <w:szCs w:val="32"/>
          <w:lang w:val="en-US" w:eastAsia="zh-CN" w:bidi="ar-SA"/>
        </w:rPr>
        <w:t>5.04</w:t>
      </w:r>
      <w:r>
        <w:rPr>
          <w:rFonts w:hint="eastAsia" w:ascii="FangSong_GB2312" w:hAnsi="FangSong_GB2312" w:eastAsia="FangSong_GB2312" w:cs="FangSong_GB2312"/>
          <w:kern w:val="2"/>
          <w:sz w:val="32"/>
          <w:szCs w:val="32"/>
          <w:lang w:val="en-US" w:eastAsia="zh-CN" w:bidi="ar-SA"/>
        </w:rPr>
        <w:t>亿元，审减金额</w:t>
      </w:r>
      <w:r>
        <w:rPr>
          <w:rFonts w:ascii="FangSong_GB2312" w:hAnsi="FangSong_GB2312" w:eastAsia="FangSong_GB2312" w:cs="FangSong_GB2312"/>
          <w:kern w:val="2"/>
          <w:sz w:val="32"/>
          <w:szCs w:val="32"/>
          <w:lang w:val="en-US" w:eastAsia="zh-CN" w:bidi="ar-SA"/>
        </w:rPr>
        <w:t>1.04</w:t>
      </w:r>
      <w:r>
        <w:rPr>
          <w:rFonts w:hint="eastAsia" w:ascii="FangSong_GB2312" w:hAnsi="FangSong_GB2312" w:eastAsia="FangSong_GB2312" w:cs="FangSong_GB2312"/>
          <w:kern w:val="2"/>
          <w:sz w:val="32"/>
          <w:szCs w:val="32"/>
          <w:lang w:val="en-US" w:eastAsia="zh-CN" w:bidi="ar-SA"/>
        </w:rPr>
        <w:t>亿元，审减率</w:t>
      </w:r>
      <w:r>
        <w:rPr>
          <w:rFonts w:ascii="FangSong_GB2312" w:hAnsi="FangSong_GB2312" w:eastAsia="FangSong_GB2312" w:cs="FangSong_GB2312"/>
          <w:kern w:val="2"/>
          <w:sz w:val="32"/>
          <w:szCs w:val="32"/>
          <w:lang w:val="en-US" w:eastAsia="zh-CN" w:bidi="ar-SA"/>
        </w:rPr>
        <w:t>17.26%</w:t>
      </w:r>
      <w:r>
        <w:rPr>
          <w:rFonts w:hint="eastAsia" w:ascii="FangSong_GB2312" w:hAnsi="FangSong_GB2312" w:eastAsia="FangSong_GB2312" w:cs="FangSong_GB2312"/>
          <w:kern w:val="2"/>
          <w:sz w:val="32"/>
          <w:szCs w:val="32"/>
          <w:lang w:val="en-US" w:eastAsia="zh-CN" w:bidi="ar-SA"/>
        </w:rPr>
        <w:t>；项目范围涉及市政、环保、水利、教育、卫生、棚户区改造、农田建设、地质灾害治理、公路交通、政府采购等多个领域的基础设施建设，实现了“花小钱，省大钱”的目标。</w:t>
      </w:r>
      <w:r>
        <w:rPr>
          <w:rFonts w:hint="eastAsia" w:ascii="FangSong_GB2312" w:hAnsi="FangSong_GB2312" w:eastAsia="FangSong_GB2312" w:cs="FangSong_GB2312"/>
          <w:b/>
          <w:bCs/>
          <w:kern w:val="2"/>
          <w:sz w:val="32"/>
          <w:szCs w:val="32"/>
          <w:lang w:val="en-US" w:eastAsia="zh-CN" w:bidi="ar-SA"/>
        </w:rPr>
        <w:t>三是</w:t>
      </w:r>
      <w:r>
        <w:rPr>
          <w:rFonts w:hint="eastAsia" w:ascii="FangSong_GB2312" w:hAnsi="FangSong_GB2312" w:eastAsia="FangSong_GB2312" w:cs="FangSong_GB2312"/>
          <w:kern w:val="2"/>
          <w:sz w:val="32"/>
          <w:szCs w:val="32"/>
          <w:lang w:val="en-US" w:eastAsia="zh-CN" w:bidi="ar-SA"/>
        </w:rPr>
        <w:t>严把监督检查关。加大对预算单位预决算公开力度，开展了</w:t>
      </w:r>
      <w:r>
        <w:rPr>
          <w:rFonts w:ascii="FangSong_GB2312" w:hAnsi="FangSong_GB2312" w:eastAsia="FangSong_GB2312" w:cs="FangSong_GB2312"/>
          <w:kern w:val="2"/>
          <w:sz w:val="32"/>
          <w:szCs w:val="32"/>
          <w:lang w:val="en-US" w:eastAsia="zh-CN" w:bidi="ar-SA"/>
        </w:rPr>
        <w:t>2021</w:t>
      </w:r>
      <w:r>
        <w:rPr>
          <w:rFonts w:hint="eastAsia" w:ascii="FangSong_GB2312" w:hAnsi="FangSong_GB2312" w:eastAsia="FangSong_GB2312" w:cs="FangSong_GB2312"/>
          <w:kern w:val="2"/>
          <w:sz w:val="32"/>
          <w:szCs w:val="32"/>
          <w:lang w:val="en-US" w:eastAsia="zh-CN" w:bidi="ar-SA"/>
        </w:rPr>
        <w:t>年度全县预决算公开情况回头看检查，发现问题立行立改，确保预决算公开的真实性、完整性和准确性。开展了违规兴建楼堂馆所自查自纠、地方“三公”经费自查和地方财经秩序专项整治行动，严肃财经纪律。</w:t>
      </w:r>
    </w:p>
    <w:p>
      <w:pPr>
        <w:tabs>
          <w:tab w:val="left" w:pos="5781"/>
        </w:tabs>
        <w:spacing w:line="576" w:lineRule="exact"/>
        <w:ind w:firstLine="640" w:firstLineChars="200"/>
        <w:rPr>
          <w:rFonts w:ascii="FangSong_GB2312" w:hAnsi="FangSong_GB2312" w:eastAsia="FangSong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ang">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KaiTi_GB2312">
    <w:altName w:val="楷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OTQ4YmMxN2JlMWFhYmU5MTg1YWE4MjNkMWU4NjAifQ=="/>
  </w:docVars>
  <w:rsids>
    <w:rsidRoot w:val="00000000"/>
    <w:rsid w:val="2E82243A"/>
    <w:rsid w:val="34BF0E0C"/>
    <w:rsid w:val="5BAD5CDB"/>
    <w:rsid w:val="61F25ACE"/>
    <w:rsid w:val="688B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ang"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Simang"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2023-09-25T01:57:00Z</dcterms:created>
  <dc:creator>lenovo</dc:creator>
  <cp:lastModifiedBy>鱼จุ๊บ</cp:lastModifiedBy>
  <dcterms:modified xsi:type="dcterms:W3CDTF">2023-09-25T02:47:20Z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F0BD28E2409C44FD912AD8D9EBE7F52C_12</vt:lpwstr>
  </property>
</Properties>
</file>