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安化县乐安镇卫生院2022年部门预算说明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安化县乐安镇卫生院2022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安化县乐安镇卫生院2022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（Ⅰ）提供公共卫生服务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 、落实农村居民健康档案管理及服务。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2、普及卫生保健常识，实施重点人群及重点场所健康教育。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3、规范预防接种服务，执行国家免疫规划。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4、及时发现、登记并报告辖区内发现的传染病病例和疑似病例，参与现场疫情处理。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5、 开展新生儿访视及儿童保健系统管理，进行体格检查和生长发育监测及评价，开展健康指导。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6、开展孕产妇保健系统管理和产后随访，进行一般体格检查及孕期营养，心理健康指导。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7、对辖区内65岁及以上老年人进行登记管理，进行健康危险因素调查和一般体格检查，开展健康指导。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8、对高血压、糖尿病、肺结核等慢性病高危人群进行指导，对确诊高血压、糖尿病等慢性病病例进行登记管理、定期随访和健康指导。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9、对辖区内重性精神疾病患者进行登记管理、治疗随访和康复指导。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10、协助处理辖区内突发公共卫生事件。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11、接受县疾控中心和县卫健局委托，对辖区内传染病防治、学校卫生、食品卫生、饮水卫生、职业卫生、以及村级预防保健工作进行指导、培训、考核与监督。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（Ⅱ）提供基本医疗服务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1、使用适宜医疗技术和中医药技术正确处理常见病、多发病，对疑难病症进行恰当的处理与转诊。承担乡村现场应急救护、转诊服务和康复服务。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2、临床科室重点设置门急诊科、住院综合科、预防接种科、妇幼保健科、儿保科、中医科等加强急诊急救等建设。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3、健全消毒隔离制度，遵守无菌操作规程，加强医疗质量管理。做好医疗废物处理和污水污物无害处理。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4、 认真执行国家基本药物制度，执行药品集中采集和统一配送政策，实行药品零差率销售。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5、政府有关部门批准的其他适宜的医疗服务。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（Ⅲ）其它职能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1、严格执行城乡医保政策规定，履行定点医疗机构职责，做好有关的政策宣传、监督及服务工作。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2、深入推进乡村卫生服务一体化管理，强化乡镇卫生院对村卫生室的管理职能，负责村卫生室的技术指导和乡村医生培训、考核等工作。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3、充分发挥中医药特色优势，在公共卫生和基本医疗中提供相关的中医药服务。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根据编委核定，我院内设科室14个，全部纳入2022年部门预算编制范围。 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内设科室分别是门急诊科、住院综合科、预防接种科、妇幼保健科、儿保科、中医馆、公共卫生服务科、中西药房、化验室、B超室、DR室、一站式计算窗口、办公室、财务室。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所属事业单位为安化县乐安镇卫生院本级。</w:t>
      </w:r>
    </w:p>
    <w:p>
      <w:pPr>
        <w:pStyle w:val="5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安化县乐安镇卫生院</w:t>
      </w:r>
      <w:r>
        <w:rPr>
          <w:rFonts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减少3.68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减少3.68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社会保障和就业支出5.7万元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，卫生健康支出25.67万元，住房保障支出5.08万元。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减少3.68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减少3.68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减少3.68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减幅9.16%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经费拨款减少3.68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36.45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社会保障和就业支出5.7万元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，卫生健康支出25.67万元，住房保障支出5.08万元。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减少3.68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减幅9.16%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基本支出减少3.68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万元（工资福利支出较去年减少3.68万元），在职在编人员基本工资减少0.57万元、绩效工资减少1.99万元、养老保险减少0.57万元，住房公积金减少0.55万元。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widowControl/>
        <w:spacing w:line="600" w:lineRule="exact"/>
        <w:ind w:firstLine="66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2022年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单位无三公经费安排支出。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eastAsia="宋体" w:cs="Arial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截至20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auto"/>
          <w:sz w:val="30"/>
          <w:szCs w:val="30"/>
        </w:rPr>
        <w:t>年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auto"/>
          <w:sz w:val="30"/>
          <w:szCs w:val="30"/>
        </w:rPr>
        <w:t>，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auto"/>
          <w:sz w:val="30"/>
          <w:szCs w:val="30"/>
        </w:rPr>
        <w:t>共有车辆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auto"/>
          <w:sz w:val="30"/>
          <w:szCs w:val="30"/>
        </w:rPr>
        <w:t>辆，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auto"/>
          <w:sz w:val="30"/>
          <w:szCs w:val="30"/>
        </w:rPr>
        <w:t>。</w:t>
      </w:r>
      <w:r>
        <w:rPr>
          <w:rFonts w:ascii="Arial" w:hAnsi="Arial" w:eastAsia="宋体" w:cs="Arial"/>
          <w:color w:val="auto"/>
          <w:sz w:val="30"/>
          <w:szCs w:val="30"/>
        </w:rPr>
        <w:t>单位价值50万元以上通用设备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0</w:t>
      </w:r>
      <w:r>
        <w:rPr>
          <w:rFonts w:ascii="Arial" w:hAnsi="Arial" w:eastAsia="宋体" w:cs="Arial"/>
          <w:color w:val="auto"/>
          <w:sz w:val="30"/>
          <w:szCs w:val="30"/>
        </w:rPr>
        <w:t>台，单位价值100万元以上专用设备</w:t>
      </w:r>
      <w:r>
        <w:rPr>
          <w:rFonts w:hint="eastAsia" w:ascii="Arial" w:hAnsi="Arial" w:eastAsia="宋体" w:cs="Arial"/>
          <w:color w:val="auto"/>
          <w:sz w:val="30"/>
          <w:szCs w:val="30"/>
          <w:lang w:val="en-US" w:eastAsia="zh-CN"/>
        </w:rPr>
        <w:t>0</w:t>
      </w:r>
      <w:r>
        <w:rPr>
          <w:rFonts w:ascii="Arial" w:hAnsi="Arial" w:eastAsia="宋体" w:cs="Arial"/>
          <w:color w:val="auto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36.45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36.45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BF43892"/>
    <w:rsid w:val="0C285815"/>
    <w:rsid w:val="0DB53C96"/>
    <w:rsid w:val="0E6A099D"/>
    <w:rsid w:val="111F7A81"/>
    <w:rsid w:val="11671785"/>
    <w:rsid w:val="122729EF"/>
    <w:rsid w:val="1A756B85"/>
    <w:rsid w:val="1DD82CB2"/>
    <w:rsid w:val="1E3638DD"/>
    <w:rsid w:val="1EF103FC"/>
    <w:rsid w:val="238E6D3A"/>
    <w:rsid w:val="24DF2810"/>
    <w:rsid w:val="2BC85162"/>
    <w:rsid w:val="2D575CAE"/>
    <w:rsid w:val="31314F34"/>
    <w:rsid w:val="318442C1"/>
    <w:rsid w:val="31CC3D6B"/>
    <w:rsid w:val="3357612F"/>
    <w:rsid w:val="36E67177"/>
    <w:rsid w:val="38B13162"/>
    <w:rsid w:val="398C516F"/>
    <w:rsid w:val="3F1B5298"/>
    <w:rsid w:val="3F4A1C1A"/>
    <w:rsid w:val="3FE73728"/>
    <w:rsid w:val="40CF26F2"/>
    <w:rsid w:val="41C974BF"/>
    <w:rsid w:val="453408E8"/>
    <w:rsid w:val="457825AF"/>
    <w:rsid w:val="466A7338"/>
    <w:rsid w:val="47AA2DE0"/>
    <w:rsid w:val="4CF703DA"/>
    <w:rsid w:val="4D6D6B33"/>
    <w:rsid w:val="4E4946FF"/>
    <w:rsid w:val="50951751"/>
    <w:rsid w:val="50A4365C"/>
    <w:rsid w:val="54010786"/>
    <w:rsid w:val="5441384D"/>
    <w:rsid w:val="54F42DC3"/>
    <w:rsid w:val="59D86349"/>
    <w:rsid w:val="5B306C1E"/>
    <w:rsid w:val="5E39780F"/>
    <w:rsid w:val="5F783CDC"/>
    <w:rsid w:val="61F2020B"/>
    <w:rsid w:val="625B5642"/>
    <w:rsid w:val="631014CE"/>
    <w:rsid w:val="6B380BB3"/>
    <w:rsid w:val="769770E3"/>
    <w:rsid w:val="79FB140A"/>
    <w:rsid w:val="7DB92A2E"/>
    <w:rsid w:val="7F512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next w:val="1"/>
    <w:qFormat/>
    <w:uiPriority w:val="0"/>
    <w:pPr>
      <w:widowControl/>
      <w:spacing w:after="0"/>
      <w:ind w:firstLine="420" w:firstLineChars="100"/>
      <w:jc w:val="left"/>
    </w:pPr>
    <w:rPr>
      <w:kern w:val="0"/>
      <w:sz w:val="20"/>
    </w:rPr>
  </w:style>
  <w:style w:type="character" w:customStyle="1" w:styleId="9">
    <w:name w:val="页眉 Char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font71"/>
    <w:qFormat/>
    <w:uiPriority w:val="0"/>
    <w:rPr>
      <w:rFonts w:ascii="Times New Roman" w:hAnsi="Times New Roman" w:eastAsia="楷体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2918</Words>
  <Characters>3186</Characters>
  <Lines>18</Lines>
  <Paragraphs>5</Paragraphs>
  <TotalTime>0</TotalTime>
  <ScaleCrop>false</ScaleCrop>
  <LinksUpToDate>false</LinksUpToDate>
  <CharactersWithSpaces>3250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2023-10-10T12:26:12Z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