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ascii="方正小标宋简体" w:hAnsi="方正小标宋简体" w:eastAsia="方正小标宋简体"/>
          <w:sz w:val="44"/>
          <w:szCs w:val="44"/>
          <w:shd w:val="clear" w:color="auto" w:fill="FFFFFF"/>
        </w:rPr>
      </w:pPr>
    </w:p>
    <w:p>
      <w:pPr>
        <w:widowControl/>
        <w:spacing w:line="560" w:lineRule="exact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FFFFFF"/>
        </w:rPr>
        <w:t>目</w:t>
      </w:r>
      <w:r>
        <w:rPr>
          <w:rFonts w:ascii="方正小标宋简体" w:hAnsi="方正小标宋简体" w:eastAsia="方正小标宋简体" w:cs="方正小标宋简体"/>
          <w:sz w:val="44"/>
          <w:szCs w:val="44"/>
          <w:shd w:val="clear" w:color="auto" w:fill="FFFFFF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FFFFFF"/>
        </w:rPr>
        <w:t>录</w:t>
      </w:r>
    </w:p>
    <w:p>
      <w:pPr>
        <w:widowControl/>
        <w:spacing w:line="560" w:lineRule="exact"/>
        <w:jc w:val="left"/>
      </w:pPr>
      <w:r>
        <w:rPr>
          <w:rFonts w:hint="eastAsia" w:ascii="黑体" w:hAnsi="微软雅黑" w:eastAsia="黑体" w:cs="黑体"/>
          <w:sz w:val="32"/>
          <w:szCs w:val="32"/>
          <w:shd w:val="clear" w:color="auto" w:fill="FFFFFF"/>
        </w:rPr>
        <w:t>第一部分</w:t>
      </w:r>
      <w:r>
        <w:rPr>
          <w:rFonts w:ascii="黑体" w:hAnsi="微软雅黑" w:eastAsia="黑体" w:cs="黑体"/>
          <w:sz w:val="32"/>
          <w:szCs w:val="32"/>
          <w:shd w:val="clear" w:color="auto" w:fill="FFFFFF"/>
        </w:rPr>
        <w:t xml:space="preserve"> </w:t>
      </w:r>
      <w:r>
        <w:rPr>
          <w:rFonts w:hint="eastAsia" w:ascii="黑体" w:hAnsi="微软雅黑" w:eastAsia="黑体" w:cs="黑体"/>
          <w:sz w:val="32"/>
          <w:szCs w:val="32"/>
          <w:shd w:val="clear" w:color="auto" w:fill="FFFFFF"/>
        </w:rPr>
        <w:t>安化县高明乡卫生院</w:t>
      </w:r>
      <w:r>
        <w:rPr>
          <w:rFonts w:ascii="黑体" w:hAnsi="微软雅黑" w:eastAsia="黑体" w:cs="黑体"/>
          <w:sz w:val="32"/>
          <w:szCs w:val="32"/>
          <w:shd w:val="clear" w:color="auto" w:fill="FFFFFF"/>
        </w:rPr>
        <w:t>2022</w:t>
      </w:r>
      <w:r>
        <w:rPr>
          <w:rFonts w:hint="eastAsia" w:ascii="黑体" w:hAnsi="微软雅黑" w:eastAsia="黑体" w:cs="黑体"/>
          <w:sz w:val="32"/>
          <w:szCs w:val="32"/>
          <w:shd w:val="clear" w:color="auto" w:fill="FFFFFF"/>
        </w:rPr>
        <w:t>年部门预算说明</w:t>
      </w:r>
    </w:p>
    <w:p>
      <w:pPr>
        <w:widowControl/>
        <w:spacing w:line="540" w:lineRule="exact"/>
        <w:jc w:val="left"/>
        <w:rPr>
          <w:rFonts w:ascii="仿宋_GB2312" w:hAnsi="仿宋_GB2312" w:eastAsia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一、部门基本概况</w:t>
      </w:r>
      <w:r>
        <w:rPr>
          <w:rFonts w:ascii="仿宋_GB2312" w:hAnsi="仿宋_GB2312" w:eastAsia="仿宋_GB2312"/>
          <w:sz w:val="32"/>
          <w:szCs w:val="32"/>
          <w:shd w:val="clear" w:color="auto" w:fill="FFFFFF"/>
        </w:rPr>
        <w:t> </w:t>
      </w:r>
    </w:p>
    <w:p>
      <w:pPr>
        <w:widowControl/>
        <w:spacing w:line="540" w:lineRule="exact"/>
        <w:jc w:val="left"/>
        <w:rPr>
          <w:rFonts w:ascii="仿宋_GB2312" w:hAnsi="仿宋_GB2312" w:eastAsia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二、部门预算单位构成</w:t>
      </w:r>
    </w:p>
    <w:p>
      <w:pPr>
        <w:widowControl/>
        <w:spacing w:line="540" w:lineRule="exact"/>
        <w:jc w:val="left"/>
        <w:rPr>
          <w:rFonts w:ascii="仿宋_GB2312" w:hAnsi="仿宋_GB2312" w:eastAsia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三、部门收支总体情况</w:t>
      </w:r>
    </w:p>
    <w:p>
      <w:pPr>
        <w:widowControl/>
        <w:spacing w:line="540" w:lineRule="exact"/>
        <w:jc w:val="left"/>
        <w:rPr>
          <w:rFonts w:ascii="仿宋_GB2312" w:hAnsi="仿宋_GB2312" w:eastAsia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四、一般公共预算拨款支出预算</w:t>
      </w:r>
    </w:p>
    <w:p>
      <w:pPr>
        <w:widowControl/>
        <w:spacing w:line="540" w:lineRule="exact"/>
        <w:jc w:val="left"/>
        <w:rPr>
          <w:rFonts w:ascii="仿宋_GB2312" w:hAnsi="仿宋_GB2312" w:eastAsia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五、其他重要事项的情况说明</w:t>
      </w:r>
    </w:p>
    <w:p>
      <w:pPr>
        <w:widowControl/>
        <w:spacing w:line="540" w:lineRule="exact"/>
        <w:jc w:val="left"/>
        <w:rPr>
          <w:rFonts w:ascii="楷体_GB2312" w:hAnsi="楷体_GB2312" w:eastAsia="楷体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六、名词解释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ascii="黑体" w:hAnsi="黑体" w:eastAsia="黑体" w:cs="黑体"/>
          <w:sz w:val="32"/>
          <w:szCs w:val="32"/>
        </w:rPr>
        <w:t xml:space="preserve">  2022</w:t>
      </w:r>
      <w:r>
        <w:rPr>
          <w:rFonts w:hint="eastAsia" w:ascii="黑体" w:hAnsi="黑体" w:eastAsia="黑体" w:cs="黑体"/>
          <w:sz w:val="32"/>
          <w:szCs w:val="32"/>
        </w:rPr>
        <w:t>年部门预算公开的表格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一、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年部门预算收支总表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二、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年单位财政拨款收支总表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三、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年单位一般公共预算支出表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四、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年单位一般公共预算基本支出表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五、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年单位一般公预算“三公”经费支出表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六、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年单位政府性基金预算支出表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七、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八、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年部门收入总表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九、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年部门支出总表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年政府预算支出明细汇总表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十一、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年一般公预算</w:t>
      </w:r>
      <w:r>
        <w:rPr>
          <w:rFonts w:ascii="Times New Roman" w:hAnsi="Times New Roman" w:eastAsia="仿宋_GB2312" w:cs="Times New Roman"/>
          <w:sz w:val="32"/>
          <w:szCs w:val="32"/>
        </w:rPr>
        <w:t>—</w:t>
      </w:r>
      <w:r>
        <w:rPr>
          <w:rFonts w:hint="eastAsia" w:ascii="Times New Roman" w:hAnsi="Times New Roman" w:eastAsia="仿宋_GB2312" w:cs="仿宋_GB2312"/>
          <w:sz w:val="32"/>
          <w:szCs w:val="32"/>
        </w:rPr>
        <w:t>政府预算支出明细汇总表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十二、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年政府采购预算计划表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十三、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年单位项目支出绩效目标申报表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十四、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年部门整体支出预算绩效目标表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十五、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年政府购买服务支出预算表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ascii="黑体" w:hAnsi="黑体" w:eastAsia="黑体"/>
          <w:sz w:val="32"/>
          <w:szCs w:val="32"/>
        </w:rPr>
      </w:pPr>
    </w:p>
    <w:p>
      <w:pPr>
        <w:spacing w:line="560" w:lineRule="exact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安化县高明乡卫生院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>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年部门预算公开</w:t>
      </w:r>
    </w:p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</w:p>
    <w:p>
      <w:pPr>
        <w:spacing w:line="560" w:lineRule="exact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安化县高明乡卫生院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>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年部门预算说明</w:t>
      </w:r>
    </w:p>
    <w:p>
      <w:pPr>
        <w:spacing w:line="560" w:lineRule="exact"/>
        <w:ind w:firstLine="600" w:firstLineChars="200"/>
        <w:rPr>
          <w:rFonts w:ascii="黑体" w:hAnsi="黑体" w:eastAsia="黑体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</w:t>
      </w:r>
      <w:r>
        <w:rPr>
          <w:rFonts w:ascii="黑体" w:hAnsi="黑体" w:eastAsia="黑体"/>
          <w:sz w:val="32"/>
          <w:szCs w:val="32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（一）职能职责。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（Ⅰ）提供公共卫生服务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 xml:space="preserve">1 </w:t>
      </w:r>
      <w:r>
        <w:rPr>
          <w:rFonts w:hint="eastAsia" w:ascii="Arial" w:hAnsi="Arial"/>
          <w:color w:val="333333"/>
          <w:sz w:val="30"/>
          <w:szCs w:val="30"/>
        </w:rPr>
        <w:t>、落实农村居民健康档案管理及服务。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</w:t>
      </w:r>
      <w:r>
        <w:rPr>
          <w:rFonts w:hint="eastAsia" w:ascii="Arial" w:hAnsi="Arial"/>
          <w:color w:val="333333"/>
          <w:sz w:val="30"/>
          <w:szCs w:val="30"/>
        </w:rPr>
        <w:t>、普及卫生保健常识，实施重点人群及重点场所健康教育。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3</w:t>
      </w:r>
      <w:r>
        <w:rPr>
          <w:rFonts w:hint="eastAsia" w:ascii="Arial" w:hAnsi="Arial"/>
          <w:color w:val="333333"/>
          <w:sz w:val="30"/>
          <w:szCs w:val="30"/>
        </w:rPr>
        <w:t>、规范预防接种服务，执行国家免疫规划。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4</w:t>
      </w:r>
      <w:r>
        <w:rPr>
          <w:rFonts w:hint="eastAsia" w:ascii="Arial" w:hAnsi="Arial"/>
          <w:color w:val="333333"/>
          <w:sz w:val="30"/>
          <w:szCs w:val="30"/>
        </w:rPr>
        <w:t>、及时发现、登记并报告辖区内发现的传染病病例和疑似病例，参与现场疫情处理。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 xml:space="preserve">5 </w:t>
      </w:r>
      <w:r>
        <w:rPr>
          <w:rFonts w:hint="eastAsia" w:ascii="Arial" w:hAnsi="Arial"/>
          <w:color w:val="333333"/>
          <w:sz w:val="30"/>
          <w:szCs w:val="30"/>
        </w:rPr>
        <w:t>、开展新生儿访视及儿童保健系统管理，进行体格检查和生长发育监测及评价，开展健康指导。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6</w:t>
      </w:r>
      <w:r>
        <w:rPr>
          <w:rFonts w:hint="eastAsia" w:ascii="Arial" w:hAnsi="Arial"/>
          <w:color w:val="333333"/>
          <w:sz w:val="30"/>
          <w:szCs w:val="30"/>
        </w:rPr>
        <w:t>、开展孕产妇保健系统管理和产后随访，进行一般体格检查及孕期营养，心理健康指导。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7</w:t>
      </w:r>
      <w:r>
        <w:rPr>
          <w:rFonts w:hint="eastAsia" w:ascii="Arial" w:hAnsi="Arial"/>
          <w:color w:val="333333"/>
          <w:sz w:val="30"/>
          <w:szCs w:val="30"/>
        </w:rPr>
        <w:t>、对辖区内</w:t>
      </w:r>
      <w:r>
        <w:rPr>
          <w:rFonts w:ascii="Arial" w:hAnsi="Arial" w:cs="Arial"/>
          <w:color w:val="333333"/>
          <w:sz w:val="30"/>
          <w:szCs w:val="30"/>
        </w:rPr>
        <w:t>65</w:t>
      </w:r>
      <w:r>
        <w:rPr>
          <w:rFonts w:hint="eastAsia" w:ascii="Arial" w:hAnsi="Arial"/>
          <w:color w:val="333333"/>
          <w:sz w:val="30"/>
          <w:szCs w:val="30"/>
        </w:rPr>
        <w:t>岁及以上老年人进行登记管理，进行健康危险因素调查和一般体格检查，开展健康指导。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8</w:t>
      </w:r>
      <w:r>
        <w:rPr>
          <w:rFonts w:hint="eastAsia" w:ascii="Arial" w:hAnsi="Arial"/>
          <w:color w:val="333333"/>
          <w:sz w:val="30"/>
          <w:szCs w:val="30"/>
        </w:rPr>
        <w:t>、对高血压、糖尿病、肺结核等慢性病高危人群进行指导，对确诊高血压、糖尿病等慢性病病例进行登记管理、定期随访和健康指导。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9</w:t>
      </w:r>
      <w:r>
        <w:rPr>
          <w:rFonts w:hint="eastAsia" w:ascii="Arial" w:hAnsi="Arial"/>
          <w:color w:val="333333"/>
          <w:sz w:val="30"/>
          <w:szCs w:val="30"/>
        </w:rPr>
        <w:t>、对辖区内重性精神疾病患者进行登记管理、治疗随访和康复指导。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10</w:t>
      </w:r>
      <w:r>
        <w:rPr>
          <w:rFonts w:hint="eastAsia" w:ascii="Arial" w:hAnsi="Arial"/>
          <w:color w:val="333333"/>
          <w:sz w:val="30"/>
          <w:szCs w:val="30"/>
        </w:rPr>
        <w:t>、协助处理辖区内突发公共卫生事件。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11</w:t>
      </w:r>
      <w:r>
        <w:rPr>
          <w:rFonts w:hint="eastAsia" w:ascii="Arial" w:hAnsi="Arial"/>
          <w:color w:val="333333"/>
          <w:sz w:val="30"/>
          <w:szCs w:val="30"/>
        </w:rPr>
        <w:t>、接受县疾控中心和县卫健局委托，对辖区内传染病防治、学校卫生、食品卫生、饮水卫生、职业卫生、以及村级预防保健工作进行指导、培训、考核与监督。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（Ⅱ）提供基本医疗服务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1</w:t>
      </w:r>
      <w:r>
        <w:rPr>
          <w:rFonts w:hint="eastAsia" w:ascii="Arial" w:hAnsi="Arial"/>
          <w:color w:val="333333"/>
          <w:sz w:val="30"/>
          <w:szCs w:val="30"/>
        </w:rPr>
        <w:t>、使用适宜医疗技术和中医药技术正确处理常见病、多发病，对疑难病症进行恰当的处理与转诊。承担乡村现场应急救护、转诊服务和康复服务。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</w:t>
      </w:r>
      <w:r>
        <w:rPr>
          <w:rFonts w:hint="eastAsia" w:ascii="Arial" w:hAnsi="Arial"/>
          <w:color w:val="333333"/>
          <w:sz w:val="30"/>
          <w:szCs w:val="30"/>
        </w:rPr>
        <w:t>、临床科室重点设置门急诊科、住院综合科、预防接种科、妇幼保健科、儿保科、中医科等加强急诊急救等建设。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3</w:t>
      </w:r>
      <w:r>
        <w:rPr>
          <w:rFonts w:hint="eastAsia" w:ascii="Arial" w:hAnsi="Arial"/>
          <w:color w:val="333333"/>
          <w:sz w:val="30"/>
          <w:szCs w:val="30"/>
        </w:rPr>
        <w:t>、健全消毒隔离制度，遵守无菌操作规程，加强医疗质量管理。做好医疗废物处理和污水污物无害处理。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4</w:t>
      </w:r>
      <w:r>
        <w:rPr>
          <w:rFonts w:hint="eastAsia" w:ascii="Arial" w:hAnsi="Arial"/>
          <w:color w:val="333333"/>
          <w:sz w:val="30"/>
          <w:szCs w:val="30"/>
        </w:rPr>
        <w:t>、</w:t>
      </w:r>
      <w:r>
        <w:rPr>
          <w:rFonts w:ascii="Arial" w:hAnsi="Arial" w:cs="Arial"/>
          <w:color w:val="333333"/>
          <w:sz w:val="30"/>
          <w:szCs w:val="30"/>
        </w:rPr>
        <w:t xml:space="preserve"> </w:t>
      </w:r>
      <w:r>
        <w:rPr>
          <w:rFonts w:hint="eastAsia" w:ascii="Arial" w:hAnsi="Arial"/>
          <w:color w:val="333333"/>
          <w:sz w:val="30"/>
          <w:szCs w:val="30"/>
        </w:rPr>
        <w:t>认真执行国家基本药物制度，执行药品集中采集和统一配送政策，实行药品零差率销售。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5</w:t>
      </w:r>
      <w:r>
        <w:rPr>
          <w:rFonts w:hint="eastAsia" w:ascii="Arial" w:hAnsi="Arial"/>
          <w:color w:val="333333"/>
          <w:sz w:val="30"/>
          <w:szCs w:val="30"/>
        </w:rPr>
        <w:t>、政府有关部门批准的其他适宜的医疗服务。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（Ⅲ）其它职能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1</w:t>
      </w:r>
      <w:r>
        <w:rPr>
          <w:rFonts w:hint="eastAsia" w:ascii="Arial" w:hAnsi="Arial"/>
          <w:color w:val="333333"/>
          <w:sz w:val="30"/>
          <w:szCs w:val="30"/>
        </w:rPr>
        <w:t>、严格执行城乡医保政策规定，履行定点医疗机构职责，做好有关的政策宣传、监督及服务工作。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</w:t>
      </w:r>
      <w:r>
        <w:rPr>
          <w:rFonts w:hint="eastAsia" w:ascii="Arial" w:hAnsi="Arial"/>
          <w:color w:val="333333"/>
          <w:sz w:val="30"/>
          <w:szCs w:val="30"/>
        </w:rPr>
        <w:t>、深入推进乡村卫生服务一体化管理，强化乡镇卫生院对村卫生室的管理职能，负责村卫生室的技术指导和乡村医生培训、考核等工作。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3</w:t>
      </w:r>
      <w:r>
        <w:rPr>
          <w:rFonts w:hint="eastAsia" w:ascii="Arial" w:hAnsi="Arial"/>
          <w:color w:val="333333"/>
          <w:sz w:val="30"/>
          <w:szCs w:val="30"/>
        </w:rPr>
        <w:t>、充分发挥中医药特色优势，在公共卫生和基本医疗中提供相关的中医药服务。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（二）机构设置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根据编委核定，我院内设科室</w:t>
      </w:r>
      <w:r>
        <w:rPr>
          <w:rFonts w:ascii="Arial" w:hAnsi="Arial" w:cs="Arial"/>
          <w:color w:val="333333"/>
          <w:sz w:val="30"/>
          <w:szCs w:val="30"/>
        </w:rPr>
        <w:t>15</w:t>
      </w:r>
      <w:r>
        <w:rPr>
          <w:rFonts w:hint="eastAsia" w:ascii="Arial" w:hAnsi="Arial"/>
          <w:color w:val="333333"/>
          <w:sz w:val="30"/>
          <w:szCs w:val="30"/>
        </w:rPr>
        <w:t>个，全部纳入</w:t>
      </w: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年部门预算编制范围。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内设科室分别是门急诊科、住院综合科、预防接种科、妇幼保健科、儿保科、中医科、公共卫生服务科、中西药房、化验室、</w:t>
      </w:r>
      <w:r>
        <w:rPr>
          <w:rFonts w:ascii="Arial" w:hAnsi="Arial" w:cs="Arial"/>
          <w:color w:val="333333"/>
          <w:sz w:val="30"/>
          <w:szCs w:val="30"/>
        </w:rPr>
        <w:t>B</w:t>
      </w:r>
      <w:r>
        <w:rPr>
          <w:rFonts w:hint="eastAsia" w:ascii="Arial" w:hAnsi="Arial"/>
          <w:color w:val="333333"/>
          <w:sz w:val="30"/>
          <w:szCs w:val="30"/>
        </w:rPr>
        <w:t>超室、放射室、收费室、城乡医保办、办公室、财务室。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黑体" w:hAnsi="黑体" w:eastAsia="黑体" w:cs="Calibri"/>
          <w:color w:val="333333"/>
          <w:kern w:val="2"/>
          <w:sz w:val="32"/>
          <w:szCs w:val="32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</w:rPr>
        <w:t>　二、部门预算单位构成</w:t>
      </w:r>
      <w:r>
        <w:rPr>
          <w:rFonts w:ascii="黑体" w:hAnsi="黑体" w:eastAsia="黑体" w:cs="Calibri"/>
          <w:color w:val="333333"/>
          <w:kern w:val="2"/>
          <w:sz w:val="32"/>
          <w:szCs w:val="32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安化县高明乡卫生院部门只有本级，没有其他预算单位，因此本部门预算仅含本级预算。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黑体" w:hAnsi="黑体" w:eastAsia="黑体" w:cs="Calibri"/>
          <w:color w:val="333333"/>
          <w:kern w:val="2"/>
          <w:sz w:val="32"/>
          <w:szCs w:val="32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</w:rPr>
        <w:t>部门收支总体情况</w:t>
      </w:r>
      <w:r>
        <w:rPr>
          <w:rFonts w:ascii="黑体" w:hAnsi="黑体" w:eastAsia="黑体" w:cs="Calibri"/>
          <w:color w:val="333333"/>
          <w:kern w:val="2"/>
          <w:sz w:val="32"/>
          <w:szCs w:val="32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黑体" w:hAnsi="黑体" w:eastAsia="黑体" w:cs="Calibri"/>
          <w:color w:val="333333"/>
          <w:kern w:val="2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年部门预算即我院本级预算。我院</w:t>
      </w: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ascii="Arial" w:hAnsi="Arial" w:cs="Arial"/>
          <w:color w:val="333333"/>
          <w:sz w:val="30"/>
          <w:szCs w:val="30"/>
        </w:rPr>
        <w:t>6</w:t>
      </w:r>
      <w:r>
        <w:rPr>
          <w:rFonts w:hint="eastAsia" w:ascii="Arial" w:hAnsi="Arial"/>
          <w:color w:val="333333"/>
          <w:sz w:val="30"/>
          <w:szCs w:val="30"/>
        </w:rPr>
        <w:t>表为空。收入包括经费拨款；支出包括单位人员工资福利支出。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（一）收入预算：</w:t>
      </w: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年年初预算数</w:t>
      </w:r>
      <w:r>
        <w:rPr>
          <w:rFonts w:ascii="Arial" w:hAnsi="Arial" w:cs="Arial"/>
          <w:color w:val="333333"/>
          <w:sz w:val="30"/>
          <w:szCs w:val="30"/>
        </w:rPr>
        <w:t>27.37</w:t>
      </w:r>
      <w:r>
        <w:rPr>
          <w:rFonts w:hint="eastAsia" w:ascii="Arial" w:hAnsi="Arial"/>
          <w:color w:val="333333"/>
          <w:sz w:val="30"/>
          <w:szCs w:val="30"/>
        </w:rPr>
        <w:t>万元，其中，一般公共预算拨款</w:t>
      </w:r>
      <w:r>
        <w:rPr>
          <w:rFonts w:ascii="Arial" w:hAnsi="Arial" w:cs="Arial"/>
          <w:color w:val="333333"/>
          <w:sz w:val="30"/>
          <w:szCs w:val="30"/>
        </w:rPr>
        <w:t>27.37</w:t>
      </w:r>
      <w:r>
        <w:rPr>
          <w:rFonts w:hint="eastAsia" w:ascii="Arial" w:hAnsi="Arial"/>
          <w:color w:val="333333"/>
          <w:sz w:val="30"/>
          <w:szCs w:val="30"/>
        </w:rPr>
        <w:t>万元（经费拨款</w:t>
      </w:r>
      <w:r>
        <w:rPr>
          <w:rFonts w:ascii="Arial" w:hAnsi="Arial" w:cs="Arial"/>
          <w:color w:val="333333"/>
          <w:sz w:val="30"/>
          <w:szCs w:val="30"/>
        </w:rPr>
        <w:t>27.37</w:t>
      </w:r>
      <w:r>
        <w:rPr>
          <w:rFonts w:hint="eastAsia" w:ascii="Arial" w:hAnsi="Arial"/>
          <w:color w:val="333333"/>
          <w:sz w:val="30"/>
          <w:szCs w:val="30"/>
        </w:rPr>
        <w:t>万元，纳入一般公共预算管理的非税收入拨款</w:t>
      </w:r>
      <w:r>
        <w:rPr>
          <w:rFonts w:ascii="Arial" w:hAnsi="Arial" w:cs="Arial"/>
          <w:color w:val="333333"/>
          <w:sz w:val="30"/>
          <w:szCs w:val="30"/>
        </w:rPr>
        <w:t>0</w:t>
      </w:r>
      <w:r>
        <w:rPr>
          <w:rFonts w:hint="eastAsia" w:ascii="Arial" w:hAnsi="Arial"/>
          <w:color w:val="333333"/>
          <w:sz w:val="30"/>
          <w:szCs w:val="30"/>
        </w:rPr>
        <w:t>万元）。收入较去年增加</w:t>
      </w:r>
      <w:r>
        <w:rPr>
          <w:rFonts w:ascii="Arial" w:hAnsi="Arial" w:cs="Arial"/>
          <w:color w:val="333333"/>
          <w:sz w:val="30"/>
          <w:szCs w:val="30"/>
        </w:rPr>
        <w:t>4.59</w:t>
      </w:r>
      <w:r>
        <w:rPr>
          <w:rFonts w:hint="eastAsia" w:ascii="Arial" w:hAnsi="Arial"/>
          <w:color w:val="333333"/>
          <w:sz w:val="30"/>
          <w:szCs w:val="30"/>
        </w:rPr>
        <w:t>万元，主要是经费拨款增加</w:t>
      </w:r>
      <w:r>
        <w:rPr>
          <w:rFonts w:ascii="Arial" w:hAnsi="Arial" w:cs="Arial"/>
          <w:color w:val="333333"/>
          <w:sz w:val="30"/>
          <w:szCs w:val="30"/>
        </w:rPr>
        <w:t>4.59</w:t>
      </w:r>
      <w:r>
        <w:rPr>
          <w:rFonts w:hint="eastAsia" w:ascii="Arial" w:hAnsi="Arial"/>
          <w:color w:val="333333"/>
          <w:sz w:val="30"/>
          <w:szCs w:val="30"/>
        </w:rPr>
        <w:t>万元。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（二）支出预算：</w:t>
      </w: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年年初预算数</w:t>
      </w:r>
      <w:r>
        <w:rPr>
          <w:rFonts w:ascii="Arial" w:hAnsi="Arial" w:cs="Arial"/>
          <w:color w:val="333333"/>
          <w:sz w:val="30"/>
          <w:szCs w:val="30"/>
        </w:rPr>
        <w:t>27.37</w:t>
      </w:r>
      <w:r>
        <w:rPr>
          <w:rFonts w:hint="eastAsia" w:ascii="Arial" w:hAnsi="Arial"/>
          <w:color w:val="333333"/>
          <w:sz w:val="30"/>
          <w:szCs w:val="30"/>
        </w:rPr>
        <w:t>万元，其中，一般公共服务</w:t>
      </w:r>
      <w:r>
        <w:rPr>
          <w:rFonts w:ascii="Arial" w:hAnsi="Arial" w:cs="Arial"/>
          <w:color w:val="333333"/>
          <w:sz w:val="30"/>
          <w:szCs w:val="30"/>
        </w:rPr>
        <w:t>0</w:t>
      </w:r>
      <w:r>
        <w:rPr>
          <w:rFonts w:hint="eastAsia" w:ascii="Arial" w:hAnsi="Arial"/>
          <w:color w:val="333333"/>
          <w:sz w:val="30"/>
          <w:szCs w:val="30"/>
        </w:rPr>
        <w:t>万元，社会保障和就业支出</w:t>
      </w:r>
      <w:r>
        <w:rPr>
          <w:rFonts w:ascii="Arial" w:hAnsi="Arial" w:cs="Arial"/>
          <w:color w:val="333333"/>
          <w:sz w:val="30"/>
          <w:szCs w:val="30"/>
        </w:rPr>
        <w:t>4.28</w:t>
      </w:r>
      <w:r>
        <w:rPr>
          <w:rFonts w:hint="eastAsia" w:ascii="Arial" w:hAnsi="Arial"/>
          <w:color w:val="333333"/>
          <w:sz w:val="30"/>
          <w:szCs w:val="30"/>
        </w:rPr>
        <w:t>万元，卫生健康支出</w:t>
      </w:r>
      <w:r>
        <w:rPr>
          <w:rFonts w:ascii="Arial" w:hAnsi="Arial" w:cs="Arial"/>
          <w:color w:val="333333"/>
          <w:sz w:val="30"/>
          <w:szCs w:val="30"/>
        </w:rPr>
        <w:t>19.25</w:t>
      </w:r>
      <w:r>
        <w:rPr>
          <w:rFonts w:hint="eastAsia" w:ascii="Arial" w:hAnsi="Arial"/>
          <w:color w:val="333333"/>
          <w:sz w:val="30"/>
          <w:szCs w:val="30"/>
        </w:rPr>
        <w:t>万元，住房保障支出</w:t>
      </w:r>
      <w:r>
        <w:rPr>
          <w:rFonts w:ascii="Arial" w:hAnsi="Arial" w:cs="Arial"/>
          <w:color w:val="333333"/>
          <w:sz w:val="30"/>
          <w:szCs w:val="30"/>
        </w:rPr>
        <w:t>3.84</w:t>
      </w:r>
      <w:r>
        <w:rPr>
          <w:rFonts w:hint="eastAsia" w:ascii="Arial" w:hAnsi="Arial"/>
          <w:color w:val="333333"/>
          <w:sz w:val="30"/>
          <w:szCs w:val="30"/>
        </w:rPr>
        <w:t>万元。支出较去年增加</w:t>
      </w:r>
      <w:r>
        <w:rPr>
          <w:rFonts w:ascii="Arial" w:hAnsi="Arial" w:cs="Arial"/>
          <w:color w:val="333333"/>
          <w:sz w:val="30"/>
          <w:szCs w:val="30"/>
        </w:rPr>
        <w:t>4.59</w:t>
      </w:r>
      <w:r>
        <w:rPr>
          <w:rFonts w:hint="eastAsia" w:ascii="Arial" w:hAnsi="Arial"/>
          <w:color w:val="333333"/>
          <w:sz w:val="30"/>
          <w:szCs w:val="30"/>
        </w:rPr>
        <w:t>万元，主要是基本支出增加</w:t>
      </w:r>
      <w:r>
        <w:rPr>
          <w:rFonts w:ascii="Arial" w:hAnsi="Arial" w:cs="Arial"/>
          <w:color w:val="333333"/>
          <w:sz w:val="30"/>
          <w:szCs w:val="30"/>
        </w:rPr>
        <w:t>4.59</w:t>
      </w:r>
      <w:r>
        <w:rPr>
          <w:rFonts w:hint="eastAsia" w:ascii="Arial" w:hAnsi="Arial"/>
          <w:color w:val="333333"/>
          <w:sz w:val="30"/>
          <w:szCs w:val="30"/>
        </w:rPr>
        <w:t>万元。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黑体" w:hAnsi="黑体" w:eastAsia="黑体" w:cs="Calibri"/>
          <w:color w:val="333333"/>
          <w:kern w:val="2"/>
          <w:sz w:val="32"/>
          <w:szCs w:val="32"/>
        </w:rPr>
      </w:pPr>
      <w:r>
        <w:rPr>
          <w:rFonts w:hint="eastAsia" w:ascii="Arial" w:hAnsi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</w:rPr>
        <w:t>四、一般公共预算拨款支出预算</w:t>
      </w:r>
      <w:r>
        <w:rPr>
          <w:rFonts w:ascii="黑体" w:hAnsi="黑体" w:eastAsia="黑体" w:cs="Calibri"/>
          <w:color w:val="333333"/>
          <w:kern w:val="2"/>
          <w:sz w:val="32"/>
          <w:szCs w:val="32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</w:t>
      </w: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年一般公共预算拨款收入</w:t>
      </w:r>
      <w:r>
        <w:rPr>
          <w:rFonts w:ascii="Arial" w:hAnsi="Arial" w:cs="Arial"/>
          <w:color w:val="333333"/>
          <w:sz w:val="30"/>
          <w:szCs w:val="30"/>
        </w:rPr>
        <w:t>27.37</w:t>
      </w:r>
      <w:r>
        <w:rPr>
          <w:rFonts w:hint="eastAsia" w:ascii="Arial" w:hAnsi="Arial"/>
          <w:color w:val="333333"/>
          <w:sz w:val="30"/>
          <w:szCs w:val="30"/>
        </w:rPr>
        <w:t>万元，具体安排情况如下：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（一）基本支出：</w:t>
      </w: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年基本支出年初预算数为</w:t>
      </w:r>
      <w:r>
        <w:rPr>
          <w:rFonts w:ascii="Arial" w:hAnsi="Arial" w:cs="Arial"/>
          <w:color w:val="333333"/>
          <w:sz w:val="30"/>
          <w:szCs w:val="30"/>
        </w:rPr>
        <w:t>27.37</w:t>
      </w:r>
      <w:r>
        <w:rPr>
          <w:rFonts w:hint="eastAsia" w:ascii="Arial" w:hAnsi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（二）项目支出：</w:t>
      </w: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年项目支出年初预算数为</w:t>
      </w:r>
      <w:r>
        <w:rPr>
          <w:rFonts w:ascii="Arial" w:hAnsi="Arial" w:cs="Arial"/>
          <w:color w:val="333333"/>
          <w:sz w:val="30"/>
          <w:szCs w:val="30"/>
        </w:rPr>
        <w:t>0</w:t>
      </w:r>
      <w:r>
        <w:rPr>
          <w:rFonts w:hint="eastAsia" w:ascii="Arial" w:hAnsi="Arial"/>
          <w:color w:val="333333"/>
          <w:sz w:val="30"/>
          <w:szCs w:val="30"/>
        </w:rPr>
        <w:t>万元。　　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黑体" w:hAnsi="黑体" w:eastAsia="黑体" w:cs="Calibri"/>
          <w:color w:val="333333"/>
          <w:kern w:val="2"/>
          <w:sz w:val="32"/>
          <w:szCs w:val="32"/>
        </w:rPr>
      </w:pPr>
      <w:r>
        <w:rPr>
          <w:rFonts w:hint="eastAsia" w:ascii="Arial" w:hAnsi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</w:rPr>
        <w:t>五、其他重要事项的情况说明</w:t>
      </w:r>
      <w:r>
        <w:rPr>
          <w:rFonts w:ascii="黑体" w:hAnsi="黑体" w:eastAsia="黑体" w:cs="Calibri"/>
          <w:color w:val="333333"/>
          <w:kern w:val="2"/>
          <w:sz w:val="32"/>
          <w:szCs w:val="32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（一）预算收支增减变化情况说明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</w:t>
      </w:r>
      <w:r>
        <w:rPr>
          <w:rFonts w:ascii="Arial" w:hAnsi="Arial" w:cs="Arial"/>
          <w:color w:val="333333"/>
          <w:sz w:val="30"/>
          <w:szCs w:val="30"/>
        </w:rPr>
        <w:t xml:space="preserve">  1</w:t>
      </w:r>
      <w:r>
        <w:rPr>
          <w:rFonts w:hint="eastAsia" w:ascii="Arial" w:hAnsi="Arial"/>
          <w:color w:val="333333"/>
          <w:sz w:val="30"/>
          <w:szCs w:val="30"/>
        </w:rPr>
        <w:t>、收入预算：</w:t>
      </w: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年年初预算数</w:t>
      </w:r>
      <w:r>
        <w:rPr>
          <w:rFonts w:ascii="Arial" w:hAnsi="Arial" w:cs="Arial"/>
          <w:color w:val="333333"/>
          <w:sz w:val="30"/>
          <w:szCs w:val="30"/>
        </w:rPr>
        <w:t>27.37</w:t>
      </w:r>
      <w:r>
        <w:rPr>
          <w:rFonts w:hint="eastAsia" w:ascii="Arial" w:hAnsi="Arial"/>
          <w:color w:val="333333"/>
          <w:sz w:val="30"/>
          <w:szCs w:val="30"/>
        </w:rPr>
        <w:t>万元，其中，一般公共预算拨款</w:t>
      </w:r>
      <w:r>
        <w:rPr>
          <w:rFonts w:ascii="Arial" w:hAnsi="Arial" w:cs="Arial"/>
          <w:color w:val="333333"/>
          <w:sz w:val="30"/>
          <w:szCs w:val="30"/>
        </w:rPr>
        <w:t>27.37</w:t>
      </w:r>
      <w:r>
        <w:rPr>
          <w:rFonts w:hint="eastAsia" w:ascii="Arial" w:hAnsi="Arial"/>
          <w:color w:val="333333"/>
          <w:sz w:val="30"/>
          <w:szCs w:val="30"/>
        </w:rPr>
        <w:t>万元（经费拨款</w:t>
      </w:r>
      <w:r>
        <w:rPr>
          <w:rFonts w:ascii="Arial" w:hAnsi="Arial" w:cs="Arial"/>
          <w:color w:val="333333"/>
          <w:sz w:val="30"/>
          <w:szCs w:val="30"/>
        </w:rPr>
        <w:t>27.37</w:t>
      </w:r>
      <w:r>
        <w:rPr>
          <w:rFonts w:hint="eastAsia" w:ascii="Arial" w:hAnsi="Arial"/>
          <w:color w:val="333333"/>
          <w:sz w:val="30"/>
          <w:szCs w:val="30"/>
        </w:rPr>
        <w:t>万元，纳入一般公共预算管理的非税收入拨款</w:t>
      </w:r>
      <w:r>
        <w:rPr>
          <w:rFonts w:ascii="Arial" w:hAnsi="Arial" w:cs="Arial"/>
          <w:color w:val="333333"/>
          <w:sz w:val="30"/>
          <w:szCs w:val="30"/>
        </w:rPr>
        <w:t>0</w:t>
      </w:r>
      <w:r>
        <w:rPr>
          <w:rFonts w:hint="eastAsia" w:ascii="Arial" w:hAnsi="Arial"/>
          <w:color w:val="333333"/>
          <w:sz w:val="30"/>
          <w:szCs w:val="30"/>
        </w:rPr>
        <w:t>万元）。收入较去年增加</w:t>
      </w:r>
      <w:r>
        <w:rPr>
          <w:rFonts w:ascii="Arial" w:hAnsi="Arial" w:cs="Arial"/>
          <w:color w:val="333333"/>
          <w:sz w:val="30"/>
          <w:szCs w:val="30"/>
        </w:rPr>
        <w:t>4.59</w:t>
      </w:r>
      <w:r>
        <w:rPr>
          <w:rFonts w:hint="eastAsia" w:ascii="Arial" w:hAnsi="Arial"/>
          <w:color w:val="333333"/>
          <w:sz w:val="30"/>
          <w:szCs w:val="30"/>
        </w:rPr>
        <w:t>万元，增幅</w:t>
      </w:r>
      <w:r>
        <w:rPr>
          <w:rFonts w:ascii="Arial" w:hAnsi="Arial" w:cs="Arial"/>
          <w:color w:val="333333"/>
          <w:sz w:val="30"/>
          <w:szCs w:val="30"/>
        </w:rPr>
        <w:t>20%</w:t>
      </w:r>
      <w:r>
        <w:rPr>
          <w:rFonts w:hint="eastAsia" w:ascii="Arial" w:hAnsi="Arial"/>
          <w:color w:val="333333"/>
          <w:sz w:val="30"/>
          <w:szCs w:val="30"/>
        </w:rPr>
        <w:t>，主要原因是经费拨款增加</w:t>
      </w:r>
      <w:r>
        <w:rPr>
          <w:rFonts w:ascii="Arial" w:hAnsi="Arial" w:cs="Arial"/>
          <w:color w:val="333333"/>
          <w:sz w:val="30"/>
          <w:szCs w:val="30"/>
        </w:rPr>
        <w:t>4.59</w:t>
      </w:r>
      <w:r>
        <w:rPr>
          <w:rFonts w:hint="eastAsia" w:ascii="Arial" w:hAnsi="Arial"/>
          <w:color w:val="333333"/>
          <w:sz w:val="30"/>
          <w:szCs w:val="30"/>
        </w:rPr>
        <w:t>万元。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</w:t>
      </w:r>
      <w:r>
        <w:rPr>
          <w:rFonts w:ascii="Arial" w:hAnsi="Arial" w:cs="Arial"/>
          <w:color w:val="333333"/>
          <w:sz w:val="30"/>
          <w:szCs w:val="30"/>
        </w:rPr>
        <w:t>2</w:t>
      </w:r>
      <w:r>
        <w:rPr>
          <w:rFonts w:hint="eastAsia" w:ascii="Arial" w:hAnsi="Arial"/>
          <w:color w:val="333333"/>
          <w:sz w:val="30"/>
          <w:szCs w:val="30"/>
        </w:rPr>
        <w:t>、支出预算：</w:t>
      </w: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年年初预算数</w:t>
      </w:r>
      <w:r>
        <w:rPr>
          <w:rFonts w:ascii="Arial" w:hAnsi="Arial" w:cs="Arial"/>
          <w:color w:val="333333"/>
          <w:sz w:val="30"/>
          <w:szCs w:val="30"/>
        </w:rPr>
        <w:t>27.37</w:t>
      </w:r>
      <w:r>
        <w:rPr>
          <w:rFonts w:hint="eastAsia" w:ascii="Arial" w:hAnsi="Arial"/>
          <w:color w:val="333333"/>
          <w:sz w:val="30"/>
          <w:szCs w:val="30"/>
        </w:rPr>
        <w:t>万元，其中，一般公共服务</w:t>
      </w:r>
      <w:r>
        <w:rPr>
          <w:rFonts w:ascii="Arial" w:hAnsi="Arial" w:cs="Arial"/>
          <w:color w:val="333333"/>
          <w:sz w:val="30"/>
          <w:szCs w:val="30"/>
        </w:rPr>
        <w:t>0</w:t>
      </w:r>
      <w:r>
        <w:rPr>
          <w:rFonts w:hint="eastAsia" w:ascii="Arial" w:hAnsi="Arial"/>
          <w:color w:val="333333"/>
          <w:sz w:val="30"/>
          <w:szCs w:val="30"/>
        </w:rPr>
        <w:t>万元；社会保障和就业支出</w:t>
      </w:r>
      <w:r>
        <w:rPr>
          <w:rFonts w:ascii="Arial" w:hAnsi="Arial" w:cs="Arial"/>
          <w:color w:val="333333"/>
          <w:sz w:val="30"/>
          <w:szCs w:val="30"/>
        </w:rPr>
        <w:t>4.28</w:t>
      </w:r>
      <w:r>
        <w:rPr>
          <w:rFonts w:hint="eastAsia" w:ascii="Arial" w:hAnsi="Arial"/>
          <w:color w:val="333333"/>
          <w:sz w:val="30"/>
          <w:szCs w:val="30"/>
        </w:rPr>
        <w:t>万元；卫生健康支出</w:t>
      </w:r>
      <w:r>
        <w:rPr>
          <w:rFonts w:ascii="Arial" w:hAnsi="Arial" w:cs="Arial"/>
          <w:color w:val="333333"/>
          <w:sz w:val="30"/>
          <w:szCs w:val="30"/>
        </w:rPr>
        <w:t>19.25</w:t>
      </w:r>
      <w:r>
        <w:rPr>
          <w:rFonts w:hint="eastAsia" w:ascii="Arial" w:hAnsi="Arial"/>
          <w:color w:val="333333"/>
          <w:sz w:val="30"/>
          <w:szCs w:val="30"/>
        </w:rPr>
        <w:t>万元；住房保障支出</w:t>
      </w:r>
      <w:r>
        <w:rPr>
          <w:rFonts w:ascii="Arial" w:hAnsi="Arial" w:cs="Arial"/>
          <w:color w:val="333333"/>
          <w:sz w:val="30"/>
          <w:szCs w:val="30"/>
        </w:rPr>
        <w:t>3.84</w:t>
      </w:r>
      <w:r>
        <w:rPr>
          <w:rFonts w:hint="eastAsia" w:ascii="Arial" w:hAnsi="Arial"/>
          <w:color w:val="333333"/>
          <w:sz w:val="30"/>
          <w:szCs w:val="30"/>
        </w:rPr>
        <w:t>万元。支出较去年增加</w:t>
      </w:r>
      <w:r>
        <w:rPr>
          <w:rFonts w:ascii="Arial" w:hAnsi="Arial" w:cs="Arial"/>
          <w:color w:val="333333"/>
          <w:sz w:val="30"/>
          <w:szCs w:val="30"/>
        </w:rPr>
        <w:t>4.59</w:t>
      </w:r>
      <w:r>
        <w:rPr>
          <w:rFonts w:hint="eastAsia" w:ascii="Arial" w:hAnsi="Arial"/>
          <w:color w:val="333333"/>
          <w:sz w:val="30"/>
          <w:szCs w:val="30"/>
        </w:rPr>
        <w:t>万元，增幅</w:t>
      </w:r>
      <w:r>
        <w:rPr>
          <w:rFonts w:ascii="Arial" w:hAnsi="Arial" w:cs="Arial"/>
          <w:color w:val="333333"/>
          <w:sz w:val="30"/>
          <w:szCs w:val="30"/>
        </w:rPr>
        <w:t>20%</w:t>
      </w:r>
      <w:r>
        <w:rPr>
          <w:rFonts w:hint="eastAsia" w:ascii="Arial" w:hAnsi="Arial"/>
          <w:color w:val="333333"/>
          <w:sz w:val="30"/>
          <w:szCs w:val="30"/>
        </w:rPr>
        <w:t>，主要原因是基本支出增加</w:t>
      </w:r>
      <w:r>
        <w:rPr>
          <w:rFonts w:ascii="Arial" w:hAnsi="Arial" w:cs="Arial"/>
          <w:color w:val="333333"/>
          <w:sz w:val="30"/>
          <w:szCs w:val="30"/>
        </w:rPr>
        <w:t>4.59</w:t>
      </w:r>
      <w:r>
        <w:rPr>
          <w:rFonts w:hint="eastAsia" w:ascii="Arial" w:hAnsi="Arial"/>
          <w:color w:val="333333"/>
          <w:sz w:val="30"/>
          <w:szCs w:val="30"/>
        </w:rPr>
        <w:t>万元（工资福利支出较去年增加</w:t>
      </w:r>
      <w:r>
        <w:rPr>
          <w:rFonts w:ascii="Arial" w:hAnsi="Arial" w:cs="Arial"/>
          <w:color w:val="333333"/>
          <w:sz w:val="30"/>
          <w:szCs w:val="30"/>
        </w:rPr>
        <w:t>4.59</w:t>
      </w:r>
      <w:r>
        <w:rPr>
          <w:rFonts w:hint="eastAsia" w:ascii="Arial" w:hAnsi="Arial"/>
          <w:color w:val="333333"/>
          <w:sz w:val="30"/>
          <w:szCs w:val="30"/>
        </w:rPr>
        <w:t>万元）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在职在编人员增加所以工资福利支出增加</w:t>
      </w:r>
      <w:r>
        <w:rPr>
          <w:rFonts w:hint="eastAsia" w:ascii="Arial" w:hAnsi="Arial"/>
          <w:color w:val="333333"/>
          <w:sz w:val="30"/>
          <w:szCs w:val="30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（二）机关运行经费安排情况说明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年本单位无运行经费。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（三）</w:t>
      </w:r>
      <w:r>
        <w:rPr>
          <w:rFonts w:ascii="Arial" w:hAnsi="Arial" w:cs="Arial"/>
          <w:color w:val="333333"/>
          <w:sz w:val="30"/>
          <w:szCs w:val="30"/>
        </w:rPr>
        <w:t>“</w:t>
      </w:r>
      <w:r>
        <w:rPr>
          <w:rFonts w:hint="eastAsia" w:ascii="Arial" w:hAnsi="Arial"/>
          <w:color w:val="333333"/>
          <w:sz w:val="30"/>
          <w:szCs w:val="30"/>
        </w:rPr>
        <w:t>三公</w:t>
      </w:r>
      <w:r>
        <w:rPr>
          <w:rFonts w:ascii="Arial" w:hAnsi="Arial" w:cs="Arial"/>
          <w:color w:val="333333"/>
          <w:sz w:val="30"/>
          <w:szCs w:val="30"/>
        </w:rPr>
        <w:t>”</w:t>
      </w:r>
      <w:r>
        <w:rPr>
          <w:rFonts w:hint="eastAsia" w:ascii="Arial" w:hAnsi="Arial"/>
          <w:color w:val="333333"/>
          <w:sz w:val="30"/>
          <w:szCs w:val="30"/>
        </w:rPr>
        <w:t>经费安排情况说明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“</w:t>
      </w:r>
      <w:r>
        <w:rPr>
          <w:rFonts w:hint="eastAsia" w:ascii="Arial" w:hAnsi="Arial"/>
          <w:color w:val="333333"/>
          <w:sz w:val="30"/>
          <w:szCs w:val="30"/>
        </w:rPr>
        <w:t>三公</w:t>
      </w:r>
      <w:r>
        <w:rPr>
          <w:rFonts w:ascii="Arial" w:hAnsi="Arial" w:cs="Arial"/>
          <w:color w:val="333333"/>
          <w:sz w:val="30"/>
          <w:szCs w:val="30"/>
        </w:rPr>
        <w:t>”</w:t>
      </w:r>
      <w:r>
        <w:rPr>
          <w:rFonts w:hint="eastAsia" w:ascii="Arial" w:hAnsi="Arial"/>
          <w:color w:val="333333"/>
          <w:sz w:val="30"/>
          <w:szCs w:val="30"/>
        </w:rPr>
        <w:t>经费预算数为</w:t>
      </w:r>
      <w:r>
        <w:rPr>
          <w:rFonts w:ascii="Arial" w:hAnsi="Arial" w:cs="Arial"/>
          <w:color w:val="333333"/>
          <w:sz w:val="30"/>
          <w:szCs w:val="30"/>
        </w:rPr>
        <w:t>0</w:t>
      </w:r>
      <w:r>
        <w:rPr>
          <w:rFonts w:hint="eastAsia" w:ascii="Arial" w:hAnsi="Arial"/>
          <w:color w:val="333333"/>
          <w:sz w:val="30"/>
          <w:szCs w:val="30"/>
        </w:rPr>
        <w:t>万元。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（四）政府采购安排情况说明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202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>2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年本部门政府采购预算总额0万元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>，其中，政府采购货物预算 0 万元，政府采购服务预算 0 万元，政府采购工程预算0万元</w:t>
      </w:r>
      <w:bookmarkStart w:id="0" w:name="_GoBack"/>
      <w:bookmarkEnd w:id="0"/>
      <w:r>
        <w:rPr>
          <w:rFonts w:hint="eastAsia" w:ascii="Arial" w:hAnsi="Arial" w:cs="Arial"/>
          <w:color w:val="333333"/>
          <w:sz w:val="30"/>
          <w:szCs w:val="30"/>
          <w:highlight w:val="none"/>
        </w:rPr>
        <w:t>。</w:t>
      </w:r>
      <w:r>
        <w:rPr>
          <w:rFonts w:ascii="Arial" w:hAnsi="Arial" w:cs="Arial"/>
          <w:color w:val="333333"/>
          <w:sz w:val="30"/>
          <w:szCs w:val="30"/>
          <w:highlight w:val="none"/>
        </w:rPr>
        <w:t> </w:t>
      </w:r>
    </w:p>
    <w:p>
      <w:pPr>
        <w:ind w:firstLine="600" w:firstLineChars="200"/>
        <w:rPr>
          <w:rFonts w:ascii="Arial" w:hAnsi="Arial" w:cs="Arial"/>
          <w:color w:val="333333"/>
          <w:kern w:val="0"/>
          <w:sz w:val="30"/>
          <w:szCs w:val="30"/>
        </w:rPr>
      </w:pPr>
      <w:r>
        <w:rPr>
          <w:rFonts w:hint="eastAsia" w:ascii="Arial" w:hAnsi="Arial" w:cs="宋体"/>
          <w:color w:val="333333"/>
          <w:kern w:val="0"/>
          <w:sz w:val="30"/>
          <w:szCs w:val="30"/>
        </w:rPr>
        <w:t>（五）国有资产占用使用情况说明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截至</w:t>
      </w:r>
      <w:r>
        <w:rPr>
          <w:rFonts w:ascii="Arial" w:hAnsi="Arial" w:cs="Arial"/>
          <w:color w:val="333333"/>
          <w:sz w:val="30"/>
          <w:szCs w:val="30"/>
        </w:rPr>
        <w:t>2021</w:t>
      </w:r>
      <w:r>
        <w:rPr>
          <w:rFonts w:hint="eastAsia" w:ascii="Arial" w:hAnsi="Arial"/>
          <w:color w:val="333333"/>
          <w:sz w:val="30"/>
          <w:szCs w:val="30"/>
        </w:rPr>
        <w:t>年年底，安化县高明乡卫生院共有车辆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</w:t>
      </w:r>
      <w:r>
        <w:rPr>
          <w:rFonts w:hint="eastAsia" w:ascii="Arial" w:hAnsi="Arial"/>
          <w:color w:val="333333"/>
          <w:sz w:val="30"/>
          <w:szCs w:val="30"/>
        </w:rPr>
        <w:t>辆，</w:t>
      </w:r>
      <w:r>
        <w:rPr>
          <w:rFonts w:hint="eastAsia" w:ascii="Arial" w:hAnsi="Arial"/>
          <w:color w:val="333333"/>
          <w:sz w:val="30"/>
          <w:szCs w:val="30"/>
          <w:lang w:eastAsia="zh-CN"/>
        </w:rPr>
        <w:t>均</w:t>
      </w:r>
      <w:r>
        <w:rPr>
          <w:rFonts w:hint="eastAsia" w:ascii="Arial" w:hAnsi="Arial"/>
          <w:color w:val="333333"/>
          <w:sz w:val="30"/>
          <w:szCs w:val="30"/>
        </w:rPr>
        <w:t>为救护车。单位价值</w:t>
      </w:r>
      <w:r>
        <w:rPr>
          <w:rFonts w:ascii="Arial" w:hAnsi="Arial" w:cs="Arial"/>
          <w:color w:val="333333"/>
          <w:sz w:val="30"/>
          <w:szCs w:val="30"/>
        </w:rPr>
        <w:t>50</w:t>
      </w:r>
      <w:r>
        <w:rPr>
          <w:rFonts w:hint="eastAsia" w:ascii="Arial" w:hAnsi="Arial"/>
          <w:color w:val="333333"/>
          <w:sz w:val="30"/>
          <w:szCs w:val="30"/>
        </w:rPr>
        <w:t>万元以上通用设备</w:t>
      </w:r>
      <w:r>
        <w:rPr>
          <w:rFonts w:ascii="Arial" w:hAnsi="Arial" w:cs="Arial"/>
          <w:color w:val="333333"/>
          <w:sz w:val="30"/>
          <w:szCs w:val="30"/>
        </w:rPr>
        <w:t>0</w:t>
      </w:r>
      <w:r>
        <w:rPr>
          <w:rFonts w:hint="eastAsia" w:ascii="Arial" w:hAnsi="Arial"/>
          <w:color w:val="333333"/>
          <w:sz w:val="30"/>
          <w:szCs w:val="30"/>
        </w:rPr>
        <w:t>台，单位价值</w:t>
      </w:r>
      <w:r>
        <w:rPr>
          <w:rFonts w:ascii="Arial" w:hAnsi="Arial" w:cs="Arial"/>
          <w:color w:val="333333"/>
          <w:sz w:val="30"/>
          <w:szCs w:val="30"/>
        </w:rPr>
        <w:t>100</w:t>
      </w:r>
      <w:r>
        <w:rPr>
          <w:rFonts w:hint="eastAsia" w:ascii="Arial" w:hAnsi="Arial"/>
          <w:color w:val="333333"/>
          <w:sz w:val="30"/>
          <w:szCs w:val="30"/>
        </w:rPr>
        <w:t>万元以上专用设备</w:t>
      </w:r>
      <w:r>
        <w:rPr>
          <w:rFonts w:ascii="Arial" w:hAnsi="Arial" w:cs="Arial"/>
          <w:color w:val="333333"/>
          <w:sz w:val="30"/>
          <w:szCs w:val="30"/>
        </w:rPr>
        <w:t>0</w:t>
      </w:r>
      <w:r>
        <w:rPr>
          <w:rFonts w:hint="eastAsia" w:ascii="Arial" w:hAnsi="Arial"/>
          <w:color w:val="333333"/>
          <w:sz w:val="30"/>
          <w:szCs w:val="30"/>
        </w:rPr>
        <w:t>台。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ind w:firstLine="600" w:firstLineChars="200"/>
        <w:rPr>
          <w:rFonts w:ascii="Arial" w:hAnsi="Arial" w:cs="Arial"/>
          <w:color w:val="333333"/>
          <w:kern w:val="0"/>
          <w:sz w:val="30"/>
          <w:szCs w:val="30"/>
        </w:rPr>
      </w:pPr>
      <w:r>
        <w:rPr>
          <w:rFonts w:hint="eastAsia" w:ascii="Arial" w:hAnsi="Arial" w:cs="宋体"/>
          <w:color w:val="333333"/>
          <w:kern w:val="0"/>
          <w:sz w:val="30"/>
          <w:szCs w:val="30"/>
        </w:rPr>
        <w:t>（六）重点项目预算的绩效目标等预算绩效情况说明</w:t>
      </w:r>
    </w:p>
    <w:p>
      <w:pPr>
        <w:ind w:firstLine="600" w:firstLineChars="200"/>
        <w:rPr>
          <w:rFonts w:ascii="Arial" w:hAnsi="Arial" w:cs="Arial"/>
          <w:color w:val="333333"/>
          <w:kern w:val="0"/>
          <w:sz w:val="30"/>
          <w:szCs w:val="30"/>
        </w:rPr>
      </w:pPr>
      <w:r>
        <w:rPr>
          <w:rFonts w:hint="eastAsia" w:ascii="Arial" w:hAnsi="Arial" w:cs="宋体"/>
          <w:color w:val="333333"/>
          <w:kern w:val="0"/>
          <w:sz w:val="30"/>
          <w:szCs w:val="30"/>
        </w:rPr>
        <w:t>本部门整体支出和项目支出实行绩效目标管理，纳入</w:t>
      </w:r>
      <w:r>
        <w:rPr>
          <w:rFonts w:ascii="Arial" w:hAnsi="Arial" w:cs="Arial"/>
          <w:color w:val="333333"/>
          <w:kern w:val="0"/>
          <w:sz w:val="30"/>
          <w:szCs w:val="30"/>
        </w:rPr>
        <w:t>2022</w:t>
      </w:r>
      <w:r>
        <w:rPr>
          <w:rFonts w:hint="eastAsia" w:ascii="Arial" w:hAnsi="Arial" w:cs="宋体"/>
          <w:color w:val="333333"/>
          <w:kern w:val="0"/>
          <w:sz w:val="30"/>
          <w:szCs w:val="30"/>
        </w:rPr>
        <w:t>年部门整体支出绩效目标的金额为</w:t>
      </w:r>
      <w:r>
        <w:rPr>
          <w:rFonts w:ascii="Arial" w:hAnsi="Arial" w:cs="Arial"/>
          <w:color w:val="333333"/>
          <w:kern w:val="0"/>
          <w:sz w:val="30"/>
          <w:szCs w:val="30"/>
        </w:rPr>
        <w:t>27.37</w:t>
      </w:r>
      <w:r>
        <w:rPr>
          <w:rFonts w:hint="eastAsia" w:ascii="Arial" w:hAnsi="Arial" w:cs="宋体"/>
          <w:color w:val="333333"/>
          <w:kern w:val="0"/>
          <w:sz w:val="30"/>
          <w:szCs w:val="30"/>
        </w:rPr>
        <w:t>万元，其中，基本支出</w:t>
      </w:r>
      <w:r>
        <w:rPr>
          <w:rFonts w:ascii="Arial" w:hAnsi="Arial" w:cs="Arial"/>
          <w:color w:val="333333"/>
          <w:kern w:val="0"/>
          <w:sz w:val="30"/>
          <w:szCs w:val="30"/>
        </w:rPr>
        <w:t>27.37</w:t>
      </w:r>
      <w:r>
        <w:rPr>
          <w:rFonts w:hint="eastAsia" w:ascii="Arial" w:hAnsi="Arial" w:cs="宋体"/>
          <w:color w:val="333333"/>
          <w:kern w:val="0"/>
          <w:sz w:val="30"/>
          <w:szCs w:val="30"/>
        </w:rPr>
        <w:t>万元，项目支出</w:t>
      </w:r>
      <w:r>
        <w:rPr>
          <w:rFonts w:ascii="Arial" w:hAnsi="Arial" w:cs="Arial"/>
          <w:color w:val="333333"/>
          <w:kern w:val="0"/>
          <w:sz w:val="30"/>
          <w:szCs w:val="30"/>
        </w:rPr>
        <w:t>0</w:t>
      </w:r>
      <w:r>
        <w:rPr>
          <w:rFonts w:hint="eastAsia" w:ascii="Arial" w:hAnsi="Arial" w:cs="宋体"/>
          <w:color w:val="333333"/>
          <w:kern w:val="0"/>
          <w:sz w:val="30"/>
          <w:szCs w:val="30"/>
        </w:rPr>
        <w:t>万元。</w:t>
      </w:r>
      <w:r>
        <w:rPr>
          <w:rFonts w:ascii="Arial" w:hAnsi="Arial" w:cs="Arial"/>
          <w:color w:val="333333"/>
          <w:kern w:val="0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黑体" w:hAnsi="黑体" w:eastAsia="黑体" w:cs="Calibri"/>
          <w:color w:val="333333"/>
          <w:kern w:val="2"/>
          <w:sz w:val="32"/>
          <w:szCs w:val="32"/>
        </w:rPr>
      </w:pPr>
      <w:r>
        <w:rPr>
          <w:rFonts w:hint="eastAsia" w:ascii="Arial" w:hAnsi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</w:rPr>
        <w:t>　六、名词解释</w:t>
      </w:r>
      <w:r>
        <w:rPr>
          <w:rFonts w:ascii="黑体" w:hAnsi="黑体" w:eastAsia="黑体" w:cs="Calibri"/>
          <w:color w:val="333333"/>
          <w:kern w:val="2"/>
          <w:sz w:val="32"/>
          <w:szCs w:val="32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（一）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</w:t>
      </w:r>
      <w:r>
        <w:rPr>
          <w:rFonts w:ascii="Arial" w:hAnsi="Arial" w:cs="Arial"/>
          <w:color w:val="333333"/>
          <w:sz w:val="30"/>
          <w:szCs w:val="30"/>
        </w:rPr>
        <w:t xml:space="preserve">  </w:t>
      </w:r>
      <w:r>
        <w:rPr>
          <w:rFonts w:hint="eastAsia" w:ascii="Arial" w:hAnsi="Arial"/>
          <w:color w:val="333333"/>
          <w:sz w:val="30"/>
          <w:szCs w:val="30"/>
        </w:rPr>
        <w:t>（二）</w:t>
      </w:r>
      <w:r>
        <w:rPr>
          <w:rFonts w:ascii="Arial" w:hAnsi="Arial" w:cs="Arial"/>
          <w:color w:val="333333"/>
          <w:sz w:val="30"/>
          <w:szCs w:val="30"/>
        </w:rPr>
        <w:t>“</w:t>
      </w:r>
      <w:r>
        <w:rPr>
          <w:rFonts w:hint="eastAsia" w:ascii="Arial" w:hAnsi="Arial"/>
          <w:color w:val="333333"/>
          <w:sz w:val="30"/>
          <w:szCs w:val="30"/>
        </w:rPr>
        <w:t>三公</w:t>
      </w:r>
      <w:r>
        <w:rPr>
          <w:rFonts w:ascii="Arial" w:hAnsi="Arial" w:cs="Arial"/>
          <w:color w:val="333333"/>
          <w:sz w:val="30"/>
          <w:szCs w:val="30"/>
        </w:rPr>
        <w:t>”</w:t>
      </w:r>
      <w:r>
        <w:rPr>
          <w:rFonts w:hint="eastAsia" w:ascii="Arial" w:hAnsi="Arial"/>
          <w:color w:val="333333"/>
          <w:sz w:val="30"/>
          <w:szCs w:val="30"/>
        </w:rPr>
        <w:t>经费：纳入县财政预算管理的</w:t>
      </w:r>
      <w:r>
        <w:rPr>
          <w:rFonts w:ascii="Arial" w:hAnsi="Arial" w:cs="Arial"/>
          <w:color w:val="333333"/>
          <w:sz w:val="30"/>
          <w:szCs w:val="30"/>
        </w:rPr>
        <w:t>“</w:t>
      </w:r>
      <w:r>
        <w:rPr>
          <w:rFonts w:hint="eastAsia" w:ascii="Arial" w:hAnsi="Arial"/>
          <w:color w:val="333333"/>
          <w:sz w:val="30"/>
          <w:szCs w:val="30"/>
        </w:rPr>
        <w:t>三公</w:t>
      </w:r>
      <w:r>
        <w:rPr>
          <w:rFonts w:ascii="Arial" w:hAnsi="Arial" w:cs="Arial"/>
          <w:color w:val="333333"/>
          <w:sz w:val="30"/>
          <w:szCs w:val="30"/>
        </w:rPr>
        <w:t>“</w:t>
      </w:r>
      <w:r>
        <w:rPr>
          <w:rFonts w:hint="eastAsia" w:ascii="Arial" w:hAnsi="Arial"/>
          <w:color w:val="333333"/>
          <w:sz w:val="30"/>
          <w:szCs w:val="30"/>
        </w:rPr>
        <w:t>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333333"/>
          <w:sz w:val="30"/>
          <w:szCs w:val="30"/>
        </w:rPr>
      </w:pPr>
    </w:p>
    <w:p>
      <w:pPr>
        <w:spacing w:line="560" w:lineRule="exact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一、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年部门预算收支总表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二、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年单位财政拨款收支总表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三、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年单位一般公共预算支出表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四、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年单位一般公共预算基本支出表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五、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年单位一般公预算“三公”经费支出表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六、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年单位政府性基金预算支出表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七、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八、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年部门收入总表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九、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年部门支出总表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年政府预算支出明细汇总表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十一、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年一般公预算</w:t>
      </w:r>
      <w:r>
        <w:rPr>
          <w:rFonts w:ascii="Times New Roman" w:hAnsi="Times New Roman" w:eastAsia="仿宋_GB2312" w:cs="Times New Roman"/>
          <w:sz w:val="32"/>
          <w:szCs w:val="32"/>
        </w:rPr>
        <w:t>—</w:t>
      </w:r>
      <w:r>
        <w:rPr>
          <w:rFonts w:hint="eastAsia" w:ascii="Times New Roman" w:hAnsi="Times New Roman" w:eastAsia="仿宋_GB2312" w:cs="仿宋_GB2312"/>
          <w:sz w:val="32"/>
          <w:szCs w:val="32"/>
        </w:rPr>
        <w:t>政府预算支出明细汇总表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十二、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年政府采购预算计划表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十三、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年单位项目支出绩效目标申报表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十四、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年部门整体支出预算绩效目标表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十五、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年政府购买服务支出预算表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</w:p>
    <w:p>
      <w:pPr>
        <w:jc w:val="center"/>
        <w:rPr>
          <w:sz w:val="44"/>
          <w:szCs w:val="4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E4MjNjNGQxZGEyNGQ2ODc5YzI2YjhjMDQ4NmIwZmEifQ=="/>
  </w:docVars>
  <w:rsids>
    <w:rsidRoot w:val="00172A27"/>
    <w:rsid w:val="00090450"/>
    <w:rsid w:val="00172A27"/>
    <w:rsid w:val="001C0C7F"/>
    <w:rsid w:val="003E61D6"/>
    <w:rsid w:val="004D44A9"/>
    <w:rsid w:val="004E254B"/>
    <w:rsid w:val="005A390D"/>
    <w:rsid w:val="005F5A12"/>
    <w:rsid w:val="00630FF5"/>
    <w:rsid w:val="006F12B0"/>
    <w:rsid w:val="00C572FE"/>
    <w:rsid w:val="00F63ABA"/>
    <w:rsid w:val="00FE6141"/>
    <w:rsid w:val="01050370"/>
    <w:rsid w:val="05D869BF"/>
    <w:rsid w:val="0ABB0151"/>
    <w:rsid w:val="0C285815"/>
    <w:rsid w:val="0DB53C96"/>
    <w:rsid w:val="0E6A099D"/>
    <w:rsid w:val="111F7A81"/>
    <w:rsid w:val="122729EF"/>
    <w:rsid w:val="1A756B85"/>
    <w:rsid w:val="1DD82CB2"/>
    <w:rsid w:val="1E3638DD"/>
    <w:rsid w:val="1EF103FC"/>
    <w:rsid w:val="238E6D3A"/>
    <w:rsid w:val="2BC85162"/>
    <w:rsid w:val="2D575CAE"/>
    <w:rsid w:val="31314F34"/>
    <w:rsid w:val="3165085F"/>
    <w:rsid w:val="318442C1"/>
    <w:rsid w:val="31CC3D6B"/>
    <w:rsid w:val="3357612F"/>
    <w:rsid w:val="36E67177"/>
    <w:rsid w:val="398C516F"/>
    <w:rsid w:val="39DE537C"/>
    <w:rsid w:val="3FE73728"/>
    <w:rsid w:val="453408E8"/>
    <w:rsid w:val="47AA2DE0"/>
    <w:rsid w:val="4D6D6B33"/>
    <w:rsid w:val="4E4946FF"/>
    <w:rsid w:val="50951751"/>
    <w:rsid w:val="50A4365C"/>
    <w:rsid w:val="517A0150"/>
    <w:rsid w:val="54010786"/>
    <w:rsid w:val="54F42DC3"/>
    <w:rsid w:val="5A574BC0"/>
    <w:rsid w:val="5F783CDC"/>
    <w:rsid w:val="61F2020B"/>
    <w:rsid w:val="631014CE"/>
    <w:rsid w:val="769770E3"/>
    <w:rsid w:val="79FB140A"/>
    <w:rsid w:val="7DB9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name="header"/>
    <w:lsdException w:qFormat="1" w:unhideWhenUsed="0" w:uiPriority="99" w:name="footer"/>
    <w:lsdException w:unhideWhenUsed="0" w:uiPriority="0" w:semiHidden="0" w:name="index heading"/>
    <w:lsdException w:qFormat="1" w:uiPriority="35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 w:locked="1"/>
    <w:lsdException w:unhideWhenUsed="0" w:uiPriority="0" w:semiHidden="0" w:name="Closing"/>
    <w:lsdException w:unhideWhenUsed="0" w:uiPriority="0" w:semiHidden="0" w:name="Signature"/>
    <w:lsdException w:qFormat="1" w:unhideWhenUsed="0" w:uiPriority="99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 w:locked="1"/>
    <w:lsdException w:qFormat="1" w:unhideWhenUsed="0" w:uiPriority="2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nhideWhenUsed="0" w:uiPriority="0" w:semiHidden="0" w:name="Balloon Text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Footer Char"/>
    <w:basedOn w:val="6"/>
    <w:link w:val="2"/>
    <w:qFormat/>
    <w:locked/>
    <w:uiPriority w:val="99"/>
    <w:rPr>
      <w:sz w:val="18"/>
      <w:szCs w:val="18"/>
    </w:rPr>
  </w:style>
  <w:style w:type="character" w:customStyle="1" w:styleId="8">
    <w:name w:val="Header Char"/>
    <w:basedOn w:val="6"/>
    <w:link w:val="3"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P R C</Company>
  <Pages>8</Pages>
  <Words>2881</Words>
  <Characters>3134</Characters>
  <Lines>0</Lines>
  <Paragraphs>0</Paragraphs>
  <TotalTime>0</TotalTime>
  <ScaleCrop>false</ScaleCrop>
  <LinksUpToDate>false</LinksUpToDate>
  <CharactersWithSpaces>3202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2023-10-09T08:43:00Z</dcterms:created>
  <dc:creator>lenovo</dc:creator>
  <cp:lastModifiedBy>Administrator</cp:lastModifiedBy>
  <cp:lastPrinted>2022-05-25T00:43:00Z</cp:lastPrinted>
  <dcterms:modified xsi:type="dcterms:W3CDTF">2023-10-10T12:20:53Z</dcterms:modified>
  <dc:title>2019年部门预算及“三公”经费预算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