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安化县人民医院2022年部门预算说明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安化县人民医院2022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安化县人民医院2022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widowControl/>
        <w:spacing w:line="600" w:lineRule="exact"/>
        <w:ind w:firstLine="630" w:firstLineChars="196"/>
        <w:jc w:val="left"/>
        <w:rPr>
          <w:rFonts w:hint="eastAsia" w:eastAsia="楷体_GB2312"/>
          <w:bCs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>
      <w:pPr>
        <w:pStyle w:val="6"/>
        <w:ind w:firstLine="900" w:firstLineChars="3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1、贯彻执行党和国家的卫生方针、政策和法律法规。</w:t>
      </w:r>
    </w:p>
    <w:p>
      <w:pPr>
        <w:pStyle w:val="6"/>
        <w:ind w:firstLine="900" w:firstLineChars="3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2、开展医疗与护理、健康保健等工作，为人民身体健康提供医疗、护理与保健服务。</w:t>
      </w:r>
    </w:p>
    <w:p>
      <w:pPr>
        <w:pStyle w:val="6"/>
        <w:ind w:firstLine="900" w:firstLineChars="3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3、开展临床教学、实习、培训及科研工作。</w:t>
      </w:r>
    </w:p>
    <w:p>
      <w:pP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 xml:space="preserve">      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4、完成上级和业务主管部门交办的其它工作。</w:t>
      </w:r>
    </w:p>
    <w:p>
      <w:pPr>
        <w:widowControl/>
        <w:spacing w:line="600" w:lineRule="exact"/>
        <w:ind w:firstLine="630" w:firstLineChars="196"/>
        <w:jc w:val="left"/>
        <w:rPr>
          <w:rFonts w:hint="eastAsia" w:eastAsia="楷体_GB2312"/>
          <w:bCs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根据上述职责，设</w:t>
      </w:r>
      <w:r>
        <w:rPr>
          <w:rFonts w:ascii="Arial" w:hAnsi="Arial" w:cs="Arial"/>
          <w:color w:val="333333"/>
          <w:sz w:val="30"/>
          <w:szCs w:val="30"/>
        </w:rPr>
        <w:t>24</w:t>
      </w:r>
      <w:r>
        <w:rPr>
          <w:rFonts w:hint="eastAsia" w:ascii="Arial" w:hAnsi="Arial" w:cs="Arial"/>
          <w:color w:val="333333"/>
          <w:sz w:val="30"/>
          <w:szCs w:val="30"/>
        </w:rPr>
        <w:t>个行政管理科室、</w:t>
      </w:r>
      <w:r>
        <w:rPr>
          <w:rFonts w:ascii="Arial" w:hAnsi="Arial" w:cs="Arial"/>
          <w:color w:val="333333"/>
          <w:sz w:val="30"/>
          <w:szCs w:val="30"/>
        </w:rPr>
        <w:t>3</w:t>
      </w:r>
      <w:r>
        <w:rPr>
          <w:rFonts w:hint="eastAsia" w:ascii="Arial" w:hAnsi="Arial" w:cs="Arial"/>
          <w:color w:val="333333"/>
          <w:sz w:val="30"/>
          <w:szCs w:val="30"/>
        </w:rPr>
        <w:t>4个临床科室、</w:t>
      </w:r>
      <w:r>
        <w:rPr>
          <w:rFonts w:ascii="Arial" w:hAnsi="Arial" w:cs="Arial"/>
          <w:color w:val="333333"/>
          <w:sz w:val="30"/>
          <w:szCs w:val="30"/>
        </w:rPr>
        <w:t>13</w:t>
      </w:r>
      <w:r>
        <w:rPr>
          <w:rFonts w:hint="eastAsia" w:ascii="Arial" w:hAnsi="Arial" w:cs="Arial"/>
          <w:color w:val="333333"/>
          <w:sz w:val="30"/>
          <w:szCs w:val="30"/>
        </w:rPr>
        <w:t>个医技科室、1个下属机构。全部纳入20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年部门预算编制范围。 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1、行政管理科室：院办公室、人力资源部、财务科、运营部、医务科、护理部、总务后勤科、院感科、质控科、科教科、审计物价科、设备科、网络信息中心、综治办、医保科、门诊办、爱卫办、绩效考核办、经管办、医改办、安全生产办、预防保健科、建设办、等级评审办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2、临床科室：新生儿科、普儿科、产科、妇科、神经外科、泌尿外科、创伤关节下肢外科、肾内科、脊柱骨病上肢外科、眼耳鼻喉科、肝胆外科、呼吸与危重症一科、呼吸与危重症二科、代谢内分泌营养科、消化内科、心血管内一科、心血管内二科、胃肠外科、神经内科、感染科、肿瘤血液内科、老年中医风湿免疫一科、康复治疗中心、血液净化中心一科、皮肤科门诊、口腔一科、儿科门急诊、门诊输液室、门诊手术室、急诊科</w:t>
      </w:r>
      <w:r>
        <w:rPr>
          <w:rFonts w:ascii="Arial" w:hAnsi="Arial" w:cs="Arial"/>
          <w:color w:val="333333"/>
          <w:sz w:val="30"/>
          <w:szCs w:val="30"/>
        </w:rPr>
        <w:t>120</w:t>
      </w:r>
      <w:r>
        <w:rPr>
          <w:rFonts w:hint="eastAsia" w:ascii="Arial" w:hAnsi="Arial" w:cs="Arial"/>
          <w:color w:val="333333"/>
          <w:sz w:val="30"/>
          <w:szCs w:val="30"/>
        </w:rPr>
        <w:t>、麻醉手术科、重症医学科（</w:t>
      </w:r>
      <w:r>
        <w:rPr>
          <w:rFonts w:ascii="Arial" w:hAnsi="Arial" w:cs="Arial"/>
          <w:color w:val="333333"/>
          <w:sz w:val="30"/>
          <w:szCs w:val="30"/>
        </w:rPr>
        <w:t>ICU</w:t>
      </w:r>
      <w:r>
        <w:rPr>
          <w:rFonts w:hint="eastAsia" w:ascii="Arial" w:hAnsi="Arial" w:cs="Arial"/>
          <w:color w:val="333333"/>
          <w:sz w:val="30"/>
          <w:szCs w:val="30"/>
        </w:rPr>
        <w:t>）、全科医学科、儿童保健科。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3、医技科室：检验科、输血科、放射医学影像中心、病理科、药剂科、超声科、内镜中心、消毒供应中心、健康管理中心、心电图室、高压氧室、临床药学室、肿瘤放疗中心。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hint="eastAsia" w:ascii="Arial" w:hAnsi="Arial" w:cs="Arial"/>
          <w:color w:val="333333"/>
          <w:sz w:val="30"/>
          <w:szCs w:val="30"/>
        </w:rPr>
        <w:t>4、下属机构设置：辰峰司法鉴定所（独立法人）</w:t>
      </w:r>
    </w:p>
    <w:p>
      <w:pPr>
        <w:pStyle w:val="5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安化县人民医院</w:t>
      </w:r>
      <w:r>
        <w:rPr>
          <w:rFonts w:ascii="Arial" w:hAnsi="Arial" w:cs="Arial"/>
          <w:color w:val="333333"/>
          <w:sz w:val="30"/>
          <w:szCs w:val="30"/>
        </w:rPr>
        <w:t>部门只有本级，没有其他预算单位，因此本部门预算仅含本级预算。</w:t>
      </w:r>
    </w:p>
    <w:p>
      <w:pPr>
        <w:pStyle w:val="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我院本级预算</w:t>
      </w:r>
      <w:r>
        <w:rPr>
          <w:rFonts w:hint="eastAsia" w:ascii="Arial" w:hAnsi="Arial" w:cs="Arial"/>
          <w:color w:val="333333"/>
          <w:sz w:val="30"/>
          <w:szCs w:val="30"/>
        </w:rPr>
        <w:t>。我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院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表为空。收入包括经费拨款；支出包括单位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人员工资福利支出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1855.39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1855.39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1855.39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64.5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64.5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1855.39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263.17万元，卫生健康支出1285.53万元，住房保障支出306.69万元。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支出</w:t>
      </w:r>
      <w:r>
        <w:rPr>
          <w:rFonts w:ascii="Arial" w:hAnsi="Arial" w:cs="Arial"/>
          <w:color w:val="333333"/>
          <w:sz w:val="30"/>
          <w:szCs w:val="30"/>
        </w:rPr>
        <w:t>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64.5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主要是基本支出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64.5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1855.39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1855.39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5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  <w:r>
        <w:rPr>
          <w:rFonts w:hint="eastAsia" w:ascii="Arial" w:hAnsi="Arial" w:cs="Arial"/>
          <w:color w:val="333333"/>
          <w:sz w:val="30"/>
          <w:szCs w:val="30"/>
        </w:rPr>
        <w:t>　　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5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1855.39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1855.39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1855.39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64.5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增幅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3.6%，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经费拨款增加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64.5万元。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1855.39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263.17万元，卫生健康支出1285.53万元，住房保障支出306.69万元。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支出</w:t>
      </w:r>
      <w:r>
        <w:rPr>
          <w:rFonts w:ascii="Arial" w:hAnsi="Arial" w:cs="Arial"/>
          <w:color w:val="333333"/>
          <w:sz w:val="30"/>
          <w:szCs w:val="30"/>
        </w:rPr>
        <w:t>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64.5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增幅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3.6%，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基本支出增加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64.5万元（工资福利支出较去年增加64.5万元），在职在编人员有所增加，基本工资增加8.7万元、绩效工资增加33.9万元、养老保险增加8.5万元，住房公积金增加13.4万元。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单位无</w:t>
      </w:r>
      <w:r>
        <w:rPr>
          <w:rFonts w:ascii="Arial" w:hAnsi="Arial" w:cs="Arial"/>
          <w:color w:val="333333"/>
          <w:sz w:val="30"/>
          <w:szCs w:val="30"/>
        </w:rPr>
        <w:t>运行经费。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bookmarkStart w:id="0" w:name="_GoBack"/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2022年我单位政府采购预算总额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万元，其中，政府采购货物预算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万元，政府采购服务预算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万元，政府采购工程预算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0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万元。</w:t>
      </w:r>
      <w:r>
        <w:rPr>
          <w:rFonts w:ascii="Arial" w:hAnsi="Arial" w:cs="Arial"/>
          <w:color w:val="333333"/>
          <w:sz w:val="30"/>
          <w:szCs w:val="30"/>
          <w:highlight w:val="none"/>
        </w:rPr>
        <w:t> </w:t>
      </w:r>
      <w:bookmarkEnd w:id="0"/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5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auto"/>
          <w:sz w:val="30"/>
          <w:szCs w:val="30"/>
        </w:rPr>
      </w:pPr>
      <w:r>
        <w:rPr>
          <w:rFonts w:ascii="Arial" w:hAnsi="Arial" w:cs="Arial"/>
          <w:color w:val="auto"/>
          <w:sz w:val="30"/>
          <w:szCs w:val="30"/>
        </w:rPr>
        <w:t>截至20</w:t>
      </w:r>
      <w:r>
        <w:rPr>
          <w:rFonts w:hint="eastAsia" w:ascii="Arial" w:hAnsi="Arial" w:cs="Arial"/>
          <w:color w:val="auto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auto"/>
          <w:sz w:val="30"/>
          <w:szCs w:val="30"/>
        </w:rPr>
        <w:t>年</w:t>
      </w:r>
      <w:r>
        <w:rPr>
          <w:rFonts w:hint="eastAsia" w:ascii="Arial" w:hAnsi="Arial" w:cs="Arial"/>
          <w:color w:val="auto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auto"/>
          <w:sz w:val="30"/>
          <w:szCs w:val="30"/>
        </w:rPr>
        <w:t>，</w:t>
      </w:r>
      <w:r>
        <w:rPr>
          <w:rFonts w:hint="eastAsia" w:ascii="Arial" w:hAnsi="Arial" w:cs="Arial"/>
          <w:color w:val="auto"/>
          <w:sz w:val="30"/>
          <w:szCs w:val="30"/>
          <w:lang w:eastAsia="zh-CN"/>
        </w:rPr>
        <w:t>本单位</w:t>
      </w:r>
      <w:r>
        <w:rPr>
          <w:rFonts w:ascii="Arial" w:hAnsi="Arial" w:cs="Arial"/>
          <w:color w:val="auto"/>
          <w:sz w:val="30"/>
          <w:szCs w:val="30"/>
        </w:rPr>
        <w:t>共有车辆</w:t>
      </w:r>
      <w:r>
        <w:rPr>
          <w:rFonts w:hint="eastAsia" w:ascii="Arial" w:hAnsi="Arial" w:cs="Arial"/>
          <w:color w:val="auto"/>
          <w:sz w:val="30"/>
          <w:szCs w:val="30"/>
          <w:lang w:val="en-US" w:eastAsia="zh-CN"/>
        </w:rPr>
        <w:t>7</w:t>
      </w:r>
      <w:r>
        <w:rPr>
          <w:rFonts w:ascii="Arial" w:hAnsi="Arial" w:cs="Arial"/>
          <w:color w:val="auto"/>
          <w:sz w:val="30"/>
          <w:szCs w:val="30"/>
        </w:rPr>
        <w:t>辆，</w:t>
      </w:r>
      <w:r>
        <w:rPr>
          <w:rFonts w:hint="eastAsia" w:ascii="Arial" w:hAnsi="Arial" w:cs="Arial"/>
          <w:color w:val="auto"/>
          <w:sz w:val="30"/>
          <w:szCs w:val="30"/>
          <w:lang w:eastAsia="zh-CN"/>
        </w:rPr>
        <w:t>为救护车</w:t>
      </w:r>
      <w:r>
        <w:rPr>
          <w:rFonts w:ascii="Arial" w:hAnsi="Arial" w:cs="Arial"/>
          <w:color w:val="auto"/>
          <w:sz w:val="30"/>
          <w:szCs w:val="30"/>
        </w:rPr>
        <w:t>。单位价值50万元以上通用设备</w:t>
      </w:r>
      <w:r>
        <w:rPr>
          <w:rFonts w:hint="eastAsia" w:ascii="Arial" w:hAnsi="Arial" w:cs="Arial"/>
          <w:color w:val="auto"/>
          <w:sz w:val="30"/>
          <w:szCs w:val="30"/>
          <w:lang w:val="en-US" w:eastAsia="zh-CN"/>
        </w:rPr>
        <w:t>5</w:t>
      </w:r>
      <w:r>
        <w:rPr>
          <w:rFonts w:ascii="Arial" w:hAnsi="Arial" w:cs="Arial"/>
          <w:color w:val="auto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auto"/>
          <w:sz w:val="30"/>
          <w:szCs w:val="30"/>
          <w:lang w:val="en-US" w:eastAsia="zh-CN"/>
        </w:rPr>
        <w:t>20</w:t>
      </w:r>
      <w:r>
        <w:rPr>
          <w:rFonts w:ascii="Arial" w:hAnsi="Arial" w:cs="Arial"/>
          <w:color w:val="auto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1855.39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1855.39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4MjNjNGQxZGEyNGQ2ODc5YzI2YjhjMDQ4NmIwZmEifQ=="/>
  </w:docVars>
  <w:rsids>
    <w:rsidRoot w:val="00172A27"/>
    <w:rsid w:val="01050370"/>
    <w:rsid w:val="04CD364F"/>
    <w:rsid w:val="05D869BF"/>
    <w:rsid w:val="0ABB0151"/>
    <w:rsid w:val="0C285815"/>
    <w:rsid w:val="0DB53C96"/>
    <w:rsid w:val="0E6A099D"/>
    <w:rsid w:val="111F7A81"/>
    <w:rsid w:val="11CE3649"/>
    <w:rsid w:val="122729EF"/>
    <w:rsid w:val="1A756B85"/>
    <w:rsid w:val="1DD82CB2"/>
    <w:rsid w:val="1E3638DD"/>
    <w:rsid w:val="1EF103FC"/>
    <w:rsid w:val="238E6D3A"/>
    <w:rsid w:val="24DF2810"/>
    <w:rsid w:val="2BC85162"/>
    <w:rsid w:val="2D575CAE"/>
    <w:rsid w:val="31314F34"/>
    <w:rsid w:val="318442C1"/>
    <w:rsid w:val="31CC3D6B"/>
    <w:rsid w:val="3357612F"/>
    <w:rsid w:val="36E67177"/>
    <w:rsid w:val="394F1A87"/>
    <w:rsid w:val="398C516F"/>
    <w:rsid w:val="3BC17062"/>
    <w:rsid w:val="3FE73728"/>
    <w:rsid w:val="40972C3D"/>
    <w:rsid w:val="41C974BF"/>
    <w:rsid w:val="453408E8"/>
    <w:rsid w:val="47AA2DE0"/>
    <w:rsid w:val="4D6D6B33"/>
    <w:rsid w:val="4E4946FF"/>
    <w:rsid w:val="50951751"/>
    <w:rsid w:val="50A4365C"/>
    <w:rsid w:val="54010786"/>
    <w:rsid w:val="54F42DC3"/>
    <w:rsid w:val="5F783CDC"/>
    <w:rsid w:val="61F2020B"/>
    <w:rsid w:val="631014CE"/>
    <w:rsid w:val="64CE3135"/>
    <w:rsid w:val="769770E3"/>
    <w:rsid w:val="79FB140A"/>
    <w:rsid w:val="7DB92A2E"/>
    <w:rsid w:val="7F512E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Body Text First Indent"/>
    <w:basedOn w:val="2"/>
    <w:next w:val="1"/>
    <w:qFormat/>
    <w:uiPriority w:val="0"/>
    <w:pPr>
      <w:widowControl/>
      <w:spacing w:after="0"/>
      <w:ind w:firstLine="420" w:firstLineChars="100"/>
      <w:jc w:val="left"/>
    </w:pPr>
    <w:rPr>
      <w:kern w:val="0"/>
      <w:sz w:val="20"/>
    </w:rPr>
  </w:style>
  <w:style w:type="character" w:customStyle="1" w:styleId="9">
    <w:name w:val="页眉 Char Char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Char Char"/>
    <w:basedOn w:val="8"/>
    <w:link w:val="3"/>
    <w:qFormat/>
    <w:uiPriority w:val="99"/>
    <w:rPr>
      <w:sz w:val="18"/>
      <w:szCs w:val="18"/>
    </w:rPr>
  </w:style>
  <w:style w:type="character" w:customStyle="1" w:styleId="11">
    <w:name w:val="font71"/>
    <w:qFormat/>
    <w:uiPriority w:val="0"/>
    <w:rPr>
      <w:rFonts w:ascii="Times New Roman" w:hAnsi="Times New Roman" w:eastAsia="楷体_GB2312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2575</Words>
  <Characters>2880</Characters>
  <Lines>18</Lines>
  <Paragraphs>5</Paragraphs>
  <TotalTime>31</TotalTime>
  <ScaleCrop>false</ScaleCrop>
  <LinksUpToDate>false</LinksUpToDate>
  <CharactersWithSpaces>2949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Administrator</cp:lastModifiedBy>
  <cp:lastPrinted>2022-05-25T00:43:00Z</cp:lastPrinted>
  <dcterms:modified xsi:type="dcterms:W3CDTF">2023-10-10T11:37:15Z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