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安化县羽毛球运动中心2022年部门预算说明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安化县羽毛球运动中心2022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安化县羽毛球运动中心2022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</w:t>
      </w:r>
      <w:r>
        <w:rPr>
          <w:rFonts w:hint="eastAsia" w:ascii="Arial" w:hAnsi="Arial" w:cs="Arial"/>
          <w:color w:val="333333"/>
          <w:sz w:val="30"/>
          <w:szCs w:val="30"/>
        </w:rPr>
        <w:t>负责制订羽毛球运动学校的发展规划，组织和开展招生、训练工作，为国家输送羽毛球高水平后备人才和社会体育骨干。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办公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室5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办公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室</w:t>
      </w:r>
      <w:r>
        <w:rPr>
          <w:rFonts w:hint="eastAsia" w:ascii="Arial" w:hAnsi="Arial" w:cs="Arial"/>
          <w:color w:val="333333"/>
          <w:sz w:val="30"/>
          <w:szCs w:val="30"/>
        </w:rPr>
        <w:t>分别是校长室、办公室、财务室、教练室、后勤处。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151.98 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151.98 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151.98 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71.40 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71.40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151.98 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文化旅游体育与传媒支出132.94万元，社会保障和就业支出9.39万元，卫生健康支出3.22万元，住房保障支出6.44万元。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71.40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>7.10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</w:rPr>
        <w:t>64.30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151.98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87.68 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64.30 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64.30 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羽毛球训练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151.98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151.98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151.98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71.40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增幅88.61%，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经费拨款增加71.40万元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151.98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文化旅游体育与传媒支出132.94万元，社会保障和就业支出9.39万元，卫生健康支出3.22万元，住房保障支出6.44万元。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71.40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增幅88.61%，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是基本支出增加7.10万元，项目支出增加64.30万元。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9.54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万元，上升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41.10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30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.00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,政府采购工程预算11.10万元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151.98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 xml:space="preserve">87.68 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64.30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5895DA5"/>
    <w:rsid w:val="0C285815"/>
    <w:rsid w:val="0E6A099D"/>
    <w:rsid w:val="111F7A81"/>
    <w:rsid w:val="122729EF"/>
    <w:rsid w:val="1E3638DD"/>
    <w:rsid w:val="24762AC5"/>
    <w:rsid w:val="24B74D25"/>
    <w:rsid w:val="2BC85162"/>
    <w:rsid w:val="2D575CAE"/>
    <w:rsid w:val="318442C1"/>
    <w:rsid w:val="3357612F"/>
    <w:rsid w:val="36E67177"/>
    <w:rsid w:val="398C516F"/>
    <w:rsid w:val="3BD3696D"/>
    <w:rsid w:val="3C127A01"/>
    <w:rsid w:val="3F655964"/>
    <w:rsid w:val="3FE73728"/>
    <w:rsid w:val="47AA2DE0"/>
    <w:rsid w:val="4A91690D"/>
    <w:rsid w:val="50A4365C"/>
    <w:rsid w:val="54010786"/>
    <w:rsid w:val="5B4D424F"/>
    <w:rsid w:val="5CC63A98"/>
    <w:rsid w:val="5E8E2E84"/>
    <w:rsid w:val="5F783CDC"/>
    <w:rsid w:val="61F2020B"/>
    <w:rsid w:val="631014CE"/>
    <w:rsid w:val="6E6E513B"/>
    <w:rsid w:val="6F97362F"/>
    <w:rsid w:val="70885C80"/>
    <w:rsid w:val="71572DB0"/>
    <w:rsid w:val="769770E3"/>
    <w:rsid w:val="79FB140A"/>
    <w:rsid w:val="7DB92A2E"/>
    <w:rsid w:val="7FB352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2249</Words>
  <Characters>2495</Characters>
  <Lines>18</Lines>
  <Paragraphs>5</Paragraphs>
  <TotalTime>0</TotalTime>
  <ScaleCrop>false</ScaleCrop>
  <LinksUpToDate>false</LinksUpToDate>
  <CharactersWithSpaces>2574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2023-10-11T08:23:27Z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