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 录</w:t>
      </w:r>
    </w:p>
    <w:p>
      <w:pPr>
        <w:widowControl/>
        <w:spacing w:line="560" w:lineRule="exact"/>
        <w:jc w:val="left"/>
      </w:pP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 xml:space="preserve"> 安化县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  <w:lang w:eastAsia="zh-CN"/>
        </w:rPr>
        <w:t>平口文化馆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2022年部门预算说明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 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2022年部门预算公开的表格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十一、2022年一般公共预算—政府预算支出明细汇总表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平口文化馆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2022年部门预算公开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  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平口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一、部门基本概况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（一）部门职能职责</w:t>
      </w:r>
    </w:p>
    <w:p>
      <w:pPr>
        <w:pStyle w:val="10"/>
        <w:numPr>
          <w:ilvl w:val="0"/>
          <w:numId w:val="0"/>
        </w:numPr>
        <w:ind w:leftChars="400"/>
        <w:jc w:val="left"/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  <w:t>通过各种群众文化艺术活动，向广大人民进行爱国主义、社会主义思想教育和共产主义理想、道德教育；宣传党的路线、方针、政策；组织和举办群众文化艺术、文娱体育活动，繁荣文艺创作，活跃群众文化生活，并辅导和协助文化室的工作；普及科学技术文化知识，传递科技、经济信息，为群众致富和发展农村经济服务；搜集、整理、研究当地民族、民间的非物质文化遗产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（二）机构设置</w:t>
      </w:r>
    </w:p>
    <w:p>
      <w:pPr>
        <w:widowControl/>
        <w:numPr>
          <w:ilvl w:val="0"/>
          <w:numId w:val="0"/>
        </w:numPr>
        <w:spacing w:line="600" w:lineRule="exact"/>
        <w:ind w:leftChars="400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平口文化馆内设部门设置：办公室、财务室、图书室。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二、部门预算单位构成</w:t>
      </w:r>
    </w:p>
    <w:p>
      <w:pPr>
        <w:widowControl/>
        <w:numPr>
          <w:ilvl w:val="0"/>
          <w:numId w:val="0"/>
        </w:numPr>
        <w:spacing w:line="600" w:lineRule="exact"/>
        <w:ind w:leftChars="4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我单位本级、所属事业单位1个，为安化县平口文化馆本级，纳入2022年部门预算编制范围。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2022年部门预算即我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本级和</w:t>
      </w:r>
      <w:r>
        <w:rPr>
          <w:rFonts w:hint="eastAsia" w:cs="Arial"/>
          <w:color w:val="333333"/>
          <w:sz w:val="30"/>
          <w:szCs w:val="30"/>
        </w:rPr>
        <w:t>所属事业单位预算。</w:t>
      </w:r>
      <w:r>
        <w:rPr>
          <w:rFonts w:hint="eastAsia" w:ascii="Arial" w:hAnsi="Arial" w:cs="Arial"/>
          <w:color w:val="333333"/>
          <w:sz w:val="30"/>
          <w:szCs w:val="30"/>
        </w:rPr>
        <w:t>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2022年没有政府性基金预算拨款、国有资本经营预算收入和纳入专户管理的非税收入拨款收入，也没有使用政府性基金预算拨款、国有资本经营预算收入和纳入专户管理的非税收入拨款安排的支出，所以公开的附件6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安化县文化馆本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仿宋_GB2312" w:hAnsi="仿宋" w:eastAsia="仿宋_GB2312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10.96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仿宋_GB2312" w:hAnsi="仿宋" w:eastAsia="仿宋_GB2312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10.96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38.18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5.07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1.68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3.36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10.96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hint="eastAsia" w:ascii="Arial" w:hAnsi="Arial" w:cs="Arial"/>
          <w:color w:val="333333"/>
          <w:sz w:val="30"/>
          <w:szCs w:val="30"/>
        </w:rPr>
        <w:t>经用经费增加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10.96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10.96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增幅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29.36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%</w:t>
      </w:r>
      <w:r>
        <w:rPr>
          <w:rFonts w:hint="eastAsia" w:ascii="Arial" w:hAnsi="Arial" w:cs="Arial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</w:t>
      </w:r>
      <w:r>
        <w:rPr>
          <w:rFonts w:hint="eastAsia" w:ascii="Arial" w:hAnsi="Arial" w:cs="Arial"/>
          <w:color w:val="333333"/>
          <w:sz w:val="30"/>
          <w:szCs w:val="30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10.96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38.18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5.07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1.68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3.36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10.96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hint="eastAsia" w:ascii="Arial" w:hAnsi="Arial" w:cs="Arial"/>
          <w:color w:val="333333"/>
          <w:sz w:val="30"/>
          <w:szCs w:val="30"/>
        </w:rPr>
        <w:t>经用经费增加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10.96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0.7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（四）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安排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ascii="Arial" w:hAnsi="Arial" w:cs="Arial"/>
          <w:color w:val="333333"/>
          <w:sz w:val="30"/>
          <w:szCs w:val="30"/>
          <w:highlight w:val="none"/>
        </w:rPr>
        <w:t>20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22</w:t>
      </w:r>
      <w:r>
        <w:rPr>
          <w:rFonts w:ascii="Arial" w:hAnsi="Arial" w:cs="Arial"/>
          <w:color w:val="333333"/>
          <w:sz w:val="30"/>
          <w:szCs w:val="30"/>
          <w:highlight w:val="none"/>
        </w:rPr>
        <w:t>年我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单位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政府采购工程预算0万元</w:t>
      </w:r>
      <w:r>
        <w:rPr>
          <w:rFonts w:ascii="Arial" w:hAnsi="Arial" w:cs="Arial"/>
          <w:color w:val="333333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本部门整体支出和项目支出实行绩效目标管理，纳入20</w:t>
      </w:r>
      <w:r>
        <w:rPr>
          <w:rFonts w:hint="eastAsia" w:ascii="Arial" w:hAnsi="Arial" w:cs="Arial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48.28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六、名词解释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mMDFlYTMwZTJkYjA4Yjc1ZDRhZjI0MmZmNGZiN2EifQ=="/>
  </w:docVars>
  <w:rsids>
    <w:rsidRoot w:val="00BE727D"/>
    <w:rsid w:val="0009547C"/>
    <w:rsid w:val="0011700F"/>
    <w:rsid w:val="00136B50"/>
    <w:rsid w:val="00172FA0"/>
    <w:rsid w:val="00185B3D"/>
    <w:rsid w:val="00194DBF"/>
    <w:rsid w:val="001E1024"/>
    <w:rsid w:val="00213828"/>
    <w:rsid w:val="00283CCA"/>
    <w:rsid w:val="0033027B"/>
    <w:rsid w:val="00335429"/>
    <w:rsid w:val="003F73DC"/>
    <w:rsid w:val="0057546C"/>
    <w:rsid w:val="005C373A"/>
    <w:rsid w:val="006A1291"/>
    <w:rsid w:val="006D0EBF"/>
    <w:rsid w:val="006E3EAC"/>
    <w:rsid w:val="00722527"/>
    <w:rsid w:val="00745EEA"/>
    <w:rsid w:val="008D25DF"/>
    <w:rsid w:val="0091352E"/>
    <w:rsid w:val="00917785"/>
    <w:rsid w:val="009F346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F007FB"/>
    <w:rsid w:val="00FE2A0E"/>
    <w:rsid w:val="0BD93B56"/>
    <w:rsid w:val="123C051C"/>
    <w:rsid w:val="19B47531"/>
    <w:rsid w:val="1E94325A"/>
    <w:rsid w:val="395E22F6"/>
    <w:rsid w:val="4DFD207F"/>
    <w:rsid w:val="50474B4C"/>
    <w:rsid w:val="58C0286E"/>
    <w:rsid w:val="615C5664"/>
    <w:rsid w:val="68CF6AC5"/>
    <w:rsid w:val="69704285"/>
    <w:rsid w:val="76630897"/>
    <w:rsid w:val="7B9C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引文目录1"/>
    <w:basedOn w:val="1"/>
    <w:next w:val="1"/>
    <w:qFormat/>
    <w:uiPriority w:val="0"/>
    <w:pPr>
      <w:ind w:left="420" w:leftChars="200"/>
    </w:pPr>
    <w:rPr>
      <w:sz w:val="32"/>
      <w:szCs w:val="3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2354</Words>
  <Characters>2621</Characters>
  <Lines>30</Lines>
  <Paragraphs>8</Paragraphs>
  <TotalTime>0</TotalTime>
  <ScaleCrop>false</ScaleCrop>
  <LinksUpToDate>false</LinksUpToDate>
  <CharactersWithSpaces>2630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Joanna</cp:lastModifiedBy>
  <dcterms:modified xsi:type="dcterms:W3CDTF">2023-10-10T07:41:24Z</dcterms:modified>
  <dc:title>2019年部门预算及“三公”经费预算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