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75" w:beforeAutospacing="0"/>
        <w:ind w:left="0" w:firstLine="0"/>
        <w:jc w:val="center"/>
        <w:rPr>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i w:val="0"/>
          <w:iCs w:val="0"/>
          <w:caps w:val="0"/>
          <w:color w:val="000000"/>
          <w:spacing w:val="0"/>
          <w:kern w:val="0"/>
          <w:sz w:val="45"/>
          <w:szCs w:val="45"/>
          <w:shd w:val="clear" w:fill="FFFFFF"/>
          <w:lang w:val="en-US" w:eastAsia="zh-CN" w:bidi="ar"/>
        </w:rPr>
        <w:t>安化县文旅广体局行政许可事项清单</w:t>
      </w:r>
    </w:p>
    <w:p>
      <w:pPr>
        <w:keepNext w:val="0"/>
        <w:keepLines w:val="0"/>
        <w:widowControl/>
        <w:suppressLineNumbers w:val="0"/>
        <w:shd w:val="clear" w:fill="FFFFFF"/>
        <w:spacing w:before="375" w:beforeAutospacing="0"/>
        <w:ind w:left="0" w:firstLine="0"/>
        <w:jc w:val="center"/>
        <w:rPr>
          <w:rFonts w:hint="eastAsia" w:ascii="微软雅黑" w:hAnsi="微软雅黑" w:eastAsia="微软雅黑" w:cs="微软雅黑"/>
          <w:i w:val="0"/>
          <w:iCs w:val="0"/>
          <w:caps w:val="0"/>
          <w:color w:val="000000"/>
          <w:spacing w:val="0"/>
          <w:kern w:val="0"/>
          <w:sz w:val="24"/>
          <w:szCs w:val="24"/>
          <w:shd w:val="clear" w:fill="FFFFFF"/>
          <w:lang w:val="en-US" w:eastAsia="zh-CN" w:bidi="ar"/>
        </w:rPr>
      </w:pPr>
    </w:p>
    <w:tbl>
      <w:tblPr>
        <w:tblStyle w:val="3"/>
        <w:tblW w:w="52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6"/>
        <w:gridCol w:w="2045"/>
        <w:gridCol w:w="1349"/>
        <w:gridCol w:w="10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227"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ascii="Calibri" w:hAnsi="Calibri" w:cs="Calibri"/>
                <w:sz w:val="21"/>
                <w:szCs w:val="21"/>
              </w:rPr>
            </w:pPr>
            <w:r>
              <w:rPr>
                <w:rFonts w:ascii="黑体" w:hAnsi="宋体" w:eastAsia="黑体" w:cs="黑体"/>
                <w:sz w:val="18"/>
                <w:szCs w:val="18"/>
              </w:rPr>
              <w:t>序号</w:t>
            </w:r>
          </w:p>
        </w:tc>
        <w:tc>
          <w:tcPr>
            <w:tcW w:w="687" w:type="pct"/>
            <w:vMerge w:val="restar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18"/>
                <w:szCs w:val="18"/>
              </w:rPr>
              <w:t>事项名称</w:t>
            </w:r>
          </w:p>
        </w:tc>
        <w:tc>
          <w:tcPr>
            <w:tcW w:w="453" w:type="pct"/>
            <w:vMerge w:val="restar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18"/>
                <w:szCs w:val="18"/>
              </w:rPr>
              <w:t>职权类型</w:t>
            </w:r>
          </w:p>
        </w:tc>
        <w:tc>
          <w:tcPr>
            <w:tcW w:w="3631" w:type="pct"/>
            <w:vMerge w:val="restar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18"/>
                <w:szCs w:val="18"/>
              </w:rPr>
              <w:t>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27"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7" w:type="pct"/>
            <w:vMerge w:val="continue"/>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453" w:type="pct"/>
            <w:vMerge w:val="continue"/>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3631" w:type="pct"/>
            <w:vMerge w:val="continue"/>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ascii="仿宋" w:hAnsi="仿宋" w:eastAsia="仿宋" w:cs="仿宋"/>
                <w:sz w:val="16"/>
                <w:szCs w:val="16"/>
              </w:rPr>
              <w:t>1</w:t>
            </w:r>
          </w:p>
        </w:tc>
        <w:tc>
          <w:tcPr>
            <w:tcW w:w="2045"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旅行社设立许可</w:t>
            </w:r>
          </w:p>
        </w:tc>
        <w:tc>
          <w:tcPr>
            <w:tcW w:w="453"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《中华人民共和国旅游法》（2013年4月25日主席令第3号）第二十八条；设立旅行社，招徕、组织、接待旅游者，为其提供旅游服务，应当具备下列条件，取得旅游主管部门的许可。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旅行社条例》（2009年国务院令第550号，2016年2月6日予以修改）第七条：申请经营国内旅游业务和入境旅游业务的，应当向所在地省、自治区、直辖市旅游行政管理部门或者其委托的设区的市级旅游行政管理部门提出申请，并提交符合本条例第六条规定的相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nil"/>
              <w:left w:val="single" w:color="000000" w:sz="6"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w:t>
            </w:r>
          </w:p>
        </w:tc>
        <w:tc>
          <w:tcPr>
            <w:tcW w:w="2045" w:type="dxa"/>
            <w:tcBorders>
              <w:top w:val="nil"/>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设立社会艺术水平考级机构审批</w:t>
            </w:r>
          </w:p>
        </w:tc>
        <w:tc>
          <w:tcPr>
            <w:tcW w:w="453" w:type="pct"/>
            <w:tcBorders>
              <w:top w:val="nil"/>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nil"/>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197项：设置社会艺术水平考级机构审批（实施机关：文化部、省级人民政府文化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五批取消和下放管理层级行政审批项目的决定》（国发〔2010〕21号）附件《国务院决定下放管理层级的行政审批项目目录》第38项：“设置社会艺术水平考级机构审批”下放至省级人民政府文化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申请从事互联网上网服务经营活动审批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4</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营业性演出审批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5</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娱乐场所从事娱乐场所经营活动审批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有关法律、行政法规规定需要办理消防、卫生、环境保护等审批手续的，从其规定。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6</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文艺表演团体从事营业性演出活动审批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7</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文化类民办非企业单位设立前置审查</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【法规】《民办非企业单位登记管理暂行条例》（国务院令第251号）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第八条第一项申请登记民办非企业单位，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（一）经业务主管单位审查同意；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【规范性文件】《文化部、民政部关于文化类民办非企业单位登记审查管理暂行办法》（文人发〔2000〕第60号）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第六条文化部负责全国文化类民办非企业单位的业务指导工作。负责在民政部登记的文化类民办非企业单位的设立审查工作，具体办法由文化部制定。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县级以上（含县级）文化行政部门负责本辖区文化类民办非企业单位的业务指导和设立审查工作。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8</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设置卫星电视广播地面接收设施审批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卫星电视广播地面接收设施管理规定》（1993年10月5日国务院令第129号，2013年7月18日修改）第七条：单位设置卫星地面接收设施的，必须向当地县、市《卫星电视广播地面接收设施管理规定》（1993年10月5日国务院令第129号，2013年7月18日国务院令第638号修改，2018年9月18日国务院令第703号修正）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卫星电视广播地面接收设施管理规定&gt;实施细则》（1994年2月3日广电部令第11号）第五条。凡需设置卫星地面接收设施接收境外电视节目的单位，必须向当地县级以上（含县级）广播电视行政部门提出申请，经地、市级广播电视行政部门和国家安全部门签署意见后，报所在省、自治区、直辖市广播电视行政部门审批。第七条：必要时广播电影电视部可以直接批准设置卫星地面接收设施，并发给相应的《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9</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省级行政区域内经营广播电视节目传送业务审批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《国务院对确需保留的行政审批项目设定行政许可的决定》（2004年6月29日国务院令第412号，2009年1月29日予以修改）附件第305项：省级行政区域内或跨省经营广播电视节目传送业务审批（实施机关：广电总局）。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附件2《国务院决定调整的行政审批项目目录》第67项：“省级行政区域内经营广播电视节目传送业务审批”下放至省级人民政府广播电影电视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10</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小功率的无线广播电视发射设备订购证明核发</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《国务院对确需保留的行政审批项目设定行政许可的决定》（2004年6月29日国务院令第412号，2009年1月29日予以修改）附件第311项：无线广播电视发射设备订购证明核发（实施机关：广电总局）。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附件2《国务院决定调整的行政审批项目目录》第66项：“小功率的无线广播电视发射设备订购证明核发”下放至省级人民政府广播电影电视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11</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乡镇设立广播电视站和机关、部队、团体、企业事业单位设立有线广播电视站审批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管理条例》（1997年8月11日国务院令第228号，2013年12月7日国务院令第645号第一次修订，2017年3月1日国务院令第676号第二次修订）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电视站审批管理暂行规定》（2004年7月6日广电总局令第32号）第三条：市辖区、乡镇及企事业单位、大专院校可申请设立广播电视站。第五条：申请设立广播电视站，须由申请单位向当地县级以上广播电视行政部门提出申请，逐级审核同意后，报省级广播电视行政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12</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广播电视视频点播业务许可证（乙种）审批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303项：开办视频点播业务审批（实施机关：广电总局、省级人民政府广播电视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电视视频点播业务管理办法》（2004年7月6日广电总局令第35号）第五条：开办视频点播业务须取得《广播电视视频点播业务许可证》。第六条：《广播电视视频点播业务许可证》分为甲、乙2种。第十二条：申请《广播电视视频点播业务许可证（乙种）》的，应向当地县级以上广播电视行政部门提出申请，并提交符合第十条规定的申报材料。经逐级审核后，报省级广播电视行政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13</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有线广播电视传输覆盖网工程建设及验收审核</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管理条例》（1997年8月11日国务院令第228号，2013年12月7日国务院令第645号第一次修订，2017年3月1日国务院令第676号第二次修订）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14</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广播电台、电视台设立、终止审批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管理条例》（1997年8月11日国务院令第228号，2013年12月7日国务院令第645号第一次修订，2017年3月1日国务院令第676号第二次修订）第十一条：“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第十四条：“广播电台、电视台终止，应当按照原审批程序申报，其许可证由国务院广播电视行政部门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15</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区域性有线广播电视传输覆盖网总体规划、建设方案审核</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管理条例》（1997年8月11日国务院令第228号，2013年12月7日国务院令第645号第一次修订，2017年3月1日国务院令第676号第二次修订）第二十三条：区域性有线广播电视传输覆盖网的规划、建设方案，由县级人民政府或者设区的市、自治州人民政府的广播电视行政部门报省、自治区、直辖市人民政府广播电视行政部门批准后实施，或者由省、自治区、直辖市人民政府广播电视行政部门报国务院广播电视行政部门批准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16</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卫星电视广播地面接收设施安装许可审批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卫星电视广播地面接收设施管理规定》（1993年10月5日国务院令第129号，2013年7月18日国务院令第638号修改，2018年9月18日国务院令第703号修正）第三条：国家对卫星地面接收设施的生产、进口、销售、安装和使用实行许可制度。生产、进口、销售、安装和使用卫星电视广播地面接收设施的许可条件，由国务院有关行政部门规定。《卫星电视广播地面接收设施安装服务暂行办法》（2009年8月6日广电总局令第60号，2015年8月28日修改）第四条：国家对卫星地面接收设施安装服务实行许可制度。设立卫星地面接收设施安装服务机构，应当取得《卫星地面接收设施安装服务许可证》。第七条、第八条：设立卫星地面接收设施安装服务机构，应当根据拟申请服务区的范围，向所在地县级以上人民政务广播影视行政部门提出申请，经逐级审核后，报省、自治区、直辖市以上人民政府广播影视行政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广播电视专用频段频率使用许可证（甲类）核发</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广播电视管理条例》（1997年8月11日国务院令第228号，2013年12月7日国务院令第645号第一次修订，2017年3月1日国务院令第676号第二次修订）第十八条：“国务院广播电视行政部门负责指配广播电视专用频段的频率，并核发频率专用指配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广播电视无线传输覆盖网管理办法》（2004年11月15日广电总局令第45号）第二十条：依本办法第十二条第一至五项取得《广播电视节目传送业务许可证（无线）》的单位，如需申请适用广播电视频率，应向所在地县级以上广播电视行政部门提出书面申请，经逐级审核后，报广电总局审批，领取《广播电视频率适用许可证（甲类）》。许可证有效期为4年。有效期届满需继续开展业务的，应于届满前6个月按本办法规定的审批程序办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18</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广播电视专用频段频率使用许可证（乙类）核发</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广播电视管理条例》（1997年8月11日国务院令第228号，2013年12月7日国务院令第645号第一次修订，2017年3月1日国务院令第676号第二次修订）第十八条国务院广播电视行政部门负责指配广播电视专用频段的频率，并核发频率专用指配证明。2、《广播电视无线传输覆盖网管理办法》（广电总局令第45号）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19</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无线广播电视发射设备（不含小功率无线广播电视发射设备）订购证明核发</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2009年1月29日第一次修订，2016年8月25日第二次修订）附件第311项：无线广播电视发射设备订购证明核发。（实施机关：广电总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广播电视无线传输覆盖网管理办法》（2004年11月15日广电总局令第45号）第二十三条：持有《广播电视节目传送业务经营许可证（无线）》、《广播电视频率使用许可证》的单位，如需购买无线广播电视发射设备，应当向核发其《广播电视频率使用许可证》的机关申请《无线广播电视发射设备订购证明》（以下简称《订购证明》），并提交以下文件：“……（三）相关广播电视行政部门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务院关于第六批取消和调整行政审批项目的决定》（国发〔2012〕52号）附件2《国务院决定调整的行政审批项目目录》（一）下放管理层级的行政审批项目第66项：将“小功率无线广播电视发射设备订购证明核发”下放省级人民政府广播电影电视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20</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广播电视设施迁建审批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设施保护条例》（国务院令第295号）第十八条：“进行工程建设，应当尽量避开广播电视设施；重大工程项目确实无法避开而需要搬迁广播电视设施的，城市规划行政主管部门在审批前，应当征得有关广播电视行政管理部门同意。迁建工作应当坚持先建设后拆除的原则。迁建所需费用由造成广播电视设施迁建的单位承担。迁建新址的技术参数应当按照国家有关规定报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电视无线传输覆盖网管理办法》（广电总局令第45号）第二十八条：“因重大工程项目或当地人民政府认为需要搬迁无线广播电视设施的，城市规划行政部门在审批相关城市规划项目前，应事先征得广电总局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21</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广播电视播音员、主持人资格认定</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依据《广播电视编辑记者、播音员主持人资格管理暂行规定》（总局26号令）第三章执业注册第十七条 执业资格注册，按以下程序办理：“（一）由申请人所在的制作、播出机构统一向省级广播电视行政部门（以下称注册机关）提交以下材料：……“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《国务院对确需保留的行政审批项目设定行政许可的决定》（国务院令第412号）附件第313项：广播电视新闻采编人员、播音员、主持人资格认定。实施机关：广电总局。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《国务院关于第六批取消和调整行政审批项目的决定》（国发〔2012〕52号）附件1《国务院决定取消的行政审批项目目录》第80项：广播电视新闻采编人员资格认定。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22</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广播电台、电视台变更台名、台标、节目设置范围或节目套数审批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播电视管理条例》（1997年8月11日国务院令第228号，2013年12月7日国务院令第645号第一次修订，2017年3月1日国务院令第676号第二次修订）第十三条：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23</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跨省经营广播电视节目传送（无线）业务审批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2004年6月29日国务院令第412号，2009年1月29日第一次修订，2016年8月25日第二次修订）附件第305项：省级行政区域内或跨省经营广播电视节目传送业务（实施机关：广电总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广播电视无线传输覆盖网管理办法》（2004年11月15日广电总局令第45号）第十二条：下列业务，由申请单位向所在地县级以上广播电视行政部门提出书面申请，经逐级审核后，报广电总局审批，领取《广播电视节目传送业务经营许可证（无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（一）中、短波广播；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（二）调频、电视广播（适用发射机标称功率50瓦（不含）以上发射设备）；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（三）调频同步广播；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（四）地面数字声音广播和电视广播；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（五）多工广播；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（六）利用微波传输广播电视节目且覆盖区域涉及两个（含）省（自治区、直辖市）以上的。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广播电视无线传输覆盖网管理办法》（2004年11月15日广电总局令第45号）第十四条：开展广播电视节目卫星传输业务的，应当向省级以上广播电视行政部门提出书面申请，经审核后，报广电总局审批，领取《广播电视节目传送业务经营许可证（无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务院关于第六批取消和调整行政审批项目的决定》（国发〔2012〕52号）附件2《国务院决定调整的行政审批项目目录》（一）下放管理层级的行政审批项目第67项：将“省级行政区域内经营广播电视节目传送业务审批”下放省级人民政府广播电影电视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24</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经营高危险性体育项目许可</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《国务院关于取消和下放一批行政审批项目等事项的决定》（国发〔2013〕19号）第91项：经营高危险性体育项目许可，下放至省级以下体育行政主管部门。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25</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举办健身气功活动及设立站点审批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《国务院对确需保留的行政审批项目设定行政许可的决定》（2004年7月国务院令第412号）附件第336项：“举办健身气功活动及设立站点审批。”实施机关：县级以上人民政府体育行政主管部门。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五批取消和下放管理层级行政审批项目的决定》（国发〔2010〕21号）附件2国务院决定下放管理层级的行政审批项目目录，第62项：“设立健身气功活动站点审批”。下放管理实施机关：县级人民政府体育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《健身气功管理办法》（2006年11月国家体育总局令第9号发布）第十一条：“举办全国性、跨省（区、市）的健身气功活动，经国家体育总局批准。”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26</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临时占用公共体育场（馆）设施审批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《中华人民共和国体育法》（1995年8月29日主席令第55号，2009年8月27日予以修改）第四十六条：因特殊情况需要临时占用体育设施的，必须经体育行政部门和建设规划部门批准。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27</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非国有文物收藏单位和其他单位借用国有文物收藏单位馆藏文物审批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2015年4月24日予以修改）第四十条：非国有文物收藏单位和其他单位举办展览需借用国有馆藏文物的，应当报主管的文物行政部门批准；借用国有馆藏一级文物，应当经国务院文物行政部门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28</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设立文物商店审批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《中华人民共和国文物保护法》（1982年11月19日第五届全国人大常委会令第11号，2015年4月24日予以修改）第五十三条：文物商店应当由省、自治区、直辖市人民政府文物行政部门批准设立，依法进行管理。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文物保护法实施条例》（2003年5月18日国务院令第377号，2016年2月6日予以修改）第四十条：设立文物商店，应当向省、自治区、直辖市人民政府文物行政主管部门提出申请。省、自治区、直辖市人民政府文物行政主管部门应当自收到申请之日起30个工作日内作出批准或者不批准的决定。决定批准的，发给批准文件；决定不批准的，应当书面通知当事人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29</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文物保护单位及未核定为文物保护单位的不可移动文物修缮许可</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2015年4月24日予以修改）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《文物保护工程管理办法》（文化部令第26号）第十条：“……全国重点文物保护单位保护工程，以省、自治区、直辖市文物行政部门为申报机关，国家文物局为审批机关。”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30</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县级文物保护单位及未核定为文物保护单位的不可移动文物修缮审批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《中华人民共和国文物保护法实施条例》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第十八条：“文物行政主管部门在审批文物保护单位的修缮计划和工程设计方案前，应当征求上一级人民政府文物行政主管部门的意见。”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《文物保护工程管理办法》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第十条：“……全国重点文物保护单位保护工程，以省、自治区、直辖市文物行政部门为申报机关，国家文物局为审批机关。”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31</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核定为文物保护单位的属于国家所有的纪念建筑物或者古建筑改变用途审批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《文物保护工程管理办法》（文化部令第26号）第十条：“……全国重点文物保护单位保护工程，以省、自治区、直辖市文物行政部门为申报机关，国家文物局为审批机关。”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32</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在文物保护单位的保护范围内进行其他建设工程或者爆破、钻探、挖掘等作业审批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2015年4月24日予以修改）第十七条：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33</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县级文物保护单位保护范围内其他建设工程或者爆破、钻探、挖掘等作业审批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第十七条：“文物保护范围内不得进行其他建设工程或者爆破、钻探、挖掘等作业。但是，因特殊情况需要在文物保护单位的保护范围内进行其他建设工程或者爆破、钻探、挖掘等作业的，必须保护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34</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文物保护单位建设控制地带内建设工程设计方案审核</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2015年4月24日予以修改）第十七条：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35</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县级文物保护单位建设控制地带内建设工程设计方案审批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第十八条：“……在文物保护单位的建设控制地带内进行建设工程，不得破坏文物保护单位的历史风貌；工程设计方案应当根据文物保护单位的级别，经相应的文物行政部门同意后，报城乡建设规划部门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36</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文物保护单位原址保护措施审批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2017年11月4日第十二届全国人民代表大会常务委员会第三十次会议修改）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37</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县级文物保护单位原址保护措施审批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文物保护法》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38</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博物馆处理不够入藏标准、无保存价值的文物或标本审批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39</w:t>
            </w:r>
          </w:p>
        </w:tc>
        <w:tc>
          <w:tcPr>
            <w:tcW w:w="2045" w:type="dxa"/>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外国公民、组织和国际组织参观未开放的文物点和考古发掘现场审批</w:t>
            </w: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r>
              <w:rPr>
                <w:rFonts w:hint="default"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行政</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许可</w:t>
            </w:r>
            <w:bookmarkStart w:id="0" w:name="_GoBack"/>
            <w:bookmarkEnd w:id="0"/>
          </w:p>
        </w:tc>
        <w:tc>
          <w:tcPr>
            <w:tcW w:w="1081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仿_GB2312" w:hAnsi="仿_GB2312" w:eastAsia="仿_GB2312" w:cs="仿_GB2312"/>
                <w:sz w:val="16"/>
                <w:szCs w:val="16"/>
              </w:rPr>
            </w:pPr>
            <w:r>
              <w:rPr>
                <w:rFonts w:hint="eastAsia" w:ascii="宋体" w:hAnsi="宋体" w:eastAsia="宋体" w:cs="宋体"/>
                <w:i w:val="0"/>
                <w:iCs w:val="0"/>
                <w:color w:val="000000"/>
                <w:kern w:val="0"/>
                <w:sz w:val="20"/>
                <w:szCs w:val="20"/>
                <w:u w:val="none"/>
                <w:lang w:val="en-US" w:eastAsia="zh-CN" w:bidi="ar"/>
              </w:rPr>
              <w:t>《中华人民共和国考古涉外工作管理办法》（1990年12月31日国务院批准，1991年2月22日国家文物局令第1号，2016年2月6日予以修改）第十三条：外国公民、外国组织和国际组织在中国境内参观尚未公开接待参观者的文物点，在开放地区的，需由文物点所在地的管理单位或者接待参观者的中央国家机关及其直属单位，在参观一个月以前向文物所在地的省、自治区、直辖市人民政府文物行政管理部门申报参观计划，经批准后方可进行；在未开放地区的，需由文物点所在地的管理单位或者接待参观者的中央国家机关及其直属单位，在参观一个月以前向文物所在地的省、自治区、直辖市人民政府文物行政管理部门申报参观计划，经批准并按照有关涉外工作管理规定向有关部门办理手续后方可进行。参观正在进行工作的考古发掘现场，接待单位须征求主持发掘单位的意见，经考古发掘现场所在地的省、自治区、直辖市人民政府文物行政管理部门批准后方可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7" w:type="pct"/>
            <w:tcBorders>
              <w:top w:val="single" w:color="auto" w:sz="4" w:space="0"/>
              <w:left w:val="single" w:color="auto" w:sz="4" w:space="0"/>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eastAsia" w:ascii="仿宋" w:hAnsi="仿宋" w:eastAsia="仿宋" w:cs="仿宋"/>
                <w:sz w:val="16"/>
                <w:szCs w:val="16"/>
                <w:lang w:val="en-US" w:eastAsia="zh-CN"/>
              </w:rPr>
            </w:pPr>
          </w:p>
        </w:tc>
        <w:tc>
          <w:tcPr>
            <w:tcW w:w="687"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仿_GB2312" w:hAnsi="仿_GB2312" w:eastAsia="仿_GB2312" w:cs="仿_GB2312"/>
                <w:sz w:val="16"/>
                <w:szCs w:val="16"/>
              </w:rPr>
            </w:pPr>
          </w:p>
        </w:tc>
        <w:tc>
          <w:tcPr>
            <w:tcW w:w="453" w:type="pct"/>
            <w:tcBorders>
              <w:top w:val="single" w:color="auto" w:sz="4" w:space="0"/>
              <w:left w:val="nil"/>
              <w:bottom w:val="single" w:color="auto" w:sz="4"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仿_GB2312" w:hAnsi="仿_GB2312" w:eastAsia="仿_GB2312" w:cs="仿_GB2312"/>
                <w:sz w:val="16"/>
                <w:szCs w:val="16"/>
              </w:rPr>
            </w:pPr>
          </w:p>
        </w:tc>
        <w:tc>
          <w:tcPr>
            <w:tcW w:w="3631" w:type="pc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仿_GB2312" w:hAnsi="仿_GB2312" w:eastAsia="仿_GB2312" w:cs="仿_GB2312"/>
                <w:sz w:val="16"/>
                <w:szCs w:val="16"/>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2E4OGYyNDY0ZjUxZjg5NDg0ZTJhNWNjNzRmOWQifQ=="/>
  </w:docVars>
  <w:rsids>
    <w:rsidRoot w:val="323E6F5A"/>
    <w:rsid w:val="323E6F5A"/>
    <w:rsid w:val="6936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2023-10-19T06:16:00Z</dcterms:created>
  <dc:creator>嗯哼</dc:creator>
  <cp:lastModifiedBy>嗯哼</cp:lastModifiedBy>
  <dcterms:modified xsi:type="dcterms:W3CDTF">2023-10-19T08:56:17Z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268EE8F253F543EDBF91BD170E212518_11</vt:lpwstr>
  </property>
</Properties>
</file>