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rPr>
        <w:t>安化县城市</w:t>
      </w:r>
      <w:r>
        <w:rPr>
          <w:rFonts w:hint="eastAsia" w:ascii="宋体" w:hAnsi="宋体" w:eastAsia="宋体" w:cs="宋体"/>
          <w:sz w:val="44"/>
          <w:szCs w:val="44"/>
          <w:lang w:val="en-US" w:eastAsia="zh-CN"/>
        </w:rPr>
        <w:t>公共汽车电车客运服务质量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lang w:val="en-US" w:eastAsia="zh-CN"/>
        </w:rPr>
        <w:t>考核办法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lang w:val="en-US" w:eastAsia="zh-CN"/>
        </w:rPr>
        <w:t xml:space="preserve"> 为规范我县城市公共汽车、电车客运服务行为，提高城市公共汽车、电车客运服务质量，促进城市公共交通事业健康发展，依</w:t>
      </w:r>
      <w:r>
        <w:rPr>
          <w:rFonts w:hint="eastAsia" w:ascii="仿宋" w:hAnsi="仿宋" w:eastAsia="仿宋" w:cs="仿宋"/>
          <w:sz w:val="32"/>
          <w:szCs w:val="32"/>
        </w:rPr>
        <w:t>据</w:t>
      </w:r>
      <w:r>
        <w:rPr>
          <w:rFonts w:hint="eastAsia" w:ascii="仿宋" w:hAnsi="仿宋" w:eastAsia="仿宋" w:cs="仿宋"/>
          <w:sz w:val="32"/>
          <w:szCs w:val="32"/>
          <w:lang w:eastAsia="zh-CN"/>
        </w:rPr>
        <w:t>交通运输部《城市公共汽车和电车客运管理规定》、</w:t>
      </w:r>
      <w:r>
        <w:rPr>
          <w:rFonts w:hint="eastAsia" w:ascii="仿宋" w:hAnsi="仿宋" w:eastAsia="仿宋" w:cs="仿宋"/>
          <w:sz w:val="32"/>
          <w:szCs w:val="32"/>
        </w:rPr>
        <w:t>《城市公共汽电车客运服务规范》</w:t>
      </w:r>
      <w:r>
        <w:rPr>
          <w:rFonts w:hint="eastAsia" w:ascii="仿宋" w:hAnsi="仿宋" w:eastAsia="仿宋" w:cs="仿宋"/>
          <w:sz w:val="32"/>
          <w:szCs w:val="32"/>
          <w:lang w:val="en-US" w:eastAsia="zh-CN"/>
        </w:rPr>
        <w:t>等法律法规</w:t>
      </w:r>
      <w:r>
        <w:rPr>
          <w:rFonts w:hint="eastAsia" w:ascii="仿宋" w:hAnsi="仿宋" w:eastAsia="仿宋" w:cs="仿宋"/>
          <w:sz w:val="32"/>
          <w:szCs w:val="32"/>
        </w:rPr>
        <w:t>，参照交通运输部《道路运输企业质量信誉考核办法》，结合本地实际</w:t>
      </w:r>
      <w:r>
        <w:rPr>
          <w:rFonts w:hint="eastAsia" w:ascii="仿宋" w:hAnsi="仿宋" w:eastAsia="仿宋" w:cs="仿宋"/>
          <w:sz w:val="32"/>
          <w:szCs w:val="32"/>
          <w:lang w:val="en-US" w:eastAsia="zh-CN"/>
        </w:rPr>
        <w:t>情况</w:t>
      </w:r>
      <w:r>
        <w:rPr>
          <w:rFonts w:hint="eastAsia" w:ascii="仿宋" w:hAnsi="仿宋" w:eastAsia="仿宋" w:cs="仿宋"/>
          <w:sz w:val="32"/>
          <w:szCs w:val="32"/>
        </w:rPr>
        <w:t>，制定本办法。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Hans"/>
        </w:rPr>
      </w:pPr>
      <w:r>
        <w:rPr>
          <w:rFonts w:hint="eastAsia" w:ascii="黑体" w:hAnsi="黑体" w:eastAsia="黑体" w:cs="黑体"/>
          <w:sz w:val="32"/>
          <w:szCs w:val="32"/>
        </w:rPr>
        <w:t>第二条</w:t>
      </w:r>
      <w:r>
        <w:rPr>
          <w:rFonts w:hint="eastAsia" w:ascii="仿宋" w:hAnsi="仿宋" w:eastAsia="仿宋" w:cs="仿宋"/>
          <w:sz w:val="32"/>
          <w:szCs w:val="32"/>
          <w:lang w:val="en-US" w:eastAsia="zh-CN"/>
        </w:rPr>
        <w:t xml:space="preserve"> 本办法考核对象为在县范围内提供服务的城市公共汽车、电车经营企业和线路的客运服务质量考核（以下简称“公交服务质量考核”），</w:t>
      </w:r>
      <w:r>
        <w:rPr>
          <w:rFonts w:hint="eastAsia" w:ascii="仿宋" w:hAnsi="仿宋" w:eastAsia="仿宋" w:cs="仿宋"/>
          <w:sz w:val="32"/>
          <w:szCs w:val="32"/>
        </w:rPr>
        <w:t>城乡公交</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Hans"/>
        </w:rPr>
        <w:t>服务质量考核</w:t>
      </w:r>
      <w:r>
        <w:rPr>
          <w:rFonts w:hint="eastAsia" w:ascii="仿宋" w:hAnsi="仿宋" w:eastAsia="仿宋" w:cs="仿宋"/>
          <w:sz w:val="32"/>
          <w:szCs w:val="32"/>
          <w:lang w:val="en-US" w:eastAsia="zh-CN"/>
        </w:rPr>
        <w:t>参照</w:t>
      </w:r>
      <w:r>
        <w:rPr>
          <w:rFonts w:hint="eastAsia" w:ascii="仿宋" w:hAnsi="仿宋" w:eastAsia="仿宋" w:cs="仿宋"/>
          <w:sz w:val="32"/>
          <w:szCs w:val="32"/>
        </w:rPr>
        <w:t>本</w:t>
      </w:r>
      <w:r>
        <w:rPr>
          <w:rFonts w:hint="eastAsia" w:ascii="仿宋" w:hAnsi="仿宋" w:eastAsia="仿宋" w:cs="仿宋"/>
          <w:sz w:val="32"/>
          <w:szCs w:val="32"/>
          <w:lang w:eastAsia="zh-Hans"/>
        </w:rPr>
        <w:t>办法</w:t>
      </w:r>
      <w:r>
        <w:rPr>
          <w:rFonts w:hint="eastAsia" w:ascii="仿宋" w:hAnsi="仿宋" w:eastAsia="仿宋" w:cs="仿宋"/>
          <w:sz w:val="32"/>
          <w:szCs w:val="32"/>
          <w:lang w:val="en-US" w:eastAsia="zh-CN"/>
        </w:rPr>
        <w:t>执行</w:t>
      </w:r>
      <w:r>
        <w:rPr>
          <w:rFonts w:hint="eastAsia" w:ascii="仿宋" w:hAnsi="仿宋" w:eastAsia="仿宋" w:cs="仿宋"/>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本办法所称的公交服务质量考核主要包含“公交企业管理”和“公交线路运营”两大类指标，采取明查和暗访相结合的方式。考核线路为常规运营线路，不含临时线路、特色线路、定制公交线路等。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eastAsia="zh-Hans"/>
        </w:rPr>
        <w:t>第</w:t>
      </w:r>
      <w:r>
        <w:rPr>
          <w:rFonts w:hint="eastAsia" w:ascii="黑体" w:hAnsi="黑体" w:eastAsia="黑体" w:cs="黑体"/>
          <w:sz w:val="32"/>
          <w:szCs w:val="32"/>
          <w:lang w:val="en-US" w:eastAsia="zh-CN"/>
        </w:rPr>
        <w:t>四</w:t>
      </w:r>
      <w:r>
        <w:rPr>
          <w:rFonts w:hint="eastAsia" w:ascii="黑体" w:hAnsi="黑体" w:eastAsia="黑体" w:cs="黑体"/>
          <w:sz w:val="32"/>
          <w:szCs w:val="32"/>
          <w:lang w:eastAsia="zh-Hans"/>
        </w:rPr>
        <w:t>条</w:t>
      </w:r>
      <w:r>
        <w:rPr>
          <w:rFonts w:hint="eastAsia" w:ascii="仿宋" w:hAnsi="仿宋" w:eastAsia="仿宋" w:cs="仿宋"/>
          <w:sz w:val="32"/>
          <w:szCs w:val="32"/>
          <w:lang w:val="en-US" w:eastAsia="zh-CN"/>
        </w:rPr>
        <w:t xml:space="preserve"> 公交服务质量考核应当坚持公开、公平、公正的原则。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Hans"/>
        </w:rPr>
        <w:t>第</w:t>
      </w:r>
      <w:r>
        <w:rPr>
          <w:rFonts w:hint="eastAsia" w:ascii="黑体" w:hAnsi="黑体" w:eastAsia="黑体" w:cs="黑体"/>
          <w:sz w:val="32"/>
          <w:szCs w:val="32"/>
          <w:lang w:val="en-US" w:eastAsia="zh-CN"/>
        </w:rPr>
        <w:t>五</w:t>
      </w:r>
      <w:r>
        <w:rPr>
          <w:rFonts w:hint="eastAsia" w:ascii="黑体" w:hAnsi="黑体" w:eastAsia="黑体" w:cs="黑体"/>
          <w:sz w:val="32"/>
          <w:szCs w:val="32"/>
          <w:lang w:eastAsia="zh-Hans"/>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安化县</w:t>
      </w:r>
      <w:r>
        <w:rPr>
          <w:rFonts w:hint="eastAsia" w:ascii="仿宋" w:hAnsi="仿宋" w:eastAsia="仿宋" w:cs="仿宋"/>
          <w:sz w:val="32"/>
          <w:szCs w:val="32"/>
          <w:lang w:eastAsia="zh-CN"/>
        </w:rPr>
        <w:t>交通运输局主管全县</w:t>
      </w:r>
      <w:r>
        <w:rPr>
          <w:rFonts w:hint="eastAsia" w:ascii="仿宋" w:hAnsi="仿宋" w:eastAsia="仿宋" w:cs="仿宋"/>
          <w:sz w:val="32"/>
          <w:szCs w:val="32"/>
          <w:lang w:val="en-US" w:eastAsia="zh-CN"/>
        </w:rPr>
        <w:t>公交服务质量考核</w:t>
      </w:r>
      <w:r>
        <w:rPr>
          <w:rFonts w:hint="eastAsia" w:ascii="仿宋" w:hAnsi="仿宋" w:eastAsia="仿宋" w:cs="仿宋"/>
          <w:sz w:val="32"/>
          <w:szCs w:val="32"/>
          <w:lang w:eastAsia="zh-CN"/>
        </w:rPr>
        <w:t>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成立</w:t>
      </w:r>
      <w:r>
        <w:rPr>
          <w:rFonts w:hint="eastAsia" w:ascii="仿宋" w:hAnsi="仿宋" w:eastAsia="仿宋" w:cs="仿宋"/>
          <w:sz w:val="32"/>
          <w:szCs w:val="32"/>
          <w:lang w:val="en-US" w:eastAsia="zh-CN"/>
        </w:rPr>
        <w:t>安化县公交服务质量考核</w:t>
      </w:r>
      <w:r>
        <w:rPr>
          <w:rFonts w:hint="eastAsia" w:ascii="仿宋" w:hAnsi="仿宋" w:eastAsia="仿宋" w:cs="仿宋"/>
          <w:sz w:val="32"/>
          <w:szCs w:val="32"/>
          <w:lang w:eastAsia="zh-CN"/>
        </w:rPr>
        <w:t>领导小组，由</w:t>
      </w:r>
      <w:r>
        <w:rPr>
          <w:rFonts w:hint="eastAsia" w:ascii="仿宋" w:hAnsi="仿宋" w:eastAsia="仿宋" w:cs="仿宋"/>
          <w:sz w:val="32"/>
          <w:szCs w:val="32"/>
          <w:lang w:val="en-US" w:eastAsia="zh-CN"/>
        </w:rPr>
        <w:t>县</w:t>
      </w:r>
      <w:r>
        <w:rPr>
          <w:rFonts w:hint="eastAsia" w:ascii="仿宋" w:hAnsi="仿宋" w:eastAsia="仿宋" w:cs="仿宋"/>
          <w:sz w:val="32"/>
          <w:szCs w:val="32"/>
          <w:lang w:eastAsia="zh-CN"/>
        </w:rPr>
        <w:t>交通运输局主要领导任组长，分管领导任副组长，</w:t>
      </w:r>
      <w:r>
        <w:rPr>
          <w:rFonts w:hint="eastAsia" w:ascii="仿宋" w:hAnsi="仿宋" w:eastAsia="仿宋" w:cs="仿宋"/>
          <w:sz w:val="32"/>
          <w:szCs w:val="32"/>
          <w:lang w:val="en-US" w:eastAsia="zh-CN"/>
        </w:rPr>
        <w:t>局综合运输股、政策法规股、县道路运输服务中心</w:t>
      </w:r>
      <w:r>
        <w:rPr>
          <w:rFonts w:hint="eastAsia" w:ascii="仿宋" w:hAnsi="仿宋" w:eastAsia="仿宋" w:cs="仿宋"/>
          <w:sz w:val="32"/>
          <w:szCs w:val="32"/>
          <w:lang w:eastAsia="zh-CN"/>
        </w:rPr>
        <w:t>为成员。领导小组下设办公室，办公室设</w:t>
      </w:r>
      <w:r>
        <w:rPr>
          <w:rFonts w:hint="eastAsia" w:ascii="仿宋" w:hAnsi="仿宋" w:eastAsia="仿宋" w:cs="仿宋"/>
          <w:sz w:val="32"/>
          <w:szCs w:val="32"/>
          <w:lang w:val="en-US" w:eastAsia="zh-CN"/>
        </w:rPr>
        <w:t>安化县道路运输服务中心</w:t>
      </w:r>
      <w:r>
        <w:rPr>
          <w:rFonts w:hint="eastAsia" w:ascii="仿宋" w:hAnsi="仿宋" w:eastAsia="仿宋" w:cs="仿宋"/>
          <w:sz w:val="32"/>
          <w:szCs w:val="32"/>
          <w:lang w:eastAsia="zh-CN"/>
        </w:rPr>
        <w:t>，具体</w:t>
      </w:r>
      <w:r>
        <w:rPr>
          <w:rFonts w:hint="eastAsia" w:ascii="仿宋" w:hAnsi="仿宋" w:eastAsia="仿宋" w:cs="仿宋"/>
          <w:sz w:val="32"/>
          <w:szCs w:val="32"/>
          <w:lang w:val="en-US" w:eastAsia="zh-CN"/>
        </w:rPr>
        <w:t>负责</w:t>
      </w:r>
      <w:r>
        <w:rPr>
          <w:rFonts w:hint="eastAsia" w:ascii="仿宋" w:hAnsi="仿宋" w:eastAsia="仿宋" w:cs="仿宋"/>
          <w:sz w:val="32"/>
          <w:szCs w:val="32"/>
          <w:lang w:eastAsia="zh-CN"/>
        </w:rPr>
        <w:t>实施</w:t>
      </w:r>
      <w:r>
        <w:rPr>
          <w:rFonts w:hint="eastAsia" w:ascii="仿宋" w:hAnsi="仿宋" w:eastAsia="仿宋" w:cs="仿宋"/>
          <w:sz w:val="32"/>
          <w:szCs w:val="32"/>
          <w:lang w:val="en-US" w:eastAsia="zh-CN"/>
        </w:rPr>
        <w:t>公交服务质量考核</w:t>
      </w:r>
      <w:r>
        <w:rPr>
          <w:rFonts w:hint="eastAsia" w:ascii="仿宋" w:hAnsi="仿宋" w:eastAsia="仿宋" w:cs="仿宋"/>
          <w:sz w:val="32"/>
          <w:szCs w:val="32"/>
          <w:lang w:eastAsia="zh-CN"/>
        </w:rPr>
        <w:t>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第二章 考核内容和方法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第六条</w:t>
      </w:r>
      <w:r>
        <w:rPr>
          <w:rFonts w:hint="eastAsia" w:ascii="仿宋" w:hAnsi="仿宋" w:eastAsia="仿宋" w:cs="仿宋"/>
          <w:sz w:val="32"/>
          <w:szCs w:val="32"/>
          <w:lang w:val="en-US" w:eastAsia="zh-CN"/>
        </w:rPr>
        <w:t xml:space="preserve"> 公交企业和管理考核内容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（一）经营资质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1.具有符合营运要求的车辆。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2.具有符合营运要求的场站设施。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3.具有健全的营运服务、安全、养护和保修等方面的管理制度：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经营服务管理制度（包括从业人员管理制度、车辆技术管理制度、场站运营管理制度和统计报表管理制度）。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安全生产管理制度（学习教育制度、事故处置制度和应急处置制度）。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服务质量保障制度（服务质量监督制度、服务投诉处理制度和服务问责制度）。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4.具有相应的管理机构、管理人员和驾驶员。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5.具有合理、可行的经营方案。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（二）经营管理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1.定期对所属线路进行日常检查，检查记录详实。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2.按期完成县人民政府、行业主管部门部署的各项工作和指令性任务，确保工作和指令性任务保质保量落实到位。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3.按照有关标准和规范，对从业人员开展法律法规、岗位职责、操作规程、服务规范等基本知识和技能的专项培训再教育，应当将相关培训再教育情况建档备查，并报上级主管部门备案。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4.按规定时间及时报送报表及相关信息和数据（包括年度经营报告、运营信息、以及年度统计数据）。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（三）安全管理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1.落实企业安全生产主体责任，建立健全企业安全生产责任制，制定公共汽车电车客运运营安全操作规程。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2.加强所属线路安全生产管理，定期开展安全日常检查，安全日常检查有记录，严格落实一会三卡等制度。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3.制定客运突发事件应急预案，并定期演练，演练情况建档备查，并报上级主管部门备案。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4.按照有关标准和规范，对从业人员开展安全防范和应急处置等基本知识和技能的培训再教育，应当将相关培训再教育情况建档备查，并报上级主管部门备案。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5.按照营运安全事故报告制度，发生营运安全事故要第一时间报告，不得迟报、瞒报、漏报。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6.按照国家、省、市有关安全生产的规定，参加安全生产标准化等级评定和复评，严格落实“两类人员”培训资质和持证上岗要求。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第七条</w:t>
      </w:r>
      <w:r>
        <w:rPr>
          <w:rFonts w:hint="eastAsia" w:ascii="仿宋" w:hAnsi="仿宋" w:eastAsia="仿宋" w:cs="仿宋"/>
          <w:sz w:val="32"/>
          <w:szCs w:val="32"/>
          <w:lang w:val="en-US" w:eastAsia="zh-CN"/>
        </w:rPr>
        <w:t xml:space="preserve"> 线路运营服务考核内容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（一）线路管理人员、调度员、驾驶员根据营运要求配备齐全。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（二）落实经营服务管理制度和服务质量保障制度，定期开展运营服务、环境卫生等方面的自检自查，记录详实、完整。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（三）执行投诉处理制度，在规定期限内及时处理乘客对运营服务质量的投诉，且有专项记录，并反馈处理结果，维护乘客合法利益。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（四）执行营运计划：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1.线路日均发车正点率不低于90%。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2.城区线路平峰时间发车间隔严格按照特许经营协议要求执行，城区线路高峰时间重点“环城快线”发车间隔不大于8分钟。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（五）车厢服务：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1.持证上岗、仪表整洁。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2.正确使用 GPS 定位报站设备，报站设备故障时应人工口语报站。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3.提示乘客刷卡、投币、购票，执行公交票制、票价和政府有关免费、优惠乘车规定。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4.使用服务用语，文明热情，礼貌待客，耐心解答乘客询问，疏导车内乘客，提示乘客站稳、扶好。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5.主动帮助照顾老幼病残孕等特殊人群乘客。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6.根据室外温度情况，在冬季按规定开启暖风设备，保证车内温度；在夏季空调车按规定开启冷风设施。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7.车辆有序规范进站停车，避让出站车辆，依次按规定车道停车位靠边停直（距离右侧路边石不超过30厘米），前门对准站牌停稳开门上下客。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8.乘客上下车完毕并关闭好车门后平稳起步。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9.在运营行车中不得做与本职工作无关的事情，不得有吸烟、进食、闲谈、使用手机等行为。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（六）按规定的线路、站点、班次、时间运营，首末班车准点发车。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（七）不得发生超时等客、拒载、捡客、越站、敞门运行、站外停车上下乘客等行为。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（八）营运车辆的车身、车窗玻璃、车门、驾驶室、座椅及座椅套、扶手杆（环）、车厢内壁、地板、踏步、轮胎、垃圾容器等设施，整洁干净、无破损、无污垢、无油污。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第八条</w:t>
      </w:r>
      <w:r>
        <w:rPr>
          <w:rFonts w:hint="eastAsia" w:ascii="仿宋" w:hAnsi="仿宋" w:eastAsia="仿宋" w:cs="仿宋"/>
          <w:sz w:val="32"/>
          <w:szCs w:val="32"/>
          <w:lang w:val="en-US" w:eastAsia="zh-CN"/>
        </w:rPr>
        <w:t xml:space="preserve"> 乘客满意度指标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共分七项指标：候车时间长度、换乘便捷度、司乘人员服务态度、出行信息服务、乘车舒适度、候车环境、车内卫生环境。按照“非常满意”、“满意”、“基本满意”、“一般”、“不满意”的层级，由社会公众进行勾选评价。单份调查问卷得分为各项调查内容得分与权重乘积之和，满分为100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乘客满意度评估值≥80%时，乘客满意度考核得分为10分；乘客满意度评估值每下降1%，考核得分扣1分，不足1%按1%计算，扣完为止。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乘客满意度调查每年随公交服务质量考核一并执行，分四个阶段，每次调查表不少于50份，年度考核时取平均值，考核内容及分值计算具体详见附件3、4。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第九条</w:t>
      </w:r>
      <w:r>
        <w:rPr>
          <w:rFonts w:hint="eastAsia" w:ascii="仿宋" w:hAnsi="仿宋" w:eastAsia="仿宋" w:cs="仿宋"/>
          <w:sz w:val="32"/>
          <w:szCs w:val="32"/>
          <w:lang w:val="en-US" w:eastAsia="zh-CN"/>
        </w:rPr>
        <w:t xml:space="preserve"> 公交服务质量考核采取公交企业管理考核评分表与公交线路服务质量考核评分表相结合的办法。其中：公交企业管理考核评分表成绩占30%，公交线路服务质量考核评分表成绩占70%。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1、公交企业管理考核：根据《安化县公交企业管理考核评分表》（见附件1）。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公交线路服务质量考核：根据《公交线路服务质量考核评分表》（见附件2），道路运输服务中心不定期对公交线路和运营车辆进行抽查。原则上公交线路和运营车辆抽查比例不低于20%。抽查考评得分计入年度考核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val="en-US" w:eastAsia="zh-CN"/>
        </w:rPr>
        <w:t>第二条</w:t>
      </w:r>
      <w:r>
        <w:rPr>
          <w:rFonts w:hint="eastAsia" w:ascii="仿宋" w:hAnsi="仿宋" w:eastAsia="仿宋" w:cs="仿宋"/>
          <w:sz w:val="32"/>
          <w:szCs w:val="32"/>
          <w:lang w:val="en-US" w:eastAsia="zh-CN"/>
        </w:rPr>
        <w:t xml:space="preserve"> 县</w:t>
      </w:r>
      <w:r>
        <w:rPr>
          <w:rFonts w:hint="eastAsia" w:ascii="仿宋" w:hAnsi="仿宋" w:eastAsia="仿宋" w:cs="仿宋"/>
          <w:sz w:val="32"/>
          <w:szCs w:val="32"/>
          <w:lang w:eastAsia="zh-CN"/>
        </w:rPr>
        <w:t>交通运输</w:t>
      </w:r>
      <w:r>
        <w:rPr>
          <w:rFonts w:hint="eastAsia" w:ascii="仿宋" w:hAnsi="仿宋" w:eastAsia="仿宋" w:cs="仿宋"/>
          <w:sz w:val="32"/>
          <w:szCs w:val="32"/>
          <w:lang w:val="en-US" w:eastAsia="zh-CN"/>
        </w:rPr>
        <w:t>局</w:t>
      </w:r>
      <w:r>
        <w:rPr>
          <w:rFonts w:hint="eastAsia" w:ascii="仿宋" w:hAnsi="仿宋" w:eastAsia="仿宋" w:cs="仿宋"/>
          <w:sz w:val="32"/>
          <w:szCs w:val="32"/>
          <w:lang w:eastAsia="zh-CN"/>
        </w:rPr>
        <w:t>通过暗访、抽查、领导带班检查、民主测评等形式对考核中有关服务质量进行评价。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val="en-US" w:eastAsia="zh-CN"/>
        </w:rPr>
        <w:t>第十一条</w:t>
      </w:r>
      <w:r>
        <w:rPr>
          <w:rFonts w:hint="eastAsia" w:ascii="仿宋" w:hAnsi="仿宋" w:eastAsia="仿宋" w:cs="仿宋"/>
          <w:sz w:val="32"/>
          <w:szCs w:val="32"/>
          <w:lang w:val="en-US" w:eastAsia="zh-CN"/>
        </w:rPr>
        <w:t xml:space="preserve"> 县道路运输</w:t>
      </w:r>
      <w:r>
        <w:rPr>
          <w:rFonts w:hint="eastAsia" w:ascii="仿宋" w:hAnsi="仿宋" w:eastAsia="仿宋" w:cs="仿宋"/>
          <w:sz w:val="32"/>
          <w:szCs w:val="32"/>
          <w:lang w:eastAsia="zh-CN"/>
        </w:rPr>
        <w:t>服务中心</w:t>
      </w:r>
      <w:r>
        <w:rPr>
          <w:rFonts w:hint="eastAsia" w:ascii="仿宋" w:hAnsi="仿宋" w:eastAsia="仿宋" w:cs="仿宋"/>
          <w:sz w:val="32"/>
          <w:szCs w:val="32"/>
          <w:lang w:val="en-US" w:eastAsia="zh-CN"/>
        </w:rPr>
        <w:t>应</w:t>
      </w:r>
      <w:r>
        <w:rPr>
          <w:rFonts w:hint="eastAsia" w:ascii="仿宋" w:hAnsi="仿宋" w:eastAsia="仿宋" w:cs="仿宋"/>
          <w:sz w:val="32"/>
          <w:szCs w:val="32"/>
          <w:lang w:eastAsia="zh-CN"/>
        </w:rPr>
        <w:t>将考核结果</w:t>
      </w:r>
      <w:r>
        <w:rPr>
          <w:rFonts w:hint="eastAsia" w:ascii="仿宋" w:hAnsi="仿宋" w:eastAsia="仿宋" w:cs="仿宋"/>
          <w:sz w:val="32"/>
          <w:szCs w:val="32"/>
          <w:lang w:val="en-US" w:eastAsia="zh-CN"/>
        </w:rPr>
        <w:t>在政府门户网站进行公示并</w:t>
      </w:r>
      <w:r>
        <w:rPr>
          <w:rFonts w:hint="eastAsia" w:ascii="仿宋" w:hAnsi="仿宋" w:eastAsia="仿宋" w:cs="仿宋"/>
          <w:sz w:val="32"/>
          <w:szCs w:val="32"/>
          <w:lang w:eastAsia="zh-CN"/>
        </w:rPr>
        <w:t>书面告知</w:t>
      </w:r>
      <w:r>
        <w:rPr>
          <w:rFonts w:hint="eastAsia" w:ascii="仿宋" w:hAnsi="仿宋" w:eastAsia="仿宋" w:cs="仿宋"/>
          <w:sz w:val="32"/>
          <w:szCs w:val="32"/>
          <w:lang w:val="en-US" w:eastAsia="zh-CN"/>
        </w:rPr>
        <w:t>公交客运</w:t>
      </w:r>
      <w:r>
        <w:rPr>
          <w:rFonts w:hint="eastAsia" w:ascii="仿宋" w:hAnsi="仿宋" w:eastAsia="仿宋" w:cs="仿宋"/>
          <w:sz w:val="32"/>
          <w:szCs w:val="32"/>
          <w:lang w:eastAsia="zh-CN"/>
        </w:rPr>
        <w:t>企业。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第三章 考核评定等级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Hans"/>
        </w:rPr>
      </w:pPr>
      <w:r>
        <w:rPr>
          <w:rFonts w:hint="eastAsia" w:ascii="黑体" w:hAnsi="黑体" w:eastAsia="黑体" w:cs="黑体"/>
          <w:sz w:val="32"/>
          <w:szCs w:val="32"/>
          <w:lang w:val="en-US" w:eastAsia="zh-CN"/>
        </w:rPr>
        <w:t>第十二条</w:t>
      </w:r>
      <w:r>
        <w:rPr>
          <w:rFonts w:hint="eastAsia" w:ascii="仿宋" w:hAnsi="仿宋" w:eastAsia="仿宋" w:cs="仿宋"/>
          <w:sz w:val="32"/>
          <w:szCs w:val="32"/>
          <w:lang w:val="en-US" w:eastAsia="zh-CN"/>
        </w:rPr>
        <w:t xml:space="preserve"> 公交服务质量考核</w:t>
      </w:r>
      <w:r>
        <w:rPr>
          <w:rFonts w:hint="eastAsia" w:ascii="仿宋" w:hAnsi="仿宋" w:eastAsia="仿宋" w:cs="仿宋"/>
          <w:sz w:val="32"/>
          <w:szCs w:val="32"/>
          <w:lang w:eastAsia="zh-Hans"/>
        </w:rPr>
        <w:t>包括</w:t>
      </w:r>
      <w:r>
        <w:rPr>
          <w:rFonts w:hint="eastAsia" w:ascii="仿宋" w:hAnsi="仿宋" w:eastAsia="仿宋" w:cs="仿宋"/>
          <w:sz w:val="32"/>
          <w:szCs w:val="32"/>
          <w:lang w:eastAsia="zh-CN"/>
        </w:rPr>
        <w:t>对公交</w:t>
      </w:r>
      <w:r>
        <w:rPr>
          <w:rFonts w:hint="eastAsia" w:ascii="仿宋" w:hAnsi="仿宋" w:eastAsia="仿宋" w:cs="仿宋"/>
          <w:sz w:val="32"/>
          <w:szCs w:val="32"/>
          <w:lang w:eastAsia="zh-Hans"/>
        </w:rPr>
        <w:t>企业</w:t>
      </w:r>
      <w:r>
        <w:rPr>
          <w:rFonts w:hint="eastAsia" w:ascii="仿宋" w:hAnsi="仿宋" w:eastAsia="仿宋" w:cs="仿宋"/>
          <w:sz w:val="32"/>
          <w:szCs w:val="32"/>
          <w:lang w:eastAsia="zh-CN"/>
        </w:rPr>
        <w:t>管理考核</w:t>
      </w:r>
      <w:r>
        <w:rPr>
          <w:rFonts w:hint="eastAsia" w:ascii="仿宋" w:hAnsi="仿宋" w:eastAsia="仿宋" w:cs="仿宋"/>
          <w:sz w:val="32"/>
          <w:szCs w:val="32"/>
          <w:lang w:eastAsia="zh-Hans"/>
        </w:rPr>
        <w:t>和</w:t>
      </w:r>
      <w:r>
        <w:rPr>
          <w:rFonts w:hint="eastAsia" w:ascii="仿宋" w:hAnsi="仿宋" w:eastAsia="仿宋" w:cs="仿宋"/>
          <w:sz w:val="32"/>
          <w:szCs w:val="32"/>
          <w:lang w:eastAsia="zh-CN"/>
        </w:rPr>
        <w:t>公交线路</w:t>
      </w:r>
      <w:r>
        <w:rPr>
          <w:rFonts w:hint="eastAsia" w:ascii="仿宋" w:hAnsi="仿宋" w:eastAsia="仿宋" w:cs="仿宋"/>
          <w:sz w:val="32"/>
          <w:szCs w:val="32"/>
          <w:lang w:eastAsia="zh-Hans"/>
        </w:rPr>
        <w:t>服务质量考核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w:t>
      </w:r>
      <w:r>
        <w:rPr>
          <w:rFonts w:hint="eastAsia" w:ascii="仿宋" w:hAnsi="仿宋" w:eastAsia="仿宋" w:cs="仿宋"/>
          <w:sz w:val="32"/>
          <w:szCs w:val="32"/>
          <w:lang w:eastAsia="zh-Hans"/>
        </w:rPr>
        <w:t>每年1月1日至12月31日</w:t>
      </w:r>
      <w:r>
        <w:rPr>
          <w:rFonts w:hint="eastAsia" w:ascii="仿宋" w:hAnsi="仿宋" w:eastAsia="仿宋" w:cs="仿宋"/>
          <w:sz w:val="32"/>
          <w:szCs w:val="32"/>
          <w:lang w:val="en-US" w:eastAsia="zh-CN"/>
        </w:rPr>
        <w:t>为一个年度考核周期，考核频次分四个阶段进行，每季度为一个阶段，分别为每年</w:t>
      </w:r>
      <w:r>
        <w:rPr>
          <w:rFonts w:hint="eastAsia" w:ascii="仿宋" w:hAnsi="仿宋" w:eastAsia="仿宋" w:cs="仿宋"/>
          <w:sz w:val="32"/>
          <w:szCs w:val="32"/>
          <w:lang w:eastAsia="zh-Hans"/>
        </w:rPr>
        <w:t>1月1日至</w:t>
      </w:r>
      <w:r>
        <w:rPr>
          <w:rFonts w:hint="eastAsia" w:ascii="仿宋" w:hAnsi="仿宋" w:eastAsia="仿宋" w:cs="仿宋"/>
          <w:sz w:val="32"/>
          <w:szCs w:val="32"/>
          <w:lang w:val="en-US" w:eastAsia="zh-CN"/>
        </w:rPr>
        <w:t>3</w:t>
      </w:r>
      <w:r>
        <w:rPr>
          <w:rFonts w:hint="eastAsia" w:ascii="仿宋" w:hAnsi="仿宋" w:eastAsia="仿宋" w:cs="仿宋"/>
          <w:sz w:val="32"/>
          <w:szCs w:val="32"/>
          <w:lang w:eastAsia="zh-Hans"/>
        </w:rPr>
        <w:t>月31日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Hans"/>
        </w:rPr>
        <w:t>月1日至</w:t>
      </w:r>
      <w:r>
        <w:rPr>
          <w:rFonts w:hint="eastAsia" w:ascii="仿宋" w:hAnsi="仿宋" w:eastAsia="仿宋" w:cs="仿宋"/>
          <w:sz w:val="32"/>
          <w:szCs w:val="32"/>
          <w:lang w:val="en-US" w:eastAsia="zh-CN"/>
        </w:rPr>
        <w:t>6</w:t>
      </w:r>
      <w:r>
        <w:rPr>
          <w:rFonts w:hint="eastAsia" w:ascii="仿宋" w:hAnsi="仿宋" w:eastAsia="仿宋" w:cs="仿宋"/>
          <w:sz w:val="32"/>
          <w:szCs w:val="32"/>
          <w:lang w:eastAsia="zh-Hans"/>
        </w:rPr>
        <w:t>月3</w:t>
      </w:r>
      <w:r>
        <w:rPr>
          <w:rFonts w:hint="eastAsia" w:ascii="仿宋" w:hAnsi="仿宋" w:eastAsia="仿宋" w:cs="仿宋"/>
          <w:sz w:val="32"/>
          <w:szCs w:val="32"/>
          <w:lang w:val="en-US" w:eastAsia="zh-CN"/>
        </w:rPr>
        <w:t>0</w:t>
      </w:r>
      <w:r>
        <w:rPr>
          <w:rFonts w:hint="eastAsia" w:ascii="仿宋" w:hAnsi="仿宋" w:eastAsia="仿宋" w:cs="仿宋"/>
          <w:sz w:val="32"/>
          <w:szCs w:val="32"/>
          <w:lang w:eastAsia="zh-Hans"/>
        </w:rPr>
        <w:t>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Hans"/>
        </w:rPr>
        <w:t>月1日至</w:t>
      </w:r>
      <w:r>
        <w:rPr>
          <w:rFonts w:hint="eastAsia" w:ascii="仿宋" w:hAnsi="仿宋" w:eastAsia="仿宋" w:cs="仿宋"/>
          <w:sz w:val="32"/>
          <w:szCs w:val="32"/>
          <w:lang w:val="en-US" w:eastAsia="zh-CN"/>
        </w:rPr>
        <w:t>9</w:t>
      </w:r>
      <w:r>
        <w:rPr>
          <w:rFonts w:hint="eastAsia" w:ascii="仿宋" w:hAnsi="仿宋" w:eastAsia="仿宋" w:cs="仿宋"/>
          <w:sz w:val="32"/>
          <w:szCs w:val="32"/>
          <w:lang w:eastAsia="zh-Hans"/>
        </w:rPr>
        <w:t>月3</w:t>
      </w:r>
      <w:r>
        <w:rPr>
          <w:rFonts w:hint="eastAsia" w:ascii="仿宋" w:hAnsi="仿宋" w:eastAsia="仿宋" w:cs="仿宋"/>
          <w:sz w:val="32"/>
          <w:szCs w:val="32"/>
          <w:lang w:val="en-US" w:eastAsia="zh-CN"/>
        </w:rPr>
        <w:t>0</w:t>
      </w:r>
      <w:r>
        <w:rPr>
          <w:rFonts w:hint="eastAsia" w:ascii="仿宋" w:hAnsi="仿宋" w:eastAsia="仿宋" w:cs="仿宋"/>
          <w:sz w:val="32"/>
          <w:szCs w:val="32"/>
          <w:lang w:eastAsia="zh-Hans"/>
        </w:rPr>
        <w:t>日</w:t>
      </w:r>
      <w:r>
        <w:rPr>
          <w:rFonts w:hint="eastAsia" w:ascii="仿宋" w:hAnsi="仿宋" w:eastAsia="仿宋" w:cs="仿宋"/>
          <w:sz w:val="32"/>
          <w:szCs w:val="32"/>
          <w:lang w:eastAsia="zh-CN"/>
        </w:rPr>
        <w:t>、</w:t>
      </w:r>
      <w:r>
        <w:rPr>
          <w:rFonts w:hint="eastAsia" w:ascii="仿宋" w:hAnsi="仿宋" w:eastAsia="仿宋" w:cs="仿宋"/>
          <w:sz w:val="32"/>
          <w:szCs w:val="32"/>
          <w:lang w:eastAsia="zh-Hans"/>
        </w:rPr>
        <w:t>1</w:t>
      </w:r>
      <w:r>
        <w:rPr>
          <w:rFonts w:hint="eastAsia" w:ascii="仿宋" w:hAnsi="仿宋" w:eastAsia="仿宋" w:cs="仿宋"/>
          <w:sz w:val="32"/>
          <w:szCs w:val="32"/>
          <w:lang w:val="en-US" w:eastAsia="zh-CN"/>
        </w:rPr>
        <w:t>0</w:t>
      </w:r>
      <w:r>
        <w:rPr>
          <w:rFonts w:hint="eastAsia" w:ascii="仿宋" w:hAnsi="仿宋" w:eastAsia="仿宋" w:cs="仿宋"/>
          <w:sz w:val="32"/>
          <w:szCs w:val="32"/>
          <w:lang w:eastAsia="zh-Hans"/>
        </w:rPr>
        <w:t>月1日至</w:t>
      </w:r>
      <w:r>
        <w:rPr>
          <w:rFonts w:hint="eastAsia" w:ascii="仿宋" w:hAnsi="仿宋" w:eastAsia="仿宋" w:cs="仿宋"/>
          <w:sz w:val="32"/>
          <w:szCs w:val="32"/>
          <w:lang w:val="en-US" w:eastAsia="zh-CN"/>
        </w:rPr>
        <w:t>12</w:t>
      </w:r>
      <w:r>
        <w:rPr>
          <w:rFonts w:hint="eastAsia" w:ascii="仿宋" w:hAnsi="仿宋" w:eastAsia="仿宋" w:cs="仿宋"/>
          <w:sz w:val="32"/>
          <w:szCs w:val="32"/>
          <w:lang w:eastAsia="zh-Hans"/>
        </w:rPr>
        <w:t>月31日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考核成绩以每季度和年度考核取平均值。</w:t>
      </w:r>
      <w:r>
        <w:rPr>
          <w:rFonts w:hint="eastAsia" w:ascii="仿宋" w:hAnsi="仿宋" w:eastAsia="仿宋" w:cs="仿宋"/>
          <w:sz w:val="32"/>
          <w:szCs w:val="32"/>
          <w:lang w:eastAsia="zh-Hans"/>
        </w:rPr>
        <w:t>具体评分标准详见附件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Hans"/>
        </w:rPr>
        <w:t>、附件</w:t>
      </w:r>
      <w:r>
        <w:rPr>
          <w:rFonts w:hint="eastAsia" w:ascii="仿宋" w:hAnsi="仿宋" w:eastAsia="仿宋" w:cs="仿宋"/>
          <w:sz w:val="32"/>
          <w:szCs w:val="32"/>
          <w:lang w:val="en-US" w:eastAsia="zh-CN"/>
        </w:rPr>
        <w:t>2</w:t>
      </w:r>
      <w:r>
        <w:rPr>
          <w:rFonts w:hint="eastAsia" w:ascii="仿宋" w:hAnsi="仿宋" w:eastAsia="仿宋" w:cs="仿宋"/>
          <w:sz w:val="32"/>
          <w:szCs w:val="32"/>
          <w:lang w:eastAsia="zh-Hans"/>
        </w:rPr>
        <w:t>，并将根据公交发展的需要适时修改完善。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val="en-US" w:eastAsia="zh-CN"/>
        </w:rPr>
        <w:t>第十三条</w:t>
      </w:r>
      <w:r>
        <w:rPr>
          <w:rFonts w:hint="eastAsia" w:ascii="仿宋" w:hAnsi="仿宋" w:eastAsia="仿宋" w:cs="仿宋"/>
          <w:sz w:val="32"/>
          <w:szCs w:val="32"/>
          <w:lang w:val="en-US" w:eastAsia="zh-CN"/>
        </w:rPr>
        <w:t xml:space="preserve"> 公交服务质量考核</w:t>
      </w:r>
      <w:r>
        <w:rPr>
          <w:rFonts w:hint="eastAsia" w:ascii="仿宋" w:hAnsi="仿宋" w:eastAsia="仿宋" w:cs="仿宋"/>
          <w:sz w:val="32"/>
          <w:szCs w:val="32"/>
          <w:lang w:eastAsia="zh-Hans"/>
        </w:rPr>
        <w:t>实行</w:t>
      </w:r>
      <w:r>
        <w:rPr>
          <w:rFonts w:hint="eastAsia" w:ascii="仿宋" w:hAnsi="仿宋" w:eastAsia="仿宋" w:cs="仿宋"/>
          <w:sz w:val="32"/>
          <w:szCs w:val="32"/>
          <w:lang w:eastAsia="zh-CN"/>
        </w:rPr>
        <w:t>百分</w:t>
      </w:r>
      <w:r>
        <w:rPr>
          <w:rFonts w:hint="eastAsia" w:ascii="仿宋" w:hAnsi="仿宋" w:eastAsia="仿宋" w:cs="仿宋"/>
          <w:sz w:val="32"/>
          <w:szCs w:val="32"/>
          <w:lang w:eastAsia="zh-Hans"/>
        </w:rPr>
        <w:t>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初始分值为100分（具体扣分标准详见评分细则），</w:t>
      </w:r>
      <w:r>
        <w:rPr>
          <w:rFonts w:hint="eastAsia" w:ascii="仿宋" w:hAnsi="仿宋" w:eastAsia="仿宋" w:cs="仿宋"/>
          <w:sz w:val="32"/>
          <w:szCs w:val="32"/>
          <w:lang w:eastAsia="zh-CN"/>
        </w:rPr>
        <w:t>其中企业经营管理考核结果占</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0%，线路服务质量考核结果占</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公交服务质量考核</w:t>
      </w:r>
      <w:r>
        <w:rPr>
          <w:rFonts w:hint="eastAsia" w:ascii="仿宋" w:hAnsi="仿宋" w:eastAsia="仿宋" w:cs="仿宋"/>
          <w:sz w:val="32"/>
          <w:szCs w:val="32"/>
          <w:lang w:val="en-US" w:eastAsia="zh-CN"/>
        </w:rPr>
        <w:t>成绩（100分）=</w:t>
      </w:r>
      <w:r>
        <w:rPr>
          <w:rFonts w:hint="eastAsia" w:ascii="仿宋" w:hAnsi="仿宋" w:eastAsia="仿宋" w:cs="仿宋"/>
          <w:sz w:val="32"/>
          <w:szCs w:val="32"/>
          <w:lang w:eastAsia="zh-CN"/>
        </w:rPr>
        <w:t>企业经营管理考核得分×</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0%+公交线路服务质量考核平均得分×</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第十四条</w:t>
      </w:r>
      <w:r>
        <w:rPr>
          <w:rFonts w:hint="eastAsia" w:ascii="仿宋" w:hAnsi="仿宋" w:eastAsia="仿宋" w:cs="仿宋"/>
          <w:sz w:val="32"/>
          <w:szCs w:val="32"/>
          <w:lang w:val="en-US" w:eastAsia="zh-CN"/>
        </w:rPr>
        <w:t xml:space="preserve"> 公交服务质量考核结果分为优良、合格、基本合格、不合格四个等次：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1、优良：得分在90分(含90分)以上；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2、合格：得分在75-90分(含75分)以上；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3、基本合格：得分在60-75分(含60分)以上；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4、不合格：得分在 60 分（不含 60 分）以下。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第十五条</w:t>
      </w:r>
      <w:r>
        <w:rPr>
          <w:rFonts w:hint="eastAsia" w:ascii="仿宋" w:hAnsi="仿宋" w:eastAsia="仿宋" w:cs="仿宋"/>
          <w:sz w:val="32"/>
          <w:szCs w:val="32"/>
          <w:lang w:val="en-US" w:eastAsia="zh-CN"/>
        </w:rPr>
        <w:t xml:space="preserve"> 在年度考核周期内，线路发生下列情形之一的，列为年度考核不合格线路：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（一）在营运时间发生亡人的交通安全责任</w:t>
      </w:r>
      <w:bookmarkStart w:id="0" w:name="_GoBack"/>
      <w:bookmarkEnd w:id="0"/>
      <w:r>
        <w:rPr>
          <w:rFonts w:hint="eastAsia" w:ascii="仿宋" w:hAnsi="仿宋" w:eastAsia="仿宋" w:cs="仿宋"/>
          <w:sz w:val="32"/>
          <w:szCs w:val="32"/>
          <w:lang w:val="en-US" w:eastAsia="zh-CN"/>
        </w:rPr>
        <w:t xml:space="preserve">事故的。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（二）发生一起以上（含一起）营运车辆自燃事故的。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（三）因发生服务有责事件，造成恶劣社会影响，并被省、市相关部门通报批评的。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（四）未经批准，擅自停运的。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（五）拒不配合主管部门开展服务质量考核工作的。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奖惩措施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第十六条</w:t>
      </w:r>
      <w:r>
        <w:rPr>
          <w:rFonts w:hint="eastAsia" w:ascii="仿宋" w:hAnsi="仿宋" w:eastAsia="仿宋" w:cs="仿宋"/>
          <w:sz w:val="32"/>
          <w:szCs w:val="32"/>
          <w:lang w:val="en-US" w:eastAsia="zh-CN"/>
        </w:rPr>
        <w:t xml:space="preserve"> 公交服务质量考核结果作为发放县本级财政补贴的主要依据。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1、考核结果优良的，以90分为基准，建议县人民政府在年度拨付总金额上增加5%，每提高一分增加1%。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2、考核结果合格的，以75-89分为基准，全额发放企业当年公交财政补贴。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3、考核结果基本合格的，以74分为基准，扣减企业当年公交财政补贴总额的10%，每下降一分增加1%。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4、考核结果不合格的，以59分为基准，扣减企业当年公交财政补贴总额的30%。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第十七条</w:t>
      </w:r>
      <w:r>
        <w:rPr>
          <w:rFonts w:hint="eastAsia" w:ascii="仿宋" w:hAnsi="仿宋" w:eastAsia="仿宋" w:cs="仿宋"/>
          <w:sz w:val="32"/>
          <w:szCs w:val="32"/>
          <w:lang w:val="en-US" w:eastAsia="zh-CN"/>
        </w:rPr>
        <w:t xml:space="preserve"> 根据城市公共交通线路特许经营协议，公交企业如有严重违约、违规行为的，扣除相应服务质量履约保证金。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jc w:val="both"/>
        <w:textAlignment w:val="auto"/>
        <w:rPr>
          <w:rFonts w:hint="eastAsia" w:ascii="仿宋" w:hAnsi="仿宋" w:eastAsia="仿宋" w:cs="仿宋"/>
          <w:kern w:val="2"/>
          <w:sz w:val="32"/>
          <w:szCs w:val="32"/>
          <w:lang w:val="en-US" w:eastAsia="zh-CN" w:bidi="ar-SA"/>
        </w:rPr>
      </w:pPr>
      <w:r>
        <w:rPr>
          <w:rFonts w:hint="eastAsia" w:ascii="黑体" w:hAnsi="黑体" w:eastAsia="黑体" w:cs="黑体"/>
          <w:sz w:val="32"/>
          <w:szCs w:val="32"/>
          <w:lang w:val="en-US" w:eastAsia="zh-CN"/>
        </w:rPr>
        <w:t xml:space="preserve">第十八条 </w:t>
      </w:r>
      <w:r>
        <w:rPr>
          <w:rFonts w:hint="eastAsia" w:ascii="仿宋" w:hAnsi="仿宋" w:eastAsia="仿宋" w:cs="仿宋"/>
          <w:kern w:val="2"/>
          <w:sz w:val="32"/>
          <w:szCs w:val="32"/>
          <w:lang w:val="en-US" w:eastAsia="zh-CN" w:bidi="ar-SA"/>
        </w:rPr>
        <w:t>公交企业应当将服务质量评价结果纳入管理人员和驾驶员日常工作评价、考核体系。运营单位应建立与服务质量评价结果挂钩的薪酬管理制度。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第十九条</w:t>
      </w:r>
      <w:r>
        <w:rPr>
          <w:rFonts w:hint="eastAsia" w:ascii="仿宋" w:hAnsi="仿宋" w:eastAsia="仿宋" w:cs="仿宋"/>
          <w:sz w:val="32"/>
          <w:szCs w:val="32"/>
          <w:lang w:val="en-US" w:eastAsia="zh-CN"/>
        </w:rPr>
        <w:t xml:space="preserve"> 公交服务质量考核结果作为城市公共汽车客运经营权延续与退出的重要依据。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1、年度考核基本合格企业：由县交通运输主管部门下达整改通知书，督促对其存在的问题限期整改，整改期限为半个月。整改结束后，对整改情况进行验收。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2、年度考核不合格企业：由县交通运输主管部门下达整改通知书，督促对其存在的问题限期整改，整改期限为7天，整改期间并列为重点监管，增加检查频次。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3、对经营期限内连续两年考核不合格的企业，政府收回特许经营权。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第五章 考核要求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第二十条</w:t>
      </w:r>
      <w:r>
        <w:rPr>
          <w:rFonts w:hint="eastAsia" w:ascii="仿宋" w:hAnsi="仿宋" w:eastAsia="仿宋" w:cs="仿宋"/>
          <w:sz w:val="32"/>
          <w:szCs w:val="32"/>
          <w:lang w:val="en-US" w:eastAsia="zh-CN"/>
        </w:rPr>
        <w:t xml:space="preserve"> 被考核的公交客运企业应自觉服从和接受检查考核，积极配合工作，按规定要求提供有关资料。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第二十一条</w:t>
      </w:r>
      <w:r>
        <w:rPr>
          <w:rFonts w:hint="eastAsia" w:ascii="仿宋" w:hAnsi="仿宋" w:eastAsia="仿宋" w:cs="仿宋"/>
          <w:sz w:val="32"/>
          <w:szCs w:val="32"/>
          <w:lang w:val="en-US" w:eastAsia="zh-CN"/>
        </w:rPr>
        <w:t xml:space="preserve"> 考核过程中，要统一标准，严格把关，力求客观、公正、科学、规范。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第二十二条</w:t>
      </w:r>
      <w:r>
        <w:rPr>
          <w:rFonts w:hint="eastAsia" w:ascii="仿宋" w:hAnsi="仿宋" w:eastAsia="仿宋" w:cs="仿宋"/>
          <w:sz w:val="32"/>
          <w:szCs w:val="32"/>
          <w:lang w:val="en-US" w:eastAsia="zh-CN"/>
        </w:rPr>
        <w:t xml:space="preserve"> 考核部门及其工作人员应当认真履行职责，不得徇私舞弊，玩忽职守，滥用职权。考核部门及其工作人员违反相关规定的，县交通运输主管部门责令其进行改正，情节严重的，对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第二十三条</w:t>
      </w:r>
      <w:r>
        <w:rPr>
          <w:rFonts w:hint="eastAsia" w:ascii="仿宋" w:hAnsi="仿宋" w:eastAsia="仿宋" w:cs="仿宋"/>
          <w:sz w:val="32"/>
          <w:szCs w:val="32"/>
          <w:lang w:val="en-US" w:eastAsia="zh-CN"/>
        </w:rPr>
        <w:t xml:space="preserve"> 本办法由县交通运输局负责解释。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第二十四条</w:t>
      </w:r>
      <w:r>
        <w:rPr>
          <w:rFonts w:hint="eastAsia" w:ascii="仿宋" w:hAnsi="仿宋" w:eastAsia="仿宋" w:cs="仿宋"/>
          <w:sz w:val="32"/>
          <w:szCs w:val="32"/>
          <w:lang w:val="en-US" w:eastAsia="zh-CN"/>
        </w:rPr>
        <w:t xml:space="preserve"> 本办法自印发之日起实施，有效期至2025年12月31日。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附件1：公交企业管理考核评分表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附件2：公交线路服务质量考核评分表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附件3：城市公交乘客满意度调查表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附件4：乘客满意度调查内容权重表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jc w:val="both"/>
        <w:rPr>
          <w:rFonts w:hint="default" w:ascii="黑体" w:hAnsi="黑体" w:eastAsia="黑体" w:cs="黑体"/>
          <w:color w:val="auto"/>
          <w:sz w:val="36"/>
          <w:szCs w:val="36"/>
          <w:lang w:val="en-US" w:eastAsia="zh-CN"/>
        </w:rPr>
      </w:pPr>
      <w:r>
        <w:rPr>
          <w:rFonts w:hint="eastAsia"/>
          <w:sz w:val="32"/>
          <w:szCs w:val="32"/>
          <w:lang w:val="en-US" w:eastAsia="zh-CN"/>
        </w:rPr>
        <w:t>附件1：</w:t>
      </w:r>
    </w:p>
    <w:p>
      <w:pPr>
        <w:jc w:val="center"/>
        <w:rPr>
          <w:rFonts w:hint="eastAsia" w:ascii="黑体" w:hAnsi="黑体" w:eastAsia="黑体" w:cs="黑体"/>
          <w:color w:val="auto"/>
          <w:sz w:val="36"/>
          <w:szCs w:val="36"/>
        </w:rPr>
      </w:pPr>
      <w:r>
        <w:rPr>
          <w:rFonts w:hint="eastAsia" w:ascii="黑体" w:hAnsi="黑体" w:eastAsia="黑体" w:cs="黑体"/>
          <w:color w:val="auto"/>
          <w:sz w:val="36"/>
          <w:szCs w:val="36"/>
        </w:rPr>
        <w:t>公交企业管理考核评分表</w:t>
      </w:r>
    </w:p>
    <w:p>
      <w:pPr>
        <w:spacing w:line="280" w:lineRule="exact"/>
        <w:rPr>
          <w:rFonts w:hint="eastAsia" w:ascii="仿宋_GB2312" w:hAnsi="仿宋_GB2312" w:eastAsia="仿宋_GB2312" w:cs="仿宋_GB2312"/>
          <w:color w:val="auto"/>
          <w:kern w:val="0"/>
          <w:szCs w:val="21"/>
        </w:rPr>
      </w:pPr>
    </w:p>
    <w:p>
      <w:pPr>
        <w:spacing w:line="240" w:lineRule="exact"/>
        <w:rPr>
          <w:rFonts w:hint="eastAsia" w:ascii="仿宋_GB2312" w:hAnsi="仿宋_GB2312" w:eastAsia="仿宋_GB2312" w:cs="仿宋_GB2312"/>
          <w:b/>
          <w:color w:val="auto"/>
          <w:szCs w:val="21"/>
        </w:rPr>
      </w:pPr>
    </w:p>
    <w:p>
      <w:pPr>
        <w:spacing w:line="240" w:lineRule="exact"/>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企业名称：                考核年度：         填报日期：        考核成绩：</w:t>
      </w:r>
    </w:p>
    <w:p>
      <w:pPr>
        <w:spacing w:line="240" w:lineRule="exact"/>
        <w:rPr>
          <w:rFonts w:hint="eastAsia" w:ascii="仿宋_GB2312" w:hAnsi="仿宋_GB2312" w:eastAsia="仿宋_GB2312" w:cs="仿宋_GB2312"/>
          <w:b/>
          <w:color w:val="auto"/>
          <w:szCs w:val="21"/>
        </w:rPr>
      </w:pPr>
    </w:p>
    <w:tbl>
      <w:tblPr>
        <w:tblStyle w:val="6"/>
        <w:tblpPr w:leftFromText="180" w:rightFromText="180" w:vertAnchor="text" w:horzAnchor="page" w:tblpX="1462" w:tblpY="339"/>
        <w:tblOverlap w:val="neve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660"/>
        <w:gridCol w:w="5381"/>
        <w:gridCol w:w="1249"/>
        <w:gridCol w:w="7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087" w:type="dxa"/>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考核内容</w:t>
            </w:r>
          </w:p>
        </w:tc>
        <w:tc>
          <w:tcPr>
            <w:tcW w:w="660" w:type="dxa"/>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分数</w:t>
            </w:r>
          </w:p>
        </w:tc>
        <w:tc>
          <w:tcPr>
            <w:tcW w:w="5381" w:type="dxa"/>
            <w:tcBorders>
              <w:right w:val="single" w:color="auto" w:sz="4" w:space="0"/>
            </w:tcBorders>
            <w:noWrap w:val="0"/>
            <w:vAlign w:val="center"/>
          </w:tcPr>
          <w:p>
            <w:pPr>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考核说明</w:t>
            </w:r>
          </w:p>
        </w:tc>
        <w:tc>
          <w:tcPr>
            <w:tcW w:w="1249" w:type="dxa"/>
            <w:tcBorders>
              <w:left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考核情况</w:t>
            </w:r>
          </w:p>
        </w:tc>
        <w:tc>
          <w:tcPr>
            <w:tcW w:w="760" w:type="dxa"/>
            <w:tcBorders>
              <w:lef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087" w:type="dxa"/>
            <w:tcBorders>
              <w:bottom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组织机构</w:t>
            </w:r>
          </w:p>
        </w:tc>
        <w:tc>
          <w:tcPr>
            <w:tcW w:w="660" w:type="dxa"/>
            <w:tcBorders>
              <w:bottom w:val="single" w:color="auto" w:sz="4" w:space="0"/>
            </w:tcBorders>
            <w:noWrap w:val="0"/>
            <w:vAlign w:val="center"/>
          </w:tcPr>
          <w:p>
            <w:pPr>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w:t>
            </w:r>
          </w:p>
        </w:tc>
        <w:tc>
          <w:tcPr>
            <w:tcW w:w="5381" w:type="dxa"/>
            <w:tcBorders>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企业组织机构不健全、责任不明确的，酌情扣分。</w:t>
            </w:r>
          </w:p>
        </w:tc>
        <w:tc>
          <w:tcPr>
            <w:tcW w:w="1249" w:type="dxa"/>
            <w:tcBorders>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c>
          <w:tcPr>
            <w:tcW w:w="760" w:type="dxa"/>
            <w:tcBorders>
              <w:left w:val="single" w:color="auto" w:sz="4" w:space="0"/>
              <w:bottom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jc w:val="center"/>
        </w:trPr>
        <w:tc>
          <w:tcPr>
            <w:tcW w:w="1087" w:type="dxa"/>
            <w:tcBorders>
              <w:top w:val="single" w:color="auto" w:sz="4" w:space="0"/>
              <w:bottom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规划制度</w:t>
            </w:r>
          </w:p>
        </w:tc>
        <w:tc>
          <w:tcPr>
            <w:tcW w:w="660" w:type="dxa"/>
            <w:tcBorders>
              <w:top w:val="single" w:color="auto" w:sz="4" w:space="0"/>
              <w:bottom w:val="single" w:color="auto" w:sz="4" w:space="0"/>
            </w:tcBorders>
            <w:noWrap w:val="0"/>
            <w:vAlign w:val="center"/>
          </w:tcPr>
          <w:p>
            <w:pPr>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w:t>
            </w:r>
          </w:p>
        </w:tc>
        <w:tc>
          <w:tcPr>
            <w:tcW w:w="5381" w:type="dxa"/>
            <w:tcBorders>
              <w:top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未按规定建立安全生产、服务质量管理、营运车辆管理、驾驶员管理等企业管理制度，并编制中长期发展规划、年度经营计划和应急预案，缺一项扣2分。</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c>
          <w:tcPr>
            <w:tcW w:w="760" w:type="dxa"/>
            <w:tcBorders>
              <w:top w:val="single" w:color="auto" w:sz="4" w:space="0"/>
              <w:left w:val="single" w:color="auto" w:sz="4" w:space="0"/>
              <w:bottom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087" w:type="dxa"/>
            <w:tcBorders>
              <w:top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车辆设施</w:t>
            </w:r>
          </w:p>
        </w:tc>
        <w:tc>
          <w:tcPr>
            <w:tcW w:w="660" w:type="dxa"/>
            <w:tcBorders>
              <w:top w:val="single" w:color="auto" w:sz="4" w:space="0"/>
            </w:tcBorders>
            <w:noWrap w:val="0"/>
            <w:vAlign w:val="center"/>
          </w:tcPr>
          <w:p>
            <w:pPr>
              <w:spacing w:line="280" w:lineRule="exact"/>
              <w:jc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5</w:t>
            </w:r>
          </w:p>
        </w:tc>
        <w:tc>
          <w:tcPr>
            <w:tcW w:w="5381" w:type="dxa"/>
            <w:tcBorders>
              <w:top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未定期对客运车辆的进行维护和检测，车内服务设施未安装到位，未按要求设置站牌的，按比例扣分。</w:t>
            </w:r>
          </w:p>
        </w:tc>
        <w:tc>
          <w:tcPr>
            <w:tcW w:w="1249" w:type="dxa"/>
            <w:tcBorders>
              <w:top w:val="single" w:color="auto" w:sz="4" w:space="0"/>
              <w:left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c>
          <w:tcPr>
            <w:tcW w:w="760" w:type="dxa"/>
            <w:tcBorders>
              <w:top w:val="single" w:color="auto" w:sz="4" w:space="0"/>
              <w:lef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5" w:hRule="atLeast"/>
          <w:jc w:val="center"/>
        </w:trPr>
        <w:tc>
          <w:tcPr>
            <w:tcW w:w="1087" w:type="dxa"/>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人员管理</w:t>
            </w:r>
          </w:p>
        </w:tc>
        <w:tc>
          <w:tcPr>
            <w:tcW w:w="660" w:type="dxa"/>
            <w:noWrap w:val="0"/>
            <w:vAlign w:val="center"/>
          </w:tcPr>
          <w:p>
            <w:pPr>
              <w:spacing w:line="280" w:lineRule="exact"/>
              <w:jc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5</w:t>
            </w:r>
          </w:p>
        </w:tc>
        <w:tc>
          <w:tcPr>
            <w:tcW w:w="5381" w:type="dxa"/>
            <w:tcBorders>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未严格执行从业人员资格制度的，建立职工培训教育、考核制度，保障驾驶员劳动报酬权、休息休假权和社会保障全等各项权益的，酌情扣分。</w:t>
            </w:r>
          </w:p>
        </w:tc>
        <w:tc>
          <w:tcPr>
            <w:tcW w:w="1249" w:type="dxa"/>
            <w:tcBorders>
              <w:left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c>
          <w:tcPr>
            <w:tcW w:w="760" w:type="dxa"/>
            <w:tcBorders>
              <w:lef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1087" w:type="dxa"/>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经营行为</w:t>
            </w:r>
          </w:p>
        </w:tc>
        <w:tc>
          <w:tcPr>
            <w:tcW w:w="660" w:type="dxa"/>
            <w:noWrap w:val="0"/>
            <w:vAlign w:val="center"/>
          </w:tcPr>
          <w:p>
            <w:pPr>
              <w:spacing w:line="280" w:lineRule="exact"/>
              <w:jc w:val="center"/>
              <w:rPr>
                <w:rFonts w:hint="default"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20</w:t>
            </w:r>
          </w:p>
        </w:tc>
        <w:tc>
          <w:tcPr>
            <w:tcW w:w="5381" w:type="dxa"/>
            <w:tcBorders>
              <w:right w:val="single" w:color="auto" w:sz="4" w:space="0"/>
            </w:tcBorders>
            <w:noWrap w:val="0"/>
            <w:vAlign w:val="top"/>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未按照规定的线路、站点、运力及时间组织营运，在营运中发生拒载老年人、不准时、不准点、乱收费等经营违规行为的，查处一次扣2分。</w:t>
            </w:r>
          </w:p>
        </w:tc>
        <w:tc>
          <w:tcPr>
            <w:tcW w:w="1249" w:type="dxa"/>
            <w:tcBorders>
              <w:left w:val="single" w:color="auto" w:sz="4" w:space="0"/>
              <w:right w:val="single" w:color="auto" w:sz="4" w:space="0"/>
            </w:tcBorders>
            <w:noWrap w:val="0"/>
            <w:vAlign w:val="top"/>
          </w:tcPr>
          <w:p>
            <w:pPr>
              <w:spacing w:line="280" w:lineRule="exact"/>
              <w:rPr>
                <w:rFonts w:hint="eastAsia" w:ascii="仿宋_GB2312" w:hAnsi="仿宋_GB2312" w:eastAsia="仿宋_GB2312" w:cs="仿宋_GB2312"/>
                <w:color w:val="auto"/>
                <w:kern w:val="0"/>
                <w:szCs w:val="21"/>
              </w:rPr>
            </w:pPr>
          </w:p>
        </w:tc>
        <w:tc>
          <w:tcPr>
            <w:tcW w:w="760" w:type="dxa"/>
            <w:tcBorders>
              <w:left w:val="single" w:color="auto" w:sz="4" w:space="0"/>
            </w:tcBorders>
            <w:noWrap w:val="0"/>
            <w:vAlign w:val="top"/>
          </w:tcPr>
          <w:p>
            <w:pPr>
              <w:spacing w:line="280" w:lineRule="exact"/>
              <w:rPr>
                <w:rFonts w:hint="eastAsia"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1087" w:type="dxa"/>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安全生产</w:t>
            </w:r>
          </w:p>
        </w:tc>
        <w:tc>
          <w:tcPr>
            <w:tcW w:w="660" w:type="dxa"/>
            <w:noWrap w:val="0"/>
            <w:vAlign w:val="center"/>
          </w:tcPr>
          <w:p>
            <w:pPr>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w:t>
            </w:r>
          </w:p>
        </w:tc>
        <w:tc>
          <w:tcPr>
            <w:tcW w:w="5381" w:type="dxa"/>
            <w:tcBorders>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未落实安全例会、安全教育培训、安全经费投入、隐患排查等安全生产责任制度，缺一项扣2分，交通违法次数低于1次/车/年，每次交通违法行为扣0.05分，高于1次/车/年，每次交通违法行为扣0.01分，发生交通事故致人死亡且负同等或主要责任的，每亡1人扣</w:t>
            </w:r>
            <w:r>
              <w:rPr>
                <w:rFonts w:hint="eastAsia" w:ascii="仿宋_GB2312" w:hAnsi="仿宋_GB2312" w:eastAsia="仿宋_GB2312" w:cs="仿宋_GB2312"/>
                <w:color w:val="auto"/>
                <w:kern w:val="0"/>
                <w:szCs w:val="21"/>
                <w:lang w:val="en-US" w:eastAsia="zh-CN"/>
              </w:rPr>
              <w:t>10</w:t>
            </w:r>
            <w:r>
              <w:rPr>
                <w:rFonts w:hint="eastAsia" w:ascii="仿宋_GB2312" w:hAnsi="仿宋_GB2312" w:eastAsia="仿宋_GB2312" w:cs="仿宋_GB2312"/>
                <w:color w:val="auto"/>
                <w:kern w:val="0"/>
                <w:szCs w:val="21"/>
              </w:rPr>
              <w:t>分。</w:t>
            </w:r>
          </w:p>
        </w:tc>
        <w:tc>
          <w:tcPr>
            <w:tcW w:w="1249" w:type="dxa"/>
            <w:tcBorders>
              <w:left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c>
          <w:tcPr>
            <w:tcW w:w="760" w:type="dxa"/>
            <w:tcBorders>
              <w:lef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1" w:hRule="atLeast"/>
          <w:jc w:val="center"/>
        </w:trPr>
        <w:tc>
          <w:tcPr>
            <w:tcW w:w="1087" w:type="dxa"/>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投诉处理</w:t>
            </w:r>
          </w:p>
        </w:tc>
        <w:tc>
          <w:tcPr>
            <w:tcW w:w="660" w:type="dxa"/>
            <w:noWrap w:val="0"/>
            <w:vAlign w:val="center"/>
          </w:tcPr>
          <w:p>
            <w:pPr>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w:t>
            </w:r>
          </w:p>
        </w:tc>
        <w:tc>
          <w:tcPr>
            <w:tcW w:w="5381" w:type="dxa"/>
            <w:tcBorders>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发生1次服务类有效投诉扣0.1分；乘客的投诉、建议在受理后3个工作日内未回复，或乘客对有效投诉回复、处理不满意，每次扣0.5分；因服务质量低劣而被市级以上媒体曝光并经查证属实的，每次扣5分。</w:t>
            </w:r>
          </w:p>
        </w:tc>
        <w:tc>
          <w:tcPr>
            <w:tcW w:w="1249" w:type="dxa"/>
            <w:tcBorders>
              <w:left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c>
          <w:tcPr>
            <w:tcW w:w="760" w:type="dxa"/>
            <w:tcBorders>
              <w:lef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1087" w:type="dxa"/>
            <w:noWrap w:val="0"/>
            <w:vAlign w:val="center"/>
          </w:tcPr>
          <w:p>
            <w:pPr>
              <w:spacing w:line="280" w:lineRule="exact"/>
              <w:rPr>
                <w:rFonts w:hint="default"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乘客满意度</w:t>
            </w:r>
          </w:p>
        </w:tc>
        <w:tc>
          <w:tcPr>
            <w:tcW w:w="660" w:type="dxa"/>
            <w:noWrap w:val="0"/>
            <w:vAlign w:val="center"/>
          </w:tcPr>
          <w:p>
            <w:pPr>
              <w:spacing w:line="280" w:lineRule="exact"/>
              <w:jc w:val="center"/>
              <w:rPr>
                <w:rFonts w:hint="default"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10</w:t>
            </w:r>
          </w:p>
        </w:tc>
        <w:tc>
          <w:tcPr>
            <w:tcW w:w="5381" w:type="dxa"/>
            <w:tcBorders>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乘客满意度评估值</w:t>
            </w:r>
            <w:r>
              <w:rPr>
                <w:rFonts w:hint="eastAsia" w:ascii="仿宋_GB2312" w:hAnsi="仿宋_GB2312" w:eastAsia="仿宋_GB2312" w:cs="仿宋_GB2312"/>
                <w:color w:val="auto"/>
                <w:kern w:val="0"/>
                <w:szCs w:val="21"/>
              </w:rPr>
              <w:t>低于80%，每低于1个百分点，扣1分</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lang w:val="en-US" w:eastAsia="zh-CN"/>
              </w:rPr>
              <w:t>扣完为止</w:t>
            </w:r>
            <w:r>
              <w:rPr>
                <w:rFonts w:hint="eastAsia" w:ascii="仿宋_GB2312" w:hAnsi="仿宋_GB2312" w:eastAsia="仿宋_GB2312" w:cs="仿宋_GB2312"/>
                <w:color w:val="auto"/>
                <w:kern w:val="0"/>
                <w:szCs w:val="21"/>
              </w:rPr>
              <w:t>。</w:t>
            </w:r>
          </w:p>
        </w:tc>
        <w:tc>
          <w:tcPr>
            <w:tcW w:w="1249" w:type="dxa"/>
            <w:tcBorders>
              <w:left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c>
          <w:tcPr>
            <w:tcW w:w="760" w:type="dxa"/>
            <w:tcBorders>
              <w:lef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1087" w:type="dxa"/>
            <w:tcBorders>
              <w:bottom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创建工作</w:t>
            </w:r>
          </w:p>
        </w:tc>
        <w:tc>
          <w:tcPr>
            <w:tcW w:w="660" w:type="dxa"/>
            <w:tcBorders>
              <w:bottom w:val="single" w:color="auto" w:sz="4" w:space="0"/>
            </w:tcBorders>
            <w:noWrap w:val="0"/>
            <w:vAlign w:val="center"/>
          </w:tcPr>
          <w:p>
            <w:pPr>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w:t>
            </w:r>
          </w:p>
        </w:tc>
        <w:tc>
          <w:tcPr>
            <w:tcW w:w="5381" w:type="dxa"/>
            <w:tcBorders>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根据创卫、创文、两项创建工作要求，工作任务落实不到位，每项扣2分。</w:t>
            </w:r>
          </w:p>
        </w:tc>
        <w:tc>
          <w:tcPr>
            <w:tcW w:w="1249" w:type="dxa"/>
            <w:tcBorders>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c>
          <w:tcPr>
            <w:tcW w:w="760" w:type="dxa"/>
            <w:tcBorders>
              <w:left w:val="single" w:color="auto" w:sz="4" w:space="0"/>
              <w:bottom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1087" w:type="dxa"/>
            <w:tcBorders>
              <w:top w:val="single" w:color="auto" w:sz="4" w:space="0"/>
              <w:bottom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维稳工作</w:t>
            </w:r>
          </w:p>
        </w:tc>
        <w:tc>
          <w:tcPr>
            <w:tcW w:w="660" w:type="dxa"/>
            <w:tcBorders>
              <w:top w:val="single" w:color="auto" w:sz="4" w:space="0"/>
              <w:bottom w:val="single" w:color="auto" w:sz="4" w:space="0"/>
            </w:tcBorders>
            <w:noWrap w:val="0"/>
            <w:vAlign w:val="center"/>
          </w:tcPr>
          <w:p>
            <w:pPr>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w:t>
            </w:r>
          </w:p>
        </w:tc>
        <w:tc>
          <w:tcPr>
            <w:tcW w:w="5381" w:type="dxa"/>
            <w:tcBorders>
              <w:top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发生一起上访的，</w:t>
            </w:r>
            <w:r>
              <w:rPr>
                <w:rFonts w:hint="eastAsia" w:ascii="仿宋_GB2312" w:hAnsi="仿宋_GB2312" w:eastAsia="仿宋_GB2312" w:cs="仿宋_GB2312"/>
                <w:color w:val="auto"/>
                <w:kern w:val="0"/>
                <w:szCs w:val="21"/>
              </w:rPr>
              <w:t>发生一次</w:t>
            </w:r>
            <w:r>
              <w:rPr>
                <w:rFonts w:hint="eastAsia" w:ascii="仿宋_GB2312" w:hAnsi="仿宋_GB2312" w:eastAsia="仿宋_GB2312" w:cs="仿宋_GB2312"/>
                <w:color w:val="auto"/>
                <w:kern w:val="0"/>
                <w:szCs w:val="21"/>
                <w:lang w:val="en-US" w:eastAsia="zh-CN"/>
              </w:rPr>
              <w:t>扣1分，</w:t>
            </w:r>
            <w:r>
              <w:rPr>
                <w:rFonts w:hint="eastAsia" w:ascii="仿宋_GB2312" w:hAnsi="仿宋_GB2312" w:eastAsia="仿宋_GB2312" w:cs="仿宋_GB2312"/>
                <w:color w:val="auto"/>
                <w:kern w:val="0"/>
                <w:szCs w:val="21"/>
              </w:rPr>
              <w:t>5人以上集访的，发生一次扣5分。</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c>
          <w:tcPr>
            <w:tcW w:w="760" w:type="dxa"/>
            <w:tcBorders>
              <w:top w:val="single" w:color="auto" w:sz="4" w:space="0"/>
              <w:left w:val="single" w:color="auto" w:sz="4" w:space="0"/>
              <w:bottom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1" w:hRule="atLeast"/>
          <w:jc w:val="center"/>
        </w:trPr>
        <w:tc>
          <w:tcPr>
            <w:tcW w:w="1087" w:type="dxa"/>
            <w:tcBorders>
              <w:top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社会公益</w:t>
            </w:r>
          </w:p>
        </w:tc>
        <w:tc>
          <w:tcPr>
            <w:tcW w:w="660" w:type="dxa"/>
            <w:tcBorders>
              <w:top w:val="single" w:color="auto" w:sz="4" w:space="0"/>
            </w:tcBorders>
            <w:noWrap w:val="0"/>
            <w:vAlign w:val="center"/>
          </w:tcPr>
          <w:p>
            <w:pPr>
              <w:spacing w:line="280" w:lineRule="exact"/>
              <w:jc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5</w:t>
            </w:r>
          </w:p>
        </w:tc>
        <w:tc>
          <w:tcPr>
            <w:tcW w:w="5381" w:type="dxa"/>
            <w:tcBorders>
              <w:top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未按要求完成政府指令性任务，或不积极组织参加抢险救灾、应急疏散人员、优质服务等具有较大社会影响的公益活动的，酌情扣分</w:t>
            </w:r>
            <w:r>
              <w:rPr>
                <w:rFonts w:hint="eastAsia" w:ascii="仿宋_GB2312" w:hAnsi="仿宋_GB2312" w:eastAsia="仿宋_GB2312" w:cs="仿宋_GB2312"/>
                <w:color w:val="auto"/>
                <w:kern w:val="0"/>
                <w:szCs w:val="21"/>
                <w:lang w:eastAsia="zh-CN"/>
              </w:rPr>
              <w:t>。</w:t>
            </w:r>
          </w:p>
        </w:tc>
        <w:tc>
          <w:tcPr>
            <w:tcW w:w="1249" w:type="dxa"/>
            <w:tcBorders>
              <w:top w:val="single" w:color="auto" w:sz="4" w:space="0"/>
              <w:left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c>
          <w:tcPr>
            <w:tcW w:w="760" w:type="dxa"/>
            <w:tcBorders>
              <w:top w:val="single" w:color="auto" w:sz="4" w:space="0"/>
              <w:left w:val="single" w:color="auto" w:sz="4" w:space="0"/>
            </w:tcBorders>
            <w:noWrap w:val="0"/>
            <w:vAlign w:val="center"/>
          </w:tcPr>
          <w:p>
            <w:pPr>
              <w:spacing w:line="280" w:lineRule="exact"/>
              <w:rPr>
                <w:rFonts w:hint="eastAsia" w:ascii="仿宋_GB2312" w:hAnsi="仿宋_GB2312" w:eastAsia="仿宋_GB2312" w:cs="仿宋_GB2312"/>
                <w:color w:val="auto"/>
                <w:kern w:val="0"/>
                <w:szCs w:val="21"/>
              </w:rPr>
            </w:pPr>
          </w:p>
        </w:tc>
      </w:tr>
    </w:tbl>
    <w:p>
      <w:pPr>
        <w:spacing w:line="240" w:lineRule="exact"/>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考核机构：               考核人员签名：</w:t>
      </w:r>
    </w:p>
    <w:p>
      <w:pPr>
        <w:jc w:val="both"/>
        <w:rPr>
          <w:rFonts w:hint="default" w:ascii="黑体" w:hAnsi="黑体" w:eastAsia="黑体" w:cs="黑体"/>
          <w:color w:val="auto"/>
          <w:sz w:val="36"/>
          <w:szCs w:val="36"/>
          <w:lang w:val="en-US" w:eastAsia="zh-CN"/>
        </w:rPr>
      </w:pPr>
      <w:r>
        <w:rPr>
          <w:rFonts w:hint="eastAsia"/>
          <w:sz w:val="32"/>
          <w:szCs w:val="32"/>
          <w:lang w:val="en-US" w:eastAsia="zh-CN"/>
        </w:rPr>
        <w:t>附件2：</w:t>
      </w:r>
    </w:p>
    <w:p>
      <w:pPr>
        <w:jc w:val="center"/>
        <w:rPr>
          <w:rFonts w:ascii="黑体" w:eastAsia="黑体"/>
          <w:color w:val="auto"/>
          <w:sz w:val="36"/>
          <w:szCs w:val="36"/>
        </w:rPr>
      </w:pPr>
      <w:r>
        <w:rPr>
          <w:rFonts w:hint="eastAsia" w:ascii="黑体" w:eastAsia="黑体"/>
          <w:color w:val="auto"/>
          <w:sz w:val="36"/>
          <w:szCs w:val="36"/>
        </w:rPr>
        <w:t>公交线路服务质量考核评分表</w:t>
      </w:r>
    </w:p>
    <w:p>
      <w:pP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公交线路：      车号：        检查时间：       驾驶员姓名：         资格证号：</w:t>
      </w:r>
    </w:p>
    <w:tbl>
      <w:tblPr>
        <w:tblStyle w:val="6"/>
        <w:tblpPr w:leftFromText="180" w:rightFromText="180" w:vertAnchor="text" w:horzAnchor="margin" w:tblpXSpec="center" w:tblpY="141"/>
        <w:tblOverlap w:val="never"/>
        <w:tblW w:w="96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7194"/>
        <w:gridCol w:w="637"/>
        <w:gridCol w:w="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1113" w:type="dxa"/>
            <w:noWrap w:val="0"/>
            <w:vAlign w:val="center"/>
          </w:tcPr>
          <w:p>
            <w:pPr>
              <w:jc w:val="center"/>
              <w:rPr>
                <w:rFonts w:hint="eastAsia" w:ascii="Arial" w:hAnsi="Arial" w:cs="Arial"/>
                <w:color w:val="auto"/>
                <w:kern w:val="0"/>
                <w:szCs w:val="18"/>
              </w:rPr>
            </w:pPr>
            <w:r>
              <w:rPr>
                <w:rFonts w:hint="eastAsia" w:ascii="Arial" w:hAnsi="Arial" w:cs="Arial"/>
                <w:color w:val="auto"/>
                <w:kern w:val="0"/>
                <w:szCs w:val="18"/>
              </w:rPr>
              <w:t>考核项目</w:t>
            </w:r>
          </w:p>
        </w:tc>
        <w:tc>
          <w:tcPr>
            <w:tcW w:w="7194" w:type="dxa"/>
            <w:tcBorders>
              <w:right w:val="single" w:color="auto" w:sz="4" w:space="0"/>
            </w:tcBorders>
            <w:noWrap w:val="0"/>
            <w:vAlign w:val="center"/>
          </w:tcPr>
          <w:p>
            <w:pPr>
              <w:jc w:val="center"/>
              <w:rPr>
                <w:rFonts w:hint="eastAsia" w:ascii="Arial" w:hAnsi="Arial" w:cs="Arial"/>
                <w:color w:val="auto"/>
                <w:kern w:val="0"/>
                <w:szCs w:val="18"/>
              </w:rPr>
            </w:pPr>
            <w:r>
              <w:rPr>
                <w:rFonts w:hint="eastAsia" w:ascii="Arial" w:hAnsi="Arial" w:cs="Arial"/>
                <w:color w:val="auto"/>
                <w:kern w:val="0"/>
                <w:szCs w:val="18"/>
              </w:rPr>
              <w:t>内  容</w:t>
            </w:r>
          </w:p>
        </w:tc>
        <w:tc>
          <w:tcPr>
            <w:tcW w:w="637" w:type="dxa"/>
            <w:tcBorders>
              <w:left w:val="single" w:color="auto" w:sz="4" w:space="0"/>
              <w:right w:val="single" w:color="auto" w:sz="4" w:space="0"/>
            </w:tcBorders>
            <w:noWrap w:val="0"/>
            <w:vAlign w:val="center"/>
          </w:tcPr>
          <w:p>
            <w:pPr>
              <w:jc w:val="center"/>
              <w:rPr>
                <w:rFonts w:hint="default" w:ascii="Arial" w:hAnsi="Arial" w:eastAsia="宋体" w:cs="Arial"/>
                <w:color w:val="auto"/>
                <w:kern w:val="0"/>
                <w:szCs w:val="18"/>
                <w:lang w:val="en-US" w:eastAsia="zh-CN"/>
              </w:rPr>
            </w:pPr>
            <w:r>
              <w:rPr>
                <w:rFonts w:hint="eastAsia" w:ascii="Arial" w:hAnsi="Arial" w:cs="Arial"/>
                <w:color w:val="auto"/>
                <w:kern w:val="0"/>
                <w:szCs w:val="18"/>
                <w:lang w:val="en-US" w:eastAsia="zh-CN"/>
              </w:rPr>
              <w:t>评分分置</w:t>
            </w:r>
          </w:p>
        </w:tc>
        <w:tc>
          <w:tcPr>
            <w:tcW w:w="696" w:type="dxa"/>
            <w:tcBorders>
              <w:left w:val="single" w:color="auto" w:sz="4" w:space="0"/>
            </w:tcBorders>
            <w:noWrap w:val="0"/>
            <w:vAlign w:val="center"/>
          </w:tcPr>
          <w:p>
            <w:pPr>
              <w:jc w:val="center"/>
              <w:rPr>
                <w:rFonts w:hint="eastAsia" w:ascii="Arial" w:hAnsi="Arial" w:cs="Arial"/>
                <w:color w:val="auto"/>
                <w:kern w:val="0"/>
                <w:szCs w:val="18"/>
              </w:rPr>
            </w:pPr>
            <w:r>
              <w:rPr>
                <w:rFonts w:hint="eastAsia" w:ascii="Arial" w:hAnsi="Arial" w:cs="Arial"/>
                <w:color w:val="auto"/>
                <w:kern w:val="0"/>
                <w:szCs w:val="18"/>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1113" w:type="dxa"/>
            <w:vMerge w:val="restart"/>
            <w:noWrap w:val="0"/>
            <w:vAlign w:val="center"/>
          </w:tcPr>
          <w:p>
            <w:pPr>
              <w:spacing w:line="24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服务设施、标识</w:t>
            </w:r>
          </w:p>
          <w:p>
            <w:pPr>
              <w:spacing w:line="240" w:lineRule="exact"/>
              <w:jc w:val="center"/>
              <w:rPr>
                <w:rFonts w:hint="eastAsia" w:ascii="Arial" w:hAnsi="Arial" w:cs="Arial"/>
                <w:color w:val="auto"/>
                <w:kern w:val="0"/>
                <w:szCs w:val="18"/>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分</w:t>
            </w:r>
            <w:r>
              <w:rPr>
                <w:rFonts w:hint="eastAsia" w:ascii="仿宋_GB2312" w:hAnsi="仿宋_GB2312" w:eastAsia="仿宋_GB2312" w:cs="仿宋_GB2312"/>
                <w:color w:val="auto"/>
                <w:szCs w:val="32"/>
                <w:lang w:eastAsia="zh-CN"/>
              </w:rPr>
              <w:t>）</w:t>
            </w:r>
          </w:p>
        </w:tc>
        <w:tc>
          <w:tcPr>
            <w:tcW w:w="7194" w:type="dxa"/>
            <w:tcBorders>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自动报站器、视频监视器等车内设施完好</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pacing w:val="-14"/>
                <w:szCs w:val="32"/>
                <w:lang w:val="en-US" w:eastAsia="zh-CN"/>
              </w:rPr>
              <w:t>每项扣0.5分，扣完为止</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 xml:space="preserve"> </w:t>
            </w:r>
            <w:r>
              <w:rPr>
                <w:rFonts w:hint="eastAsia" w:ascii="仿宋_GB2312" w:hAnsi="仿宋_GB2312" w:eastAsia="仿宋_GB2312" w:cs="仿宋_GB2312"/>
                <w:color w:val="auto"/>
                <w:spacing w:val="-14"/>
                <w:szCs w:val="32"/>
              </w:rPr>
              <w:t xml:space="preserve"> </w:t>
            </w:r>
          </w:p>
        </w:tc>
        <w:tc>
          <w:tcPr>
            <w:tcW w:w="637" w:type="dxa"/>
            <w:tcBorders>
              <w:left w:val="single" w:color="auto" w:sz="4" w:space="0"/>
              <w:bottom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Cs w:val="18"/>
                <w:lang w:val="en-US" w:eastAsia="zh-CN"/>
              </w:rPr>
            </w:pPr>
            <w:r>
              <w:rPr>
                <w:rFonts w:hint="eastAsia" w:ascii="Arial" w:hAnsi="Arial" w:cs="Arial"/>
                <w:color w:val="auto"/>
                <w:kern w:val="0"/>
                <w:szCs w:val="18"/>
                <w:lang w:val="en-US" w:eastAsia="zh-CN"/>
              </w:rPr>
              <w:t>1</w:t>
            </w:r>
          </w:p>
        </w:tc>
        <w:tc>
          <w:tcPr>
            <w:tcW w:w="696" w:type="dxa"/>
            <w:tcBorders>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8" w:hRule="atLeast"/>
        </w:trPr>
        <w:tc>
          <w:tcPr>
            <w:tcW w:w="1113" w:type="dxa"/>
            <w:vMerge w:val="continue"/>
            <w:noWrap w:val="0"/>
            <w:vAlign w:val="center"/>
          </w:tcPr>
          <w:p>
            <w:pPr>
              <w:spacing w:line="280" w:lineRule="exact"/>
              <w:rPr>
                <w:rFonts w:hint="eastAsia" w:ascii="Arial" w:hAnsi="Arial" w:cs="Arial"/>
                <w:color w:val="auto"/>
                <w:kern w:val="0"/>
                <w:szCs w:val="18"/>
              </w:rPr>
            </w:pPr>
          </w:p>
        </w:tc>
        <w:tc>
          <w:tcPr>
            <w:tcW w:w="7194" w:type="dxa"/>
            <w:tcBorders>
              <w:top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pacing w:val="-14"/>
                <w:szCs w:val="32"/>
              </w:rPr>
            </w:pPr>
            <w:r>
              <w:rPr>
                <w:rFonts w:hint="eastAsia" w:ascii="仿宋_GB2312" w:hAnsi="仿宋_GB2312" w:eastAsia="仿宋_GB2312" w:cs="仿宋_GB2312"/>
                <w:color w:val="auto"/>
                <w:spacing w:val="-14"/>
                <w:szCs w:val="32"/>
              </w:rPr>
              <w:t>张贴本线路的走向、站点、票价、投诉、监督电话号码、乘客须知、服务公约等</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每项扣0.5分，扣完为止</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 xml:space="preserve"> </w:t>
            </w:r>
            <w:r>
              <w:rPr>
                <w:rFonts w:hint="eastAsia" w:ascii="仿宋_GB2312" w:hAnsi="仿宋_GB2312" w:eastAsia="仿宋_GB2312" w:cs="仿宋_GB2312"/>
                <w:color w:val="auto"/>
                <w:spacing w:val="-14"/>
                <w:szCs w:val="32"/>
              </w:rPr>
              <w:t xml:space="preserve"> </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Cs w:val="18"/>
                <w:lang w:val="en-US" w:eastAsia="zh-CN"/>
              </w:rPr>
            </w:pPr>
            <w:r>
              <w:rPr>
                <w:rFonts w:hint="eastAsia" w:ascii="Arial" w:hAnsi="Arial" w:cs="Arial"/>
                <w:color w:val="auto"/>
                <w:kern w:val="0"/>
                <w:szCs w:val="18"/>
                <w:lang w:val="en-US" w:eastAsia="zh-CN"/>
              </w:rPr>
              <w:t>2</w:t>
            </w:r>
          </w:p>
        </w:tc>
        <w:tc>
          <w:tcPr>
            <w:tcW w:w="696" w:type="dxa"/>
            <w:tcBorders>
              <w:top w:val="single" w:color="auto" w:sz="4" w:space="0"/>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2" w:hRule="atLeast"/>
        </w:trPr>
        <w:tc>
          <w:tcPr>
            <w:tcW w:w="1113" w:type="dxa"/>
            <w:vMerge w:val="continue"/>
            <w:noWrap w:val="0"/>
            <w:vAlign w:val="center"/>
          </w:tcPr>
          <w:p>
            <w:pPr>
              <w:spacing w:line="280" w:lineRule="exact"/>
              <w:rPr>
                <w:rFonts w:hint="eastAsia" w:ascii="Arial" w:hAnsi="Arial" w:cs="Arial"/>
                <w:color w:val="auto"/>
                <w:kern w:val="0"/>
                <w:szCs w:val="18"/>
              </w:rPr>
            </w:pPr>
          </w:p>
        </w:tc>
        <w:tc>
          <w:tcPr>
            <w:tcW w:w="7194" w:type="dxa"/>
            <w:tcBorders>
              <w:top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车厢内上车门附近应设儿童购票高度标线</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老幼病残孕座席应设置标志</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设有小型垃圾容器</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各种标志清晰、无破损</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每项扣0.5分，扣完为止</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 xml:space="preserve"> </w:t>
            </w:r>
            <w:r>
              <w:rPr>
                <w:rFonts w:hint="eastAsia" w:ascii="仿宋_GB2312" w:hAnsi="仿宋_GB2312" w:eastAsia="仿宋_GB2312" w:cs="仿宋_GB2312"/>
                <w:color w:val="auto"/>
                <w:spacing w:val="-14"/>
                <w:szCs w:val="32"/>
              </w:rPr>
              <w:t xml:space="preserve"> </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Cs w:val="18"/>
                <w:lang w:val="en-US" w:eastAsia="zh-CN"/>
              </w:rPr>
            </w:pPr>
            <w:r>
              <w:rPr>
                <w:rFonts w:hint="eastAsia" w:ascii="Arial" w:hAnsi="Arial" w:cs="Arial"/>
                <w:color w:val="auto"/>
                <w:kern w:val="0"/>
                <w:szCs w:val="18"/>
                <w:lang w:val="en-US" w:eastAsia="zh-CN"/>
              </w:rPr>
              <w:t>2</w:t>
            </w:r>
          </w:p>
        </w:tc>
        <w:tc>
          <w:tcPr>
            <w:tcW w:w="696" w:type="dxa"/>
            <w:tcBorders>
              <w:top w:val="single" w:color="auto" w:sz="4" w:space="0"/>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trPr>
        <w:tc>
          <w:tcPr>
            <w:tcW w:w="1113" w:type="dxa"/>
            <w:vMerge w:val="restart"/>
            <w:tcBorders>
              <w:top w:val="single" w:color="auto" w:sz="4" w:space="0"/>
            </w:tcBorders>
            <w:noWrap w:val="0"/>
            <w:vAlign w:val="center"/>
          </w:tcPr>
          <w:p>
            <w:pPr>
              <w:spacing w:line="28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车容和卫生</w:t>
            </w:r>
          </w:p>
          <w:p>
            <w:pPr>
              <w:spacing w:line="280" w:lineRule="exact"/>
              <w:jc w:val="center"/>
              <w:rPr>
                <w:rFonts w:hint="eastAsia" w:ascii="Arial" w:hAnsi="Arial" w:cs="Arial"/>
                <w:color w:val="auto"/>
                <w:kern w:val="0"/>
                <w:szCs w:val="18"/>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分</w:t>
            </w:r>
            <w:r>
              <w:rPr>
                <w:rFonts w:hint="eastAsia" w:ascii="仿宋_GB2312" w:hAnsi="仿宋_GB2312" w:eastAsia="仿宋_GB2312" w:cs="仿宋_GB2312"/>
                <w:color w:val="auto"/>
                <w:szCs w:val="32"/>
                <w:lang w:eastAsia="zh-CN"/>
              </w:rPr>
              <w:t>）</w:t>
            </w:r>
          </w:p>
        </w:tc>
        <w:tc>
          <w:tcPr>
            <w:tcW w:w="7194" w:type="dxa"/>
            <w:tcBorders>
              <w:top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车身外表漆面整洁、完好、无剐痕、无污垢</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每项扣0.5分，扣完为止</w:t>
            </w:r>
            <w:r>
              <w:rPr>
                <w:rFonts w:hint="eastAsia" w:ascii="仿宋_GB2312" w:hAnsi="仿宋_GB2312" w:eastAsia="仿宋_GB2312" w:cs="仿宋_GB2312"/>
                <w:color w:val="auto"/>
                <w:spacing w:val="-14"/>
                <w:szCs w:val="32"/>
                <w:lang w:eastAsia="zh-CN"/>
              </w:rPr>
              <w:t>）</w:t>
            </w:r>
          </w:p>
        </w:tc>
        <w:tc>
          <w:tcPr>
            <w:tcW w:w="637" w:type="dxa"/>
            <w:tcBorders>
              <w:top w:val="single" w:color="auto" w:sz="4" w:space="0"/>
              <w:left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Cs w:val="18"/>
                <w:lang w:val="en-US" w:eastAsia="zh-CN"/>
              </w:rPr>
            </w:pPr>
            <w:r>
              <w:rPr>
                <w:rFonts w:hint="eastAsia" w:ascii="Arial" w:hAnsi="Arial" w:cs="Arial"/>
                <w:color w:val="auto"/>
                <w:kern w:val="0"/>
                <w:szCs w:val="18"/>
                <w:lang w:val="en-US" w:eastAsia="zh-CN"/>
              </w:rPr>
              <w:t>1</w:t>
            </w:r>
          </w:p>
        </w:tc>
        <w:tc>
          <w:tcPr>
            <w:tcW w:w="696" w:type="dxa"/>
            <w:tcBorders>
              <w:top w:val="single" w:color="auto" w:sz="4" w:space="0"/>
              <w:left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1113" w:type="dxa"/>
            <w:vMerge w:val="continue"/>
            <w:noWrap w:val="0"/>
            <w:vAlign w:val="center"/>
          </w:tcPr>
          <w:p>
            <w:pPr>
              <w:spacing w:line="280" w:lineRule="exact"/>
              <w:rPr>
                <w:rFonts w:hint="eastAsia" w:ascii="Arial" w:hAnsi="Arial" w:cs="Arial"/>
                <w:color w:val="auto"/>
                <w:kern w:val="0"/>
                <w:szCs w:val="18"/>
              </w:rPr>
            </w:pPr>
          </w:p>
        </w:tc>
        <w:tc>
          <w:tcPr>
            <w:tcW w:w="7194" w:type="dxa"/>
            <w:tcBorders>
              <w:right w:val="single" w:color="auto" w:sz="4" w:space="0"/>
            </w:tcBorders>
            <w:noWrap w:val="0"/>
            <w:vAlign w:val="center"/>
          </w:tcPr>
          <w:p>
            <w:pPr>
              <w:spacing w:line="280" w:lineRule="exact"/>
              <w:jc w:val="lef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每天出车前车辆进行清洗，保持车辆内外干净清洁</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前后挡风玻璃及边窗玻璃齐全、清洁、干净明亮</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每项扣0.5分，扣完为止</w:t>
            </w:r>
            <w:r>
              <w:rPr>
                <w:rFonts w:hint="eastAsia" w:ascii="仿宋_GB2312" w:hAnsi="仿宋_GB2312" w:eastAsia="仿宋_GB2312" w:cs="仿宋_GB2312"/>
                <w:color w:val="auto"/>
                <w:spacing w:val="-14"/>
                <w:szCs w:val="32"/>
                <w:lang w:eastAsia="zh-CN"/>
              </w:rPr>
              <w:t>）</w:t>
            </w:r>
          </w:p>
        </w:tc>
        <w:tc>
          <w:tcPr>
            <w:tcW w:w="637" w:type="dxa"/>
            <w:tcBorders>
              <w:left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Cs w:val="18"/>
                <w:lang w:val="en-US" w:eastAsia="zh-CN"/>
              </w:rPr>
            </w:pPr>
            <w:r>
              <w:rPr>
                <w:rFonts w:hint="eastAsia" w:ascii="Arial" w:hAnsi="Arial" w:cs="Arial"/>
                <w:color w:val="auto"/>
                <w:kern w:val="0"/>
                <w:szCs w:val="18"/>
                <w:lang w:val="en-US" w:eastAsia="zh-CN"/>
              </w:rPr>
              <w:t>2</w:t>
            </w:r>
          </w:p>
        </w:tc>
        <w:tc>
          <w:tcPr>
            <w:tcW w:w="696" w:type="dxa"/>
            <w:tcBorders>
              <w:left w:val="single" w:color="auto" w:sz="4" w:space="0"/>
            </w:tcBorders>
            <w:noWrap w:val="0"/>
            <w:vAlign w:val="top"/>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3" w:hRule="atLeast"/>
        </w:trPr>
        <w:tc>
          <w:tcPr>
            <w:tcW w:w="1113" w:type="dxa"/>
            <w:vMerge w:val="continue"/>
            <w:noWrap w:val="0"/>
            <w:vAlign w:val="center"/>
          </w:tcPr>
          <w:p>
            <w:pPr>
              <w:spacing w:line="280" w:lineRule="exact"/>
              <w:rPr>
                <w:rFonts w:hint="eastAsia" w:ascii="Arial" w:hAnsi="Arial" w:cs="Arial"/>
                <w:color w:val="auto"/>
                <w:kern w:val="0"/>
                <w:szCs w:val="18"/>
              </w:rPr>
            </w:pPr>
          </w:p>
        </w:tc>
        <w:tc>
          <w:tcPr>
            <w:tcW w:w="7194" w:type="dxa"/>
            <w:tcBorders>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仪表台、驾驶室、门泵、座位周边干净，无明显垃圾</w:t>
            </w:r>
            <w:r>
              <w:rPr>
                <w:rFonts w:hint="eastAsia" w:ascii="仿宋_GB2312" w:hAnsi="仿宋_GB2312" w:eastAsia="仿宋_GB2312" w:cs="仿宋_GB2312"/>
                <w:color w:val="auto"/>
                <w:szCs w:val="32"/>
                <w:lang w:val="en-US" w:eastAsia="zh-CN"/>
              </w:rPr>
              <w:t xml:space="preserve"> ，</w:t>
            </w:r>
            <w:r>
              <w:rPr>
                <w:rFonts w:hint="eastAsia" w:ascii="仿宋_GB2312" w:hAnsi="仿宋_GB2312" w:eastAsia="仿宋_GB2312" w:cs="仿宋_GB2312"/>
                <w:color w:val="auto"/>
                <w:szCs w:val="32"/>
              </w:rPr>
              <w:t>车内座位、地板、车顶板、侧墙板完好、清洁卫生，到站一抹一扫，坚持一天一洗</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每项扣0.5分，扣完为止</w:t>
            </w:r>
            <w:r>
              <w:rPr>
                <w:rFonts w:hint="eastAsia" w:ascii="仿宋_GB2312" w:hAnsi="仿宋_GB2312" w:eastAsia="仿宋_GB2312" w:cs="仿宋_GB2312"/>
                <w:color w:val="auto"/>
                <w:spacing w:val="-14"/>
                <w:szCs w:val="32"/>
                <w:lang w:eastAsia="zh-CN"/>
              </w:rPr>
              <w:t>）</w:t>
            </w:r>
          </w:p>
        </w:tc>
        <w:tc>
          <w:tcPr>
            <w:tcW w:w="637" w:type="dxa"/>
            <w:tcBorders>
              <w:left w:val="single" w:color="auto" w:sz="4" w:space="0"/>
              <w:bottom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Cs w:val="18"/>
                <w:lang w:val="en-US" w:eastAsia="zh-CN"/>
              </w:rPr>
            </w:pPr>
            <w:r>
              <w:rPr>
                <w:rFonts w:hint="eastAsia" w:ascii="Arial" w:hAnsi="Arial" w:cs="Arial"/>
                <w:color w:val="auto"/>
                <w:kern w:val="0"/>
                <w:szCs w:val="18"/>
                <w:lang w:val="en-US" w:eastAsia="zh-CN"/>
              </w:rPr>
              <w:t>2</w:t>
            </w:r>
          </w:p>
        </w:tc>
        <w:tc>
          <w:tcPr>
            <w:tcW w:w="696" w:type="dxa"/>
            <w:tcBorders>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1113" w:type="dxa"/>
            <w:vMerge w:val="restart"/>
            <w:noWrap w:val="0"/>
            <w:vAlign w:val="center"/>
          </w:tcPr>
          <w:p>
            <w:pPr>
              <w:spacing w:line="28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经营行为（</w:t>
            </w:r>
            <w:r>
              <w:rPr>
                <w:rFonts w:hint="eastAsia" w:ascii="仿宋_GB2312" w:hAnsi="仿宋_GB2312" w:eastAsia="仿宋_GB2312" w:cs="仿宋_GB2312"/>
                <w:color w:val="auto"/>
                <w:szCs w:val="32"/>
                <w:lang w:val="en-US" w:eastAsia="zh-CN"/>
              </w:rPr>
              <w:t>50</w:t>
            </w:r>
            <w:r>
              <w:rPr>
                <w:rFonts w:hint="eastAsia" w:ascii="仿宋_GB2312" w:hAnsi="仿宋_GB2312" w:eastAsia="仿宋_GB2312" w:cs="仿宋_GB2312"/>
                <w:color w:val="auto"/>
                <w:szCs w:val="32"/>
              </w:rPr>
              <w:t>分）</w:t>
            </w:r>
          </w:p>
        </w:tc>
        <w:tc>
          <w:tcPr>
            <w:tcW w:w="7194" w:type="dxa"/>
            <w:tcBorders>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驾驶员具有相应的职业资格，按要求佩带上岗证、卡</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每项扣0.5分，扣完为止</w:t>
            </w:r>
            <w:r>
              <w:rPr>
                <w:rFonts w:hint="eastAsia" w:ascii="仿宋_GB2312" w:hAnsi="仿宋_GB2312" w:eastAsia="仿宋_GB2312" w:cs="仿宋_GB2312"/>
                <w:color w:val="auto"/>
                <w:spacing w:val="-14"/>
                <w:szCs w:val="32"/>
                <w:lang w:eastAsia="zh-CN"/>
              </w:rPr>
              <w:t>）</w:t>
            </w:r>
          </w:p>
        </w:tc>
        <w:tc>
          <w:tcPr>
            <w:tcW w:w="637" w:type="dxa"/>
            <w:tcBorders>
              <w:left w:val="single" w:color="auto" w:sz="4" w:space="0"/>
              <w:bottom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Cs w:val="18"/>
                <w:lang w:val="en-US" w:eastAsia="zh-CN"/>
              </w:rPr>
            </w:pPr>
            <w:r>
              <w:rPr>
                <w:rFonts w:hint="eastAsia" w:ascii="Arial" w:hAnsi="Arial" w:cs="Arial"/>
                <w:color w:val="auto"/>
                <w:kern w:val="0"/>
                <w:szCs w:val="18"/>
                <w:lang w:val="en-US" w:eastAsia="zh-CN"/>
              </w:rPr>
              <w:t>1</w:t>
            </w:r>
          </w:p>
        </w:tc>
        <w:tc>
          <w:tcPr>
            <w:tcW w:w="696" w:type="dxa"/>
            <w:tcBorders>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0" w:hRule="atLeast"/>
        </w:trPr>
        <w:tc>
          <w:tcPr>
            <w:tcW w:w="1113" w:type="dxa"/>
            <w:vMerge w:val="continue"/>
            <w:noWrap w:val="0"/>
            <w:vAlign w:val="center"/>
          </w:tcPr>
          <w:p>
            <w:pPr>
              <w:spacing w:line="280" w:lineRule="exact"/>
              <w:rPr>
                <w:rFonts w:hint="eastAsia" w:ascii="仿宋_GB2312" w:hAnsi="仿宋_GB2312" w:eastAsia="仿宋_GB2312" w:cs="仿宋_GB2312"/>
                <w:color w:val="auto"/>
                <w:szCs w:val="32"/>
              </w:rPr>
            </w:pPr>
          </w:p>
        </w:tc>
        <w:tc>
          <w:tcPr>
            <w:tcW w:w="7194" w:type="dxa"/>
            <w:tcBorders>
              <w:top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营运中应有序进站上客，不得发生擅自越站甩客、拒载等违规行</w:t>
            </w:r>
            <w:r>
              <w:rPr>
                <w:rFonts w:hint="eastAsia" w:ascii="仿宋_GB2312" w:hAnsi="仿宋_GB2312" w:eastAsia="仿宋_GB2312" w:cs="仿宋_GB2312"/>
                <w:color w:val="auto"/>
                <w:szCs w:val="32"/>
                <w:lang w:val="en-US" w:eastAsia="zh-CN"/>
              </w:rPr>
              <w:t>为</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每发生一次扣2分，扣完为止</w:t>
            </w:r>
            <w:r>
              <w:rPr>
                <w:rFonts w:hint="eastAsia" w:ascii="仿宋_GB2312" w:hAnsi="仿宋_GB2312" w:eastAsia="仿宋_GB2312" w:cs="仿宋_GB2312"/>
                <w:color w:val="auto"/>
                <w:spacing w:val="-14"/>
                <w:szCs w:val="32"/>
                <w:lang w:eastAsia="zh-CN"/>
              </w:rPr>
              <w:t>）</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Arial" w:hAnsi="Arial" w:eastAsia="宋体" w:cs="Arial"/>
                <w:color w:val="auto"/>
                <w:kern w:val="0"/>
                <w:szCs w:val="18"/>
                <w:lang w:val="en-US" w:eastAsia="zh-CN"/>
              </w:rPr>
            </w:pPr>
            <w:r>
              <w:rPr>
                <w:rFonts w:hint="eastAsia" w:ascii="Arial" w:hAnsi="Arial" w:cs="Arial"/>
                <w:color w:val="auto"/>
                <w:kern w:val="0"/>
                <w:szCs w:val="18"/>
                <w:lang w:val="en-US" w:eastAsia="zh-CN"/>
              </w:rPr>
              <w:t>18</w:t>
            </w:r>
          </w:p>
        </w:tc>
        <w:tc>
          <w:tcPr>
            <w:tcW w:w="696" w:type="dxa"/>
            <w:tcBorders>
              <w:top w:val="single" w:color="auto" w:sz="4" w:space="0"/>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01" w:hRule="atLeast"/>
        </w:trPr>
        <w:tc>
          <w:tcPr>
            <w:tcW w:w="1113" w:type="dxa"/>
            <w:vMerge w:val="continue"/>
            <w:noWrap w:val="0"/>
            <w:vAlign w:val="center"/>
          </w:tcPr>
          <w:p>
            <w:pPr>
              <w:spacing w:line="280" w:lineRule="exact"/>
              <w:rPr>
                <w:rFonts w:hint="eastAsia" w:ascii="仿宋_GB2312" w:hAnsi="仿宋_GB2312" w:eastAsia="仿宋_GB2312" w:cs="仿宋_GB2312"/>
                <w:color w:val="auto"/>
                <w:szCs w:val="32"/>
              </w:rPr>
            </w:pPr>
          </w:p>
        </w:tc>
        <w:tc>
          <w:tcPr>
            <w:tcW w:w="7194" w:type="dxa"/>
            <w:tcBorders>
              <w:top w:val="single" w:color="auto" w:sz="4" w:space="0"/>
              <w:bottom w:val="single" w:color="auto" w:sz="4" w:space="0"/>
              <w:right w:val="single" w:color="auto" w:sz="4" w:space="0"/>
            </w:tcBorders>
            <w:noWrap w:val="0"/>
            <w:vAlign w:val="center"/>
          </w:tcPr>
          <w:p>
            <w:pPr>
              <w:spacing w:line="280" w:lineRule="exact"/>
              <w:rPr>
                <w:rFonts w:hint="default" w:ascii="仿宋_GB2312" w:hAnsi="仿宋_GB2312" w:eastAsia="仿宋_GB2312" w:cs="仿宋_GB2312"/>
                <w:color w:val="auto"/>
                <w:kern w:val="2"/>
                <w:sz w:val="21"/>
                <w:szCs w:val="32"/>
                <w:lang w:val="en-US" w:eastAsia="zh-CN" w:bidi="ar-SA"/>
              </w:rPr>
            </w:pPr>
            <w:r>
              <w:rPr>
                <w:rFonts w:hint="eastAsia" w:ascii="仿宋_GB2312" w:hAnsi="仿宋_GB2312" w:eastAsia="仿宋_GB2312" w:cs="仿宋_GB2312"/>
                <w:color w:val="auto"/>
                <w:szCs w:val="32"/>
                <w:lang w:val="en-US" w:eastAsia="zh-CN"/>
              </w:rPr>
              <w:t xml:space="preserve">不准时发车的，不按规定的线路和站点行车的 </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每发生一次扣2分，扣完为止</w:t>
            </w:r>
            <w:r>
              <w:rPr>
                <w:rFonts w:hint="eastAsia" w:ascii="仿宋_GB2312" w:hAnsi="仿宋_GB2312" w:eastAsia="仿宋_GB2312" w:cs="仿宋_GB2312"/>
                <w:color w:val="auto"/>
                <w:spacing w:val="-14"/>
                <w:szCs w:val="32"/>
                <w:lang w:eastAsia="zh-CN"/>
              </w:rPr>
              <w:t>）</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Arial" w:hAnsi="Arial" w:eastAsia="宋体" w:cs="Arial"/>
                <w:color w:val="auto"/>
                <w:kern w:val="0"/>
                <w:sz w:val="21"/>
                <w:szCs w:val="18"/>
                <w:lang w:val="en-US" w:eastAsia="zh-CN" w:bidi="ar-SA"/>
              </w:rPr>
            </w:pPr>
            <w:r>
              <w:rPr>
                <w:rFonts w:hint="eastAsia" w:ascii="Arial" w:hAnsi="Arial" w:cs="Arial"/>
                <w:color w:val="auto"/>
                <w:kern w:val="0"/>
                <w:szCs w:val="18"/>
                <w:lang w:val="en-US" w:eastAsia="zh-CN"/>
              </w:rPr>
              <w:t>20</w:t>
            </w:r>
          </w:p>
        </w:tc>
        <w:tc>
          <w:tcPr>
            <w:tcW w:w="696" w:type="dxa"/>
            <w:tcBorders>
              <w:top w:val="single" w:color="auto" w:sz="4" w:space="0"/>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1113" w:type="dxa"/>
            <w:vMerge w:val="continue"/>
            <w:noWrap w:val="0"/>
            <w:vAlign w:val="center"/>
          </w:tcPr>
          <w:p>
            <w:pPr>
              <w:spacing w:line="280" w:lineRule="exact"/>
              <w:rPr>
                <w:rFonts w:hint="eastAsia" w:ascii="仿宋_GB2312" w:hAnsi="仿宋_GB2312" w:eastAsia="仿宋_GB2312" w:cs="仿宋_GB2312"/>
                <w:color w:val="auto"/>
                <w:szCs w:val="32"/>
              </w:rPr>
            </w:pPr>
          </w:p>
        </w:tc>
        <w:tc>
          <w:tcPr>
            <w:tcW w:w="7194" w:type="dxa"/>
            <w:tcBorders>
              <w:top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2"/>
                <w:sz w:val="21"/>
                <w:szCs w:val="32"/>
                <w:lang w:val="en-US" w:eastAsia="zh-CN" w:bidi="ar-SA"/>
              </w:rPr>
            </w:pPr>
            <w:r>
              <w:rPr>
                <w:rFonts w:hint="eastAsia" w:ascii="仿宋_GB2312" w:hAnsi="仿宋_GB2312" w:eastAsia="仿宋_GB2312" w:cs="仿宋_GB2312"/>
                <w:color w:val="auto"/>
                <w:szCs w:val="32"/>
              </w:rPr>
              <w:t>城区线路逢站必停，不丢站甩客、不无站乱停，不故意滞站</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 xml:space="preserve">车未停稳、乘客没有上下车完毕就开关车门 </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每发生一次扣1分，扣完为止</w:t>
            </w:r>
            <w:r>
              <w:rPr>
                <w:rFonts w:hint="eastAsia" w:ascii="仿宋_GB2312" w:hAnsi="仿宋_GB2312" w:eastAsia="仿宋_GB2312" w:cs="仿宋_GB2312"/>
                <w:color w:val="auto"/>
                <w:spacing w:val="-14"/>
                <w:szCs w:val="32"/>
                <w:lang w:eastAsia="zh-CN"/>
              </w:rPr>
              <w:t>）</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 w:val="21"/>
                <w:szCs w:val="18"/>
                <w:lang w:val="en-US" w:eastAsia="zh-CN" w:bidi="ar-SA"/>
              </w:rPr>
            </w:pPr>
            <w:r>
              <w:rPr>
                <w:rFonts w:hint="eastAsia" w:ascii="Arial" w:hAnsi="Arial" w:cs="Arial"/>
                <w:color w:val="auto"/>
                <w:kern w:val="0"/>
                <w:szCs w:val="18"/>
                <w:lang w:val="en-US" w:eastAsia="zh-CN"/>
              </w:rPr>
              <w:t>5</w:t>
            </w:r>
          </w:p>
        </w:tc>
        <w:tc>
          <w:tcPr>
            <w:tcW w:w="696" w:type="dxa"/>
            <w:tcBorders>
              <w:top w:val="single" w:color="auto" w:sz="4" w:space="0"/>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15" w:hRule="atLeast"/>
        </w:trPr>
        <w:tc>
          <w:tcPr>
            <w:tcW w:w="1113" w:type="dxa"/>
            <w:vMerge w:val="continue"/>
            <w:noWrap w:val="0"/>
            <w:vAlign w:val="center"/>
          </w:tcPr>
          <w:p>
            <w:pPr>
              <w:spacing w:line="280" w:lineRule="exact"/>
              <w:rPr>
                <w:rFonts w:hint="eastAsia" w:ascii="仿宋_GB2312" w:hAnsi="仿宋_GB2312" w:eastAsia="仿宋_GB2312" w:cs="仿宋_GB2312"/>
                <w:color w:val="auto"/>
                <w:szCs w:val="32"/>
              </w:rPr>
            </w:pPr>
          </w:p>
        </w:tc>
        <w:tc>
          <w:tcPr>
            <w:tcW w:w="7194" w:type="dxa"/>
            <w:tcBorders>
              <w:top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pacing w:val="-14"/>
                <w:kern w:val="2"/>
                <w:sz w:val="21"/>
                <w:szCs w:val="32"/>
                <w:lang w:val="en-US" w:eastAsia="zh-CN" w:bidi="ar-SA"/>
              </w:rPr>
            </w:pPr>
            <w:r>
              <w:rPr>
                <w:rFonts w:hint="eastAsia" w:ascii="仿宋_GB2312" w:hAnsi="仿宋_GB2312" w:eastAsia="仿宋_GB2312" w:cs="仿宋_GB2312"/>
                <w:color w:val="auto"/>
                <w:spacing w:val="-14"/>
                <w:szCs w:val="32"/>
              </w:rPr>
              <w:t>按规定操作报站器、读卡机、GPS车载机等电子设备。报站器故障时，应人工报站</w:t>
            </w:r>
            <w:r>
              <w:rPr>
                <w:rFonts w:hint="eastAsia" w:ascii="仿宋_GB2312" w:hAnsi="仿宋_GB2312" w:eastAsia="仿宋_GB2312" w:cs="仿宋_GB2312"/>
                <w:color w:val="auto"/>
                <w:spacing w:val="-14"/>
                <w:szCs w:val="32"/>
                <w:lang w:val="en-US" w:eastAsia="zh-CN"/>
              </w:rPr>
              <w:t xml:space="preserve"> </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每项扣0.5分，扣完为止</w:t>
            </w:r>
            <w:r>
              <w:rPr>
                <w:rFonts w:hint="eastAsia" w:ascii="仿宋_GB2312" w:hAnsi="仿宋_GB2312" w:eastAsia="仿宋_GB2312" w:cs="仿宋_GB2312"/>
                <w:color w:val="auto"/>
                <w:spacing w:val="-14"/>
                <w:szCs w:val="32"/>
                <w:lang w:eastAsia="zh-CN"/>
              </w:rPr>
              <w:t>）</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 w:val="21"/>
                <w:szCs w:val="18"/>
                <w:lang w:val="en-US" w:eastAsia="zh-CN" w:bidi="ar-SA"/>
              </w:rPr>
            </w:pPr>
            <w:r>
              <w:rPr>
                <w:rFonts w:hint="eastAsia" w:ascii="Arial" w:hAnsi="Arial" w:cs="Arial"/>
                <w:color w:val="auto"/>
                <w:kern w:val="0"/>
                <w:szCs w:val="18"/>
                <w:lang w:val="en-US" w:eastAsia="zh-CN"/>
              </w:rPr>
              <w:t>1</w:t>
            </w:r>
          </w:p>
        </w:tc>
        <w:tc>
          <w:tcPr>
            <w:tcW w:w="696" w:type="dxa"/>
            <w:tcBorders>
              <w:top w:val="single" w:color="auto" w:sz="4" w:space="0"/>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96" w:hRule="atLeast"/>
        </w:trPr>
        <w:tc>
          <w:tcPr>
            <w:tcW w:w="1113" w:type="dxa"/>
            <w:vMerge w:val="continue"/>
            <w:noWrap w:val="0"/>
            <w:vAlign w:val="center"/>
          </w:tcPr>
          <w:p>
            <w:pPr>
              <w:spacing w:line="280" w:lineRule="exact"/>
              <w:rPr>
                <w:rFonts w:hint="eastAsia" w:ascii="仿宋_GB2312" w:hAnsi="仿宋_GB2312" w:eastAsia="仿宋_GB2312" w:cs="仿宋_GB2312"/>
                <w:color w:val="auto"/>
                <w:szCs w:val="32"/>
              </w:rPr>
            </w:pPr>
          </w:p>
        </w:tc>
        <w:tc>
          <w:tcPr>
            <w:tcW w:w="7194" w:type="dxa"/>
            <w:tcBorders>
              <w:top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行驶中发生抛锚未及时处理，安排乘客换乘</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color w:val="auto"/>
                <w:szCs w:val="32"/>
              </w:rPr>
              <w:t>按车内温度高于28度，低于12度相应开启冷暖空调</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每发生一次扣0.5分，扣完为止</w:t>
            </w:r>
            <w:r>
              <w:rPr>
                <w:rFonts w:hint="eastAsia" w:ascii="仿宋_GB2312" w:hAnsi="仿宋_GB2312" w:eastAsia="仿宋_GB2312" w:cs="仿宋_GB2312"/>
                <w:color w:val="auto"/>
                <w:spacing w:val="-14"/>
                <w:szCs w:val="32"/>
                <w:lang w:eastAsia="zh-CN"/>
              </w:rPr>
              <w:t>）</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Cs w:val="18"/>
                <w:lang w:val="en-US" w:eastAsia="zh-CN"/>
              </w:rPr>
            </w:pPr>
            <w:r>
              <w:rPr>
                <w:rFonts w:hint="eastAsia" w:ascii="Arial" w:hAnsi="Arial" w:cs="Arial"/>
                <w:color w:val="auto"/>
                <w:kern w:val="0"/>
                <w:szCs w:val="18"/>
                <w:lang w:val="en-US" w:eastAsia="zh-CN"/>
              </w:rPr>
              <w:t>1</w:t>
            </w:r>
          </w:p>
        </w:tc>
        <w:tc>
          <w:tcPr>
            <w:tcW w:w="696" w:type="dxa"/>
            <w:tcBorders>
              <w:top w:val="single" w:color="auto" w:sz="4" w:space="0"/>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trPr>
        <w:tc>
          <w:tcPr>
            <w:tcW w:w="1113" w:type="dxa"/>
            <w:vMerge w:val="continue"/>
            <w:noWrap w:val="0"/>
            <w:vAlign w:val="center"/>
          </w:tcPr>
          <w:p>
            <w:pPr>
              <w:spacing w:line="280" w:lineRule="exact"/>
              <w:rPr>
                <w:rFonts w:hint="eastAsia" w:ascii="仿宋_GB2312" w:hAnsi="仿宋_GB2312" w:eastAsia="仿宋_GB2312" w:cs="仿宋_GB2312"/>
                <w:color w:val="auto"/>
                <w:szCs w:val="32"/>
              </w:rPr>
            </w:pPr>
          </w:p>
        </w:tc>
        <w:tc>
          <w:tcPr>
            <w:tcW w:w="7194" w:type="dxa"/>
            <w:tcBorders>
              <w:top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kern w:val="2"/>
                <w:sz w:val="21"/>
                <w:szCs w:val="32"/>
                <w:lang w:val="en-US" w:eastAsia="zh-CN" w:bidi="ar-SA"/>
              </w:rPr>
            </w:pPr>
            <w:r>
              <w:rPr>
                <w:rFonts w:hint="eastAsia" w:ascii="仿宋_GB2312" w:hAnsi="仿宋_GB2312" w:eastAsia="仿宋_GB2312" w:cs="仿宋_GB2312"/>
                <w:color w:val="auto"/>
                <w:szCs w:val="32"/>
              </w:rPr>
              <w:t>严格执行物价部门核定的票价政策，不擅自提价或变相涨价</w:t>
            </w:r>
            <w:r>
              <w:rPr>
                <w:rFonts w:hint="eastAsia" w:ascii="仿宋_GB2312" w:hAnsi="仿宋_GB2312" w:eastAsia="仿宋_GB2312" w:cs="仿宋_GB2312"/>
                <w:color w:val="auto"/>
                <w:szCs w:val="32"/>
                <w:lang w:val="en-US" w:eastAsia="zh-CN"/>
              </w:rPr>
              <w:t>，未</w:t>
            </w:r>
            <w:r>
              <w:rPr>
                <w:rFonts w:hint="eastAsia" w:ascii="仿宋_GB2312" w:hAnsi="仿宋_GB2312" w:eastAsia="仿宋_GB2312" w:cs="仿宋_GB2312"/>
                <w:color w:val="auto"/>
                <w:szCs w:val="32"/>
              </w:rPr>
              <w:t>执行政府有关减免费乘车规定，并提供同等服务</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每发生一次扣0.5分，扣完为止</w:t>
            </w:r>
            <w:r>
              <w:rPr>
                <w:rFonts w:hint="eastAsia" w:ascii="仿宋_GB2312" w:hAnsi="仿宋_GB2312" w:eastAsia="仿宋_GB2312" w:cs="仿宋_GB2312"/>
                <w:color w:val="auto"/>
                <w:spacing w:val="-14"/>
                <w:szCs w:val="32"/>
                <w:lang w:eastAsia="zh-CN"/>
              </w:rPr>
              <w:t>）</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 w:val="21"/>
                <w:szCs w:val="18"/>
                <w:lang w:val="en-US" w:eastAsia="zh-CN" w:bidi="ar-SA"/>
              </w:rPr>
            </w:pPr>
            <w:r>
              <w:rPr>
                <w:rFonts w:hint="eastAsia" w:ascii="Arial" w:hAnsi="Arial" w:cs="Arial"/>
                <w:color w:val="auto"/>
                <w:kern w:val="0"/>
                <w:szCs w:val="18"/>
                <w:lang w:val="en-US" w:eastAsia="zh-CN"/>
              </w:rPr>
              <w:t>1</w:t>
            </w:r>
          </w:p>
        </w:tc>
        <w:tc>
          <w:tcPr>
            <w:tcW w:w="696" w:type="dxa"/>
            <w:tcBorders>
              <w:top w:val="single" w:color="auto" w:sz="4" w:space="0"/>
              <w:left w:val="single" w:color="auto" w:sz="4" w:space="0"/>
              <w:bottom w:val="single" w:color="auto" w:sz="4" w:space="0"/>
            </w:tcBorders>
            <w:noWrap w:val="0"/>
            <w:vAlign w:val="center"/>
          </w:tcPr>
          <w:p>
            <w:pPr>
              <w:spacing w:line="280" w:lineRule="exact"/>
              <w:rPr>
                <w:rFonts w:hint="eastAsia" w:ascii="Arial" w:hAnsi="Arial" w:eastAsia="宋体" w:cs="Arial"/>
                <w:color w:val="auto"/>
                <w:kern w:val="0"/>
                <w:sz w:val="21"/>
                <w:szCs w:val="1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1113" w:type="dxa"/>
            <w:vMerge w:val="continue"/>
            <w:noWrap w:val="0"/>
            <w:vAlign w:val="center"/>
          </w:tcPr>
          <w:p>
            <w:pPr>
              <w:spacing w:line="280" w:lineRule="exact"/>
              <w:rPr>
                <w:rFonts w:hint="eastAsia" w:ascii="仿宋_GB2312" w:hAnsi="仿宋_GB2312" w:eastAsia="仿宋_GB2312" w:cs="仿宋_GB2312"/>
                <w:color w:val="auto"/>
                <w:szCs w:val="32"/>
              </w:rPr>
            </w:pPr>
          </w:p>
        </w:tc>
        <w:tc>
          <w:tcPr>
            <w:tcW w:w="7194" w:type="dxa"/>
            <w:tcBorders>
              <w:top w:val="single" w:color="auto" w:sz="4" w:space="0"/>
              <w:bottom w:val="single" w:color="auto" w:sz="4" w:space="0"/>
              <w:right w:val="single" w:color="auto" w:sz="4" w:space="0"/>
            </w:tcBorders>
            <w:noWrap w:val="0"/>
            <w:vAlign w:val="center"/>
          </w:tcPr>
          <w:p>
            <w:pPr>
              <w:spacing w:line="280" w:lineRule="exact"/>
              <w:rPr>
                <w:rFonts w:hint="default" w:ascii="仿宋_GB2312" w:hAnsi="仿宋_GB2312" w:eastAsia="仿宋_GB2312" w:cs="仿宋_GB2312"/>
                <w:color w:val="auto"/>
                <w:kern w:val="2"/>
                <w:sz w:val="21"/>
                <w:szCs w:val="32"/>
                <w:lang w:val="en-US" w:eastAsia="zh-CN" w:bidi="ar-SA"/>
              </w:rPr>
            </w:pPr>
            <w:r>
              <w:rPr>
                <w:rFonts w:hint="eastAsia" w:ascii="仿宋_GB2312" w:hAnsi="仿宋_GB2312" w:eastAsia="仿宋_GB2312" w:cs="仿宋_GB2312"/>
                <w:color w:val="auto"/>
                <w:szCs w:val="32"/>
              </w:rPr>
              <w:t>不与其他车辆争抢、不强行超车、不开霸王车、不闯红灯、城区范围内不违规鸣笛、礼让斑马线</w:t>
            </w:r>
            <w:r>
              <w:rPr>
                <w:rFonts w:hint="eastAsia" w:ascii="仿宋_GB2312" w:hAnsi="仿宋_GB2312" w:eastAsia="仿宋_GB2312" w:cs="仿宋_GB2312"/>
                <w:color w:val="auto"/>
                <w:szCs w:val="32"/>
                <w:lang w:val="en-US" w:eastAsia="zh-CN"/>
              </w:rPr>
              <w:t xml:space="preserve"> </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每发生一次扣0.5分，扣完为止</w:t>
            </w:r>
            <w:r>
              <w:rPr>
                <w:rFonts w:hint="eastAsia" w:ascii="仿宋_GB2312" w:hAnsi="仿宋_GB2312" w:eastAsia="仿宋_GB2312" w:cs="仿宋_GB2312"/>
                <w:color w:val="auto"/>
                <w:spacing w:val="-14"/>
                <w:szCs w:val="32"/>
                <w:lang w:eastAsia="zh-CN"/>
              </w:rPr>
              <w:t>）</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Arial" w:hAnsi="Arial" w:eastAsia="宋体" w:cs="Arial"/>
                <w:color w:val="auto"/>
                <w:kern w:val="0"/>
                <w:sz w:val="21"/>
                <w:szCs w:val="18"/>
                <w:lang w:val="en-US" w:eastAsia="zh-CN" w:bidi="ar-SA"/>
              </w:rPr>
            </w:pPr>
            <w:r>
              <w:rPr>
                <w:rFonts w:hint="eastAsia" w:ascii="Arial" w:hAnsi="Arial" w:cs="Arial"/>
                <w:color w:val="auto"/>
                <w:kern w:val="0"/>
                <w:szCs w:val="18"/>
                <w:lang w:val="en-US" w:eastAsia="zh-CN"/>
              </w:rPr>
              <w:t>3</w:t>
            </w:r>
          </w:p>
        </w:tc>
        <w:tc>
          <w:tcPr>
            <w:tcW w:w="696" w:type="dxa"/>
            <w:tcBorders>
              <w:top w:val="single" w:color="auto" w:sz="4" w:space="0"/>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17" w:hRule="atLeast"/>
        </w:trPr>
        <w:tc>
          <w:tcPr>
            <w:tcW w:w="1113" w:type="dxa"/>
            <w:vMerge w:val="restart"/>
            <w:tcBorders>
              <w:top w:val="single" w:color="auto" w:sz="4" w:space="0"/>
            </w:tcBorders>
            <w:noWrap w:val="0"/>
            <w:vAlign w:val="center"/>
          </w:tcPr>
          <w:p>
            <w:pPr>
              <w:spacing w:line="28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行车服务（</w:t>
            </w: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rPr>
              <w:t>0分）</w:t>
            </w:r>
          </w:p>
        </w:tc>
        <w:tc>
          <w:tcPr>
            <w:tcW w:w="7194" w:type="dxa"/>
            <w:tcBorders>
              <w:top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auto"/>
                <w:spacing w:val="-4"/>
                <w:szCs w:val="32"/>
              </w:rPr>
              <w:t>尊重乘客</w:t>
            </w:r>
            <w:r>
              <w:rPr>
                <w:rFonts w:hint="eastAsia" w:ascii="仿宋_GB2312" w:hAnsi="仿宋_GB2312" w:eastAsia="仿宋_GB2312" w:cs="仿宋_GB2312"/>
                <w:color w:val="auto"/>
                <w:spacing w:val="-4"/>
                <w:szCs w:val="32"/>
                <w:lang w:eastAsia="zh-CN"/>
              </w:rPr>
              <w:t>，</w:t>
            </w:r>
            <w:r>
              <w:rPr>
                <w:rFonts w:hint="eastAsia" w:ascii="仿宋_GB2312" w:hAnsi="仿宋_GB2312" w:eastAsia="仿宋_GB2312" w:cs="仿宋_GB2312"/>
                <w:color w:val="auto"/>
                <w:spacing w:val="-4"/>
                <w:szCs w:val="32"/>
              </w:rPr>
              <w:t xml:space="preserve">态度和蔼，耐心解答乘客的询问，不说服务忌语和不文明用语 </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每发生一次扣1分，扣完为止</w:t>
            </w:r>
            <w:r>
              <w:rPr>
                <w:rFonts w:hint="eastAsia" w:ascii="仿宋_GB2312" w:hAnsi="仿宋_GB2312" w:eastAsia="仿宋_GB2312" w:cs="仿宋_GB2312"/>
                <w:color w:val="auto"/>
                <w:spacing w:val="-14"/>
                <w:szCs w:val="32"/>
                <w:lang w:eastAsia="zh-CN"/>
              </w:rPr>
              <w:t>）</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Cs w:val="18"/>
                <w:lang w:val="en-US" w:eastAsia="zh-CN"/>
              </w:rPr>
            </w:pPr>
            <w:r>
              <w:rPr>
                <w:rFonts w:hint="eastAsia" w:ascii="Arial" w:hAnsi="Arial" w:cs="Arial"/>
                <w:color w:val="auto"/>
                <w:kern w:val="0"/>
                <w:szCs w:val="18"/>
                <w:lang w:val="en-US" w:eastAsia="zh-CN"/>
              </w:rPr>
              <w:t>5</w:t>
            </w:r>
          </w:p>
        </w:tc>
        <w:tc>
          <w:tcPr>
            <w:tcW w:w="696" w:type="dxa"/>
            <w:tcBorders>
              <w:top w:val="single" w:color="auto" w:sz="4" w:space="0"/>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1113" w:type="dxa"/>
            <w:vMerge w:val="continue"/>
            <w:noWrap w:val="0"/>
            <w:vAlign w:val="center"/>
          </w:tcPr>
          <w:p>
            <w:pPr>
              <w:spacing w:line="280" w:lineRule="exact"/>
              <w:rPr>
                <w:rFonts w:hint="eastAsia" w:ascii="仿宋_GB2312" w:hAnsi="仿宋_GB2312" w:eastAsia="仿宋_GB2312" w:cs="仿宋_GB2312"/>
                <w:color w:val="auto"/>
                <w:szCs w:val="32"/>
              </w:rPr>
            </w:pPr>
          </w:p>
        </w:tc>
        <w:tc>
          <w:tcPr>
            <w:tcW w:w="7194" w:type="dxa"/>
            <w:tcBorders>
              <w:top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在服务过程中，不吸烟、不吃零食、不与他人闲谈，不做其他与本职工作无关的事</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不擅离工作岗位</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 xml:space="preserve">未系安全带 </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每项扣1分，扣完为止</w:t>
            </w:r>
            <w:r>
              <w:rPr>
                <w:rFonts w:hint="eastAsia" w:ascii="仿宋_GB2312" w:hAnsi="仿宋_GB2312" w:eastAsia="仿宋_GB2312" w:cs="仿宋_GB2312"/>
                <w:color w:val="auto"/>
                <w:spacing w:val="-14"/>
                <w:szCs w:val="32"/>
                <w:lang w:eastAsia="zh-CN"/>
              </w:rPr>
              <w:t>）</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Cs w:val="18"/>
                <w:lang w:val="en-US" w:eastAsia="zh-CN"/>
              </w:rPr>
            </w:pPr>
            <w:r>
              <w:rPr>
                <w:rFonts w:hint="eastAsia" w:ascii="Arial" w:hAnsi="Arial" w:cs="Arial"/>
                <w:color w:val="auto"/>
                <w:kern w:val="0"/>
                <w:szCs w:val="18"/>
                <w:lang w:val="en-US" w:eastAsia="zh-CN"/>
              </w:rPr>
              <w:t>5</w:t>
            </w:r>
          </w:p>
        </w:tc>
        <w:tc>
          <w:tcPr>
            <w:tcW w:w="696" w:type="dxa"/>
            <w:tcBorders>
              <w:top w:val="single" w:color="auto" w:sz="4" w:space="0"/>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113" w:type="dxa"/>
            <w:vMerge w:val="continue"/>
            <w:noWrap w:val="0"/>
            <w:vAlign w:val="center"/>
          </w:tcPr>
          <w:p>
            <w:pPr>
              <w:spacing w:line="280" w:lineRule="exact"/>
              <w:rPr>
                <w:rFonts w:hint="eastAsia" w:ascii="仿宋_GB2312" w:hAnsi="仿宋_GB2312" w:eastAsia="仿宋_GB2312" w:cs="仿宋_GB2312"/>
                <w:color w:val="auto"/>
                <w:szCs w:val="32"/>
              </w:rPr>
            </w:pPr>
          </w:p>
        </w:tc>
        <w:tc>
          <w:tcPr>
            <w:tcW w:w="7194" w:type="dxa"/>
            <w:tcBorders>
              <w:top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劝阻和制止乘客携带宠物、车内吸烟、头手伸出窗外、乱扔废弃物等违反乘车规则的行为</w:t>
            </w:r>
            <w:r>
              <w:rPr>
                <w:rFonts w:hint="eastAsia" w:ascii="仿宋_GB2312" w:hAnsi="仿宋_GB2312" w:eastAsia="仿宋_GB2312" w:cs="仿宋_GB2312"/>
                <w:color w:val="auto"/>
                <w:szCs w:val="32"/>
                <w:lang w:val="en-US" w:eastAsia="zh-CN"/>
              </w:rPr>
              <w:t xml:space="preserve"> </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每项扣1分，扣完为止</w:t>
            </w:r>
            <w:r>
              <w:rPr>
                <w:rFonts w:hint="eastAsia" w:ascii="仿宋_GB2312" w:hAnsi="仿宋_GB2312" w:eastAsia="仿宋_GB2312" w:cs="仿宋_GB2312"/>
                <w:color w:val="auto"/>
                <w:spacing w:val="-14"/>
                <w:szCs w:val="32"/>
                <w:lang w:eastAsia="zh-CN"/>
              </w:rPr>
              <w:t>）</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Cs w:val="18"/>
                <w:lang w:val="en-US" w:eastAsia="zh-CN"/>
              </w:rPr>
            </w:pPr>
            <w:r>
              <w:rPr>
                <w:rFonts w:hint="eastAsia" w:ascii="Arial" w:hAnsi="Arial" w:cs="Arial"/>
                <w:color w:val="auto"/>
                <w:kern w:val="0"/>
                <w:szCs w:val="18"/>
                <w:lang w:val="en-US" w:eastAsia="zh-CN"/>
              </w:rPr>
              <w:t>5</w:t>
            </w:r>
          </w:p>
        </w:tc>
        <w:tc>
          <w:tcPr>
            <w:tcW w:w="696" w:type="dxa"/>
            <w:tcBorders>
              <w:top w:val="single" w:color="auto" w:sz="4" w:space="0"/>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6" w:hRule="atLeast"/>
        </w:trPr>
        <w:tc>
          <w:tcPr>
            <w:tcW w:w="1113" w:type="dxa"/>
            <w:vMerge w:val="continue"/>
            <w:tcBorders>
              <w:bottom w:val="single" w:color="auto" w:sz="4" w:space="0"/>
            </w:tcBorders>
            <w:noWrap w:val="0"/>
            <w:vAlign w:val="center"/>
          </w:tcPr>
          <w:p>
            <w:pPr>
              <w:spacing w:line="280" w:lineRule="exact"/>
              <w:rPr>
                <w:rFonts w:hint="eastAsia" w:ascii="仿宋_GB2312" w:hAnsi="仿宋_GB2312" w:eastAsia="仿宋_GB2312" w:cs="仿宋_GB2312"/>
                <w:color w:val="auto"/>
                <w:szCs w:val="32"/>
              </w:rPr>
            </w:pPr>
          </w:p>
        </w:tc>
        <w:tc>
          <w:tcPr>
            <w:tcW w:w="7194" w:type="dxa"/>
            <w:tcBorders>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主动提醒乘客给老弱病残孕等优待群体让座，不拒载老年人等优待乘车群体，并文明服务</w:t>
            </w:r>
            <w:r>
              <w:rPr>
                <w:rFonts w:hint="eastAsia" w:ascii="仿宋_GB2312" w:hAnsi="仿宋_GB2312" w:eastAsia="仿宋_GB2312" w:cs="仿宋_GB2312"/>
                <w:color w:val="auto"/>
                <w:szCs w:val="32"/>
                <w:lang w:val="en-US" w:eastAsia="zh-CN"/>
              </w:rPr>
              <w:t xml:space="preserve"> </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每项扣1分，扣完为止</w:t>
            </w:r>
            <w:r>
              <w:rPr>
                <w:rFonts w:hint="eastAsia" w:ascii="仿宋_GB2312" w:hAnsi="仿宋_GB2312" w:eastAsia="仿宋_GB2312" w:cs="仿宋_GB2312"/>
                <w:color w:val="auto"/>
                <w:spacing w:val="-14"/>
                <w:szCs w:val="32"/>
                <w:lang w:eastAsia="zh-CN"/>
              </w:rPr>
              <w:t>）</w:t>
            </w:r>
          </w:p>
        </w:tc>
        <w:tc>
          <w:tcPr>
            <w:tcW w:w="637" w:type="dxa"/>
            <w:tcBorders>
              <w:left w:val="single" w:color="auto" w:sz="4" w:space="0"/>
              <w:bottom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Cs w:val="18"/>
                <w:lang w:val="en-US" w:eastAsia="zh-CN"/>
              </w:rPr>
            </w:pPr>
            <w:r>
              <w:rPr>
                <w:rFonts w:hint="eastAsia" w:ascii="Arial" w:hAnsi="Arial" w:cs="Arial"/>
                <w:color w:val="auto"/>
                <w:kern w:val="0"/>
                <w:szCs w:val="18"/>
                <w:lang w:val="en-US" w:eastAsia="zh-CN"/>
              </w:rPr>
              <w:t>5</w:t>
            </w:r>
          </w:p>
        </w:tc>
        <w:tc>
          <w:tcPr>
            <w:tcW w:w="696" w:type="dxa"/>
            <w:tcBorders>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1113" w:type="dxa"/>
            <w:vMerge w:val="restart"/>
            <w:tcBorders>
              <w:top w:val="single" w:color="auto" w:sz="4" w:space="0"/>
            </w:tcBorders>
            <w:noWrap w:val="0"/>
            <w:vAlign w:val="center"/>
          </w:tcPr>
          <w:p>
            <w:pPr>
              <w:spacing w:line="28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安全营运（20分）</w:t>
            </w:r>
          </w:p>
        </w:tc>
        <w:tc>
          <w:tcPr>
            <w:tcW w:w="7194" w:type="dxa"/>
            <w:tcBorders>
              <w:top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灭火器配置有效、空调车配置安全锤 </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每项扣2分，扣完为止</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zCs w:val="32"/>
              </w:rPr>
              <w:t xml:space="preserve"> </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Arial" w:hAnsi="Arial" w:eastAsia="宋体" w:cs="Arial"/>
                <w:color w:val="auto"/>
                <w:kern w:val="0"/>
                <w:szCs w:val="18"/>
                <w:lang w:val="en-US" w:eastAsia="zh-CN"/>
              </w:rPr>
            </w:pPr>
            <w:r>
              <w:rPr>
                <w:rFonts w:hint="eastAsia" w:ascii="Arial" w:hAnsi="Arial" w:cs="Arial"/>
                <w:color w:val="auto"/>
                <w:kern w:val="0"/>
                <w:szCs w:val="18"/>
                <w:lang w:val="en-US" w:eastAsia="zh-CN"/>
              </w:rPr>
              <w:t>4</w:t>
            </w:r>
          </w:p>
        </w:tc>
        <w:tc>
          <w:tcPr>
            <w:tcW w:w="696" w:type="dxa"/>
            <w:tcBorders>
              <w:top w:val="single" w:color="auto" w:sz="4" w:space="0"/>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113" w:type="dxa"/>
            <w:vMerge w:val="continue"/>
            <w:noWrap w:val="0"/>
            <w:vAlign w:val="center"/>
          </w:tcPr>
          <w:p>
            <w:pPr>
              <w:spacing w:line="280" w:lineRule="exact"/>
              <w:rPr>
                <w:rFonts w:hint="eastAsia" w:ascii="Arial" w:hAnsi="Arial" w:cs="Arial"/>
                <w:color w:val="auto"/>
                <w:kern w:val="0"/>
                <w:szCs w:val="18"/>
              </w:rPr>
            </w:pPr>
          </w:p>
        </w:tc>
        <w:tc>
          <w:tcPr>
            <w:tcW w:w="7194" w:type="dxa"/>
            <w:tcBorders>
              <w:top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遵守交通安全法规，文明行车</w:t>
            </w:r>
            <w:r>
              <w:rPr>
                <w:rFonts w:hint="eastAsia" w:ascii="仿宋_GB2312" w:hAnsi="仿宋_GB2312" w:eastAsia="仿宋_GB2312" w:cs="仿宋_GB2312"/>
                <w:color w:val="auto"/>
                <w:szCs w:val="32"/>
                <w:lang w:val="en-US" w:eastAsia="zh-CN"/>
              </w:rPr>
              <w:t xml:space="preserve"> </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每发生一次扣1分，扣完为止</w:t>
            </w:r>
            <w:r>
              <w:rPr>
                <w:rFonts w:hint="eastAsia" w:ascii="仿宋_GB2312" w:hAnsi="仿宋_GB2312" w:eastAsia="仿宋_GB2312" w:cs="仿宋_GB2312"/>
                <w:color w:val="auto"/>
                <w:spacing w:val="-14"/>
                <w:szCs w:val="32"/>
                <w:lang w:eastAsia="zh-CN"/>
              </w:rPr>
              <w:t>）</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Cs w:val="18"/>
                <w:lang w:val="en-US" w:eastAsia="zh-CN"/>
              </w:rPr>
            </w:pPr>
            <w:r>
              <w:rPr>
                <w:rFonts w:hint="eastAsia" w:ascii="Arial" w:hAnsi="Arial" w:cs="Arial"/>
                <w:color w:val="auto"/>
                <w:kern w:val="0"/>
                <w:szCs w:val="18"/>
                <w:lang w:val="en-US" w:eastAsia="zh-CN"/>
              </w:rPr>
              <w:t>6</w:t>
            </w:r>
          </w:p>
        </w:tc>
        <w:tc>
          <w:tcPr>
            <w:tcW w:w="696" w:type="dxa"/>
            <w:tcBorders>
              <w:top w:val="single" w:color="auto" w:sz="4" w:space="0"/>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1113" w:type="dxa"/>
            <w:vMerge w:val="continue"/>
            <w:noWrap w:val="0"/>
            <w:vAlign w:val="center"/>
          </w:tcPr>
          <w:p>
            <w:pPr>
              <w:spacing w:line="280" w:lineRule="exact"/>
              <w:rPr>
                <w:rFonts w:hint="eastAsia" w:ascii="Arial" w:hAnsi="Arial" w:cs="Arial"/>
                <w:color w:val="auto"/>
                <w:kern w:val="0"/>
                <w:szCs w:val="18"/>
              </w:rPr>
            </w:pPr>
          </w:p>
        </w:tc>
        <w:tc>
          <w:tcPr>
            <w:tcW w:w="7194" w:type="dxa"/>
            <w:tcBorders>
              <w:top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乘客携带易燃、易爆、危险、有毒及其他禁带物品乘车时应及时制止</w:t>
            </w:r>
            <w:r>
              <w:rPr>
                <w:rFonts w:hint="eastAsia" w:ascii="仿宋_GB2312" w:hAnsi="仿宋_GB2312" w:eastAsia="仿宋_GB2312" w:cs="仿宋_GB2312"/>
                <w:color w:val="auto"/>
                <w:szCs w:val="32"/>
                <w:lang w:val="en-US" w:eastAsia="zh-CN"/>
              </w:rPr>
              <w:t xml:space="preserve"> </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每项扣1分，扣完为止</w:t>
            </w:r>
            <w:r>
              <w:rPr>
                <w:rFonts w:hint="eastAsia" w:ascii="仿宋_GB2312" w:hAnsi="仿宋_GB2312" w:eastAsia="仿宋_GB2312" w:cs="仿宋_GB2312"/>
                <w:color w:val="auto"/>
                <w:spacing w:val="-14"/>
                <w:szCs w:val="32"/>
                <w:lang w:eastAsia="zh-CN"/>
              </w:rPr>
              <w:t>）</w:t>
            </w:r>
          </w:p>
        </w:tc>
        <w:tc>
          <w:tcPr>
            <w:tcW w:w="637" w:type="dxa"/>
            <w:tcBorders>
              <w:top w:val="single" w:color="auto" w:sz="4" w:space="0"/>
              <w:left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Cs w:val="18"/>
                <w:lang w:val="en-US" w:eastAsia="zh-CN"/>
              </w:rPr>
            </w:pPr>
            <w:r>
              <w:rPr>
                <w:rFonts w:hint="eastAsia" w:ascii="Arial" w:hAnsi="Arial" w:cs="Arial"/>
                <w:color w:val="auto"/>
                <w:kern w:val="0"/>
                <w:szCs w:val="18"/>
                <w:lang w:val="en-US" w:eastAsia="zh-CN"/>
              </w:rPr>
              <w:t>5</w:t>
            </w:r>
          </w:p>
        </w:tc>
        <w:tc>
          <w:tcPr>
            <w:tcW w:w="696" w:type="dxa"/>
            <w:tcBorders>
              <w:top w:val="single" w:color="auto" w:sz="4" w:space="0"/>
              <w:left w:val="single" w:color="auto" w:sz="4" w:space="0"/>
            </w:tcBorders>
            <w:noWrap w:val="0"/>
            <w:vAlign w:val="center"/>
          </w:tcPr>
          <w:p>
            <w:pPr>
              <w:spacing w:line="280" w:lineRule="exact"/>
              <w:rPr>
                <w:rFonts w:hint="eastAsia" w:ascii="Arial" w:hAnsi="Arial" w:cs="Arial"/>
                <w:color w:val="auto"/>
                <w:kern w:val="0"/>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1113" w:type="dxa"/>
            <w:vMerge w:val="continue"/>
            <w:noWrap w:val="0"/>
            <w:vAlign w:val="center"/>
          </w:tcPr>
          <w:p>
            <w:pPr>
              <w:spacing w:line="280" w:lineRule="exact"/>
              <w:rPr>
                <w:rFonts w:hint="eastAsia" w:ascii="Arial" w:hAnsi="Arial" w:cs="Arial"/>
                <w:color w:val="auto"/>
                <w:kern w:val="0"/>
                <w:szCs w:val="18"/>
              </w:rPr>
            </w:pPr>
          </w:p>
        </w:tc>
        <w:tc>
          <w:tcPr>
            <w:tcW w:w="7194" w:type="dxa"/>
            <w:tcBorders>
              <w:top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按要求张贴安全提示标识：在相应位置贴上“请勿倚靠”、“当心夹手”、“请勿触摸”、在醒目位置帖上“请勿吸烟”、“禁止头手伸出窗外”及“请勿乱扔废弃物”“严禁三品”标志等</w:t>
            </w:r>
            <w:r>
              <w:rPr>
                <w:rFonts w:hint="eastAsia" w:ascii="仿宋_GB2312" w:hAnsi="仿宋_GB2312" w:eastAsia="仿宋_GB2312" w:cs="仿宋_GB2312"/>
                <w:color w:val="auto"/>
                <w:szCs w:val="32"/>
                <w:lang w:val="en-US" w:eastAsia="zh-CN"/>
              </w:rPr>
              <w:t xml:space="preserve"> </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每项扣1分，扣完为止</w:t>
            </w:r>
            <w:r>
              <w:rPr>
                <w:rFonts w:hint="eastAsia" w:ascii="仿宋_GB2312" w:hAnsi="仿宋_GB2312" w:eastAsia="仿宋_GB2312" w:cs="仿宋_GB2312"/>
                <w:color w:val="auto"/>
                <w:spacing w:val="-14"/>
                <w:szCs w:val="32"/>
                <w:lang w:eastAsia="zh-CN"/>
              </w:rPr>
              <w:t>）</w:t>
            </w:r>
            <w:r>
              <w:rPr>
                <w:rFonts w:hint="eastAsia" w:ascii="仿宋_GB2312" w:hAnsi="仿宋_GB2312" w:eastAsia="仿宋_GB2312" w:cs="仿宋_GB2312"/>
                <w:color w:val="auto"/>
                <w:spacing w:val="-14"/>
                <w:szCs w:val="32"/>
                <w:lang w:val="en-US" w:eastAsia="zh-CN"/>
              </w:rPr>
              <w:t xml:space="preserve"> </w:t>
            </w:r>
            <w:r>
              <w:rPr>
                <w:rFonts w:hint="eastAsia" w:ascii="仿宋_GB2312" w:hAnsi="仿宋_GB2312" w:eastAsia="仿宋_GB2312" w:cs="仿宋_GB2312"/>
                <w:color w:val="auto"/>
                <w:spacing w:val="-14"/>
                <w:szCs w:val="32"/>
              </w:rPr>
              <w:t xml:space="preserve"> </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Arial" w:hAnsi="Arial" w:eastAsia="宋体" w:cs="Arial"/>
                <w:color w:val="auto"/>
                <w:kern w:val="0"/>
                <w:szCs w:val="18"/>
                <w:lang w:val="en-US" w:eastAsia="zh-CN"/>
              </w:rPr>
            </w:pPr>
            <w:r>
              <w:rPr>
                <w:rFonts w:hint="eastAsia" w:ascii="Arial" w:hAnsi="Arial" w:cs="Arial"/>
                <w:color w:val="auto"/>
                <w:kern w:val="0"/>
                <w:szCs w:val="18"/>
                <w:lang w:val="en-US" w:eastAsia="zh-CN"/>
              </w:rPr>
              <w:t>5</w:t>
            </w:r>
          </w:p>
        </w:tc>
        <w:tc>
          <w:tcPr>
            <w:tcW w:w="696" w:type="dxa"/>
            <w:tcBorders>
              <w:top w:val="single" w:color="auto" w:sz="4" w:space="0"/>
              <w:left w:val="single" w:color="auto" w:sz="4" w:space="0"/>
              <w:bottom w:val="single" w:color="auto" w:sz="4" w:space="0"/>
            </w:tcBorders>
            <w:noWrap w:val="0"/>
            <w:vAlign w:val="center"/>
          </w:tcPr>
          <w:p>
            <w:pPr>
              <w:spacing w:line="280" w:lineRule="exact"/>
              <w:rPr>
                <w:rFonts w:hint="eastAsia" w:ascii="Arial" w:hAnsi="Arial" w:cs="Arial"/>
                <w:color w:val="auto"/>
                <w:kern w:val="0"/>
                <w:szCs w:val="18"/>
              </w:rPr>
            </w:pPr>
          </w:p>
        </w:tc>
      </w:tr>
    </w:tbl>
    <w:p>
      <w:pPr>
        <w:keepNext w:val="0"/>
        <w:keepLines w:val="0"/>
        <w:pageBreakBefore w:val="0"/>
        <w:widowControl w:val="0"/>
        <w:kinsoku/>
        <w:wordWrap/>
        <w:topLinePunct w:val="0"/>
        <w:autoSpaceDE/>
        <w:autoSpaceDN/>
        <w:bidi w:val="0"/>
        <w:snapToGrid/>
        <w:spacing w:line="600" w:lineRule="exact"/>
        <w:rPr>
          <w:rFonts w:hint="eastAsia"/>
          <w:lang w:val="en-US" w:eastAsia="zh-CN"/>
        </w:rPr>
      </w:pPr>
    </w:p>
    <w:p>
      <w:pPr>
        <w:keepNext w:val="0"/>
        <w:keepLines w:val="0"/>
        <w:pageBreakBefore w:val="0"/>
        <w:widowControl w:val="0"/>
        <w:kinsoku/>
        <w:wordWrap/>
        <w:topLinePunct w:val="0"/>
        <w:autoSpaceDE/>
        <w:autoSpaceDN/>
        <w:bidi w:val="0"/>
        <w:snapToGrid/>
        <w:spacing w:line="600" w:lineRule="exact"/>
        <w:rPr>
          <w:rFonts w:hint="eastAsia"/>
          <w:lang w:val="en-US" w:eastAsia="zh-CN"/>
        </w:rPr>
      </w:pPr>
    </w:p>
    <w:p>
      <w:pPr>
        <w:keepNext w:val="0"/>
        <w:keepLines w:val="0"/>
        <w:pageBreakBefore w:val="0"/>
        <w:widowControl w:val="0"/>
        <w:kinsoku/>
        <w:wordWrap/>
        <w:topLinePunct w:val="0"/>
        <w:autoSpaceDE/>
        <w:autoSpaceDN/>
        <w:bidi w:val="0"/>
        <w:snapToGrid/>
        <w:spacing w:line="600" w:lineRule="exact"/>
        <w:rPr>
          <w:rFonts w:hint="eastAsia"/>
          <w:lang w:val="en-US" w:eastAsia="zh-CN"/>
        </w:rPr>
      </w:pPr>
    </w:p>
    <w:p>
      <w:pPr>
        <w:keepNext w:val="0"/>
        <w:keepLines w:val="0"/>
        <w:pageBreakBefore w:val="0"/>
        <w:widowControl w:val="0"/>
        <w:kinsoku/>
        <w:wordWrap/>
        <w:topLinePunct w:val="0"/>
        <w:autoSpaceDE/>
        <w:autoSpaceDN/>
        <w:bidi w:val="0"/>
        <w:snapToGrid/>
        <w:spacing w:line="600" w:lineRule="exact"/>
        <w:rPr>
          <w:rFonts w:hint="eastAsia"/>
          <w:lang w:val="en-US" w:eastAsia="zh-CN"/>
        </w:rPr>
      </w:pPr>
    </w:p>
    <w:p>
      <w:pPr>
        <w:bidi w:val="0"/>
        <w:jc w:val="both"/>
        <w:rPr>
          <w:rFonts w:hint="eastAsia" w:ascii="黑体" w:hAnsi="黑体" w:eastAsia="黑体" w:cs="黑体"/>
          <w:sz w:val="44"/>
          <w:szCs w:val="44"/>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bidi w:val="0"/>
        <w:jc w:val="left"/>
        <w:rPr>
          <w:rFonts w:hint="eastAsia" w:ascii="黑体" w:hAnsi="黑体" w:eastAsia="黑体" w:cs="黑体"/>
          <w:sz w:val="44"/>
          <w:szCs w:val="44"/>
          <w:lang w:val="en-US" w:eastAsia="zh-CN"/>
        </w:rPr>
      </w:pPr>
      <w:r>
        <w:rPr>
          <w:rFonts w:hint="eastAsia"/>
          <w:sz w:val="32"/>
          <w:szCs w:val="32"/>
          <w:lang w:val="en-US" w:eastAsia="zh-CN"/>
        </w:rPr>
        <w:t>附件3：</w:t>
      </w:r>
    </w:p>
    <w:p>
      <w:pPr>
        <w:bidi w:val="0"/>
        <w:jc w:val="center"/>
        <w:rPr>
          <w:rFonts w:hint="eastAsia"/>
          <w:lang w:val="en-US" w:eastAsia="zh-CN"/>
        </w:rPr>
      </w:pPr>
      <w:r>
        <w:rPr>
          <w:rFonts w:hint="eastAsia" w:ascii="黑体" w:hAnsi="黑体" w:eastAsia="黑体" w:cs="黑体"/>
          <w:sz w:val="44"/>
          <w:szCs w:val="44"/>
          <w:lang w:val="en-US" w:eastAsia="zh-CN"/>
        </w:rPr>
        <w:t>城市公交乘客满意度调查表</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尊敬的乘客，感谢您选择公交车出行，为提升服务质量，为广大市民提供安全、优质、舒适、快捷的出行服务，我们热诚邀请你您参与“乘客满意度”问卷调查，希望您对公交出行服务工作提出宝贵的意见和建议，感谢您对本次调查工作的支持和配合。</w:t>
      </w:r>
    </w:p>
    <w:tbl>
      <w:tblPr>
        <w:tblStyle w:val="7"/>
        <w:tblW w:w="14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0"/>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300" w:type="dxa"/>
            <w:gridSpan w:val="2"/>
            <w:vAlign w:val="center"/>
          </w:tcPr>
          <w:p>
            <w:pPr>
              <w:bidi w:val="0"/>
              <w:jc w:val="left"/>
              <w:rPr>
                <w:rFonts w:hint="eastAsia" w:ascii="仿宋" w:hAnsi="仿宋" w:eastAsia="仿宋" w:cs="仿宋"/>
                <w:sz w:val="28"/>
                <w:szCs w:val="28"/>
                <w:vertAlign w:val="baseline"/>
                <w:lang w:val="en-US" w:eastAsia="zh-CN"/>
              </w:rPr>
            </w:pPr>
            <w:r>
              <w:rPr>
                <w:rFonts w:hint="eastAsia" w:ascii="黑体" w:hAnsi="黑体" w:eastAsia="黑体" w:cs="黑体"/>
                <w:sz w:val="28"/>
                <w:szCs w:val="28"/>
                <w:vertAlign w:val="baseline"/>
                <w:lang w:val="en-US" w:eastAsia="zh-CN"/>
              </w:rPr>
              <w:t>一、乘客基本情况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4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您的性别与年龄？</w:t>
            </w:r>
          </w:p>
        </w:tc>
        <w:tc>
          <w:tcPr>
            <w:tcW w:w="88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□男　 □女  </w:t>
            </w:r>
          </w:p>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□14周岁以下  □18周岁以下  □18-35岁  □35-65岁  □65岁以上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4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您一般一周乘坐公交车出行频率？</w:t>
            </w:r>
          </w:p>
        </w:tc>
        <w:tc>
          <w:tcPr>
            <w:tcW w:w="88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□几乎每天乘坐   □一周2－3次   □极少乘坐   □没有乘坐过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4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您一般什么时间乘坐公交车？</w:t>
            </w:r>
          </w:p>
        </w:tc>
        <w:tc>
          <w:tcPr>
            <w:tcW w:w="88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□上下学高峰期   □上下班高峰期  □节假日     □全天任何时候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300" w:type="dxa"/>
            <w:gridSpan w:val="2"/>
            <w:vAlign w:val="center"/>
          </w:tcPr>
          <w:p>
            <w:pPr>
              <w:bidi w:val="0"/>
              <w:jc w:val="left"/>
              <w:rPr>
                <w:rFonts w:hint="eastAsia" w:ascii="仿宋" w:hAnsi="仿宋" w:eastAsia="仿宋" w:cs="仿宋"/>
                <w:sz w:val="28"/>
                <w:szCs w:val="28"/>
                <w:vertAlign w:val="baseline"/>
                <w:lang w:val="en-US" w:eastAsia="zh-CN"/>
              </w:rPr>
            </w:pPr>
            <w:r>
              <w:rPr>
                <w:rFonts w:hint="eastAsia" w:ascii="黑体" w:hAnsi="黑体" w:eastAsia="黑体" w:cs="黑体"/>
                <w:sz w:val="28"/>
                <w:szCs w:val="28"/>
                <w:vertAlign w:val="baseline"/>
                <w:lang w:val="en-US" w:eastAsia="zh-CN"/>
              </w:rPr>
              <w:t>二、对公交整体服务水平满意度评价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4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您对公交的候车时间满意吗？</w:t>
            </w:r>
          </w:p>
        </w:tc>
        <w:tc>
          <w:tcPr>
            <w:tcW w:w="88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□非常满意    □满意    □基本满意    □一般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4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您对公交的换乘便捷度是否满意吗？</w:t>
            </w:r>
          </w:p>
        </w:tc>
        <w:tc>
          <w:tcPr>
            <w:tcW w:w="88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□非常满意    □满意    □基本满意    □一般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4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您对公交车司机的服务态度是否满意？</w:t>
            </w:r>
          </w:p>
        </w:tc>
        <w:tc>
          <w:tcPr>
            <w:tcW w:w="88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□非常满意    □满意    □基本满意    □一般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4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您对当前公交车发班频次是否满意？</w:t>
            </w:r>
          </w:p>
        </w:tc>
        <w:tc>
          <w:tcPr>
            <w:tcW w:w="88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□非常满意    □满意    □基本满意    □一般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4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您对乘坐公交整体舒适度是否满意？</w:t>
            </w:r>
          </w:p>
        </w:tc>
        <w:tc>
          <w:tcPr>
            <w:tcW w:w="88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□非常满意    □满意    □基本满意    □一般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4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您对公交车的候车环境是否满意？</w:t>
            </w:r>
          </w:p>
        </w:tc>
        <w:tc>
          <w:tcPr>
            <w:tcW w:w="88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□非常满意    □满意    □基本满意    □一般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4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您对公交车内的清洁度是否满意？</w:t>
            </w:r>
          </w:p>
        </w:tc>
        <w:tc>
          <w:tcPr>
            <w:tcW w:w="88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□非常满意    □满意    □基本满意    □一般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300" w:type="dxa"/>
            <w:gridSpan w:val="2"/>
            <w:vAlign w:val="center"/>
          </w:tcPr>
          <w:p>
            <w:pPr>
              <w:bidi w:val="0"/>
              <w:jc w:val="left"/>
              <w:rPr>
                <w:rFonts w:hint="eastAsia" w:ascii="仿宋" w:hAnsi="仿宋" w:eastAsia="仿宋" w:cs="仿宋"/>
                <w:sz w:val="28"/>
                <w:szCs w:val="28"/>
                <w:vertAlign w:val="baseline"/>
                <w:lang w:val="en-US" w:eastAsia="zh-CN"/>
              </w:rPr>
            </w:pPr>
            <w:r>
              <w:rPr>
                <w:rFonts w:hint="eastAsia" w:ascii="黑体" w:hAnsi="黑体" w:eastAsia="黑体" w:cs="黑体"/>
                <w:sz w:val="28"/>
                <w:szCs w:val="28"/>
                <w:vertAlign w:val="baseline"/>
                <w:lang w:val="en-US" w:eastAsia="zh-CN"/>
              </w:rPr>
              <w:t>三、相关意见建议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4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您认为目前公交车的资源分布合理吗？</w:t>
            </w:r>
          </w:p>
        </w:tc>
        <w:tc>
          <w:tcPr>
            <w:tcW w:w="88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□合理  □比较合理  □不合理，有待改善  □未关注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4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您认为公交在哪方面需要进一步改进？（多选题）</w:t>
            </w:r>
          </w:p>
        </w:tc>
        <w:tc>
          <w:tcPr>
            <w:tcW w:w="88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□准点率提高  □增加发班密度  □增加运营车辆  □优化行车路线  □提高服务质量  □增设其他服务设施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4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您不选择乘坐公交的原因是什么？（多选题）</w:t>
            </w:r>
          </w:p>
        </w:tc>
        <w:tc>
          <w:tcPr>
            <w:tcW w:w="8850" w:type="dxa"/>
            <w:vAlign w:val="center"/>
          </w:tcPr>
          <w:p>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□乘车拥挤  □没零钱  □候车时间长  □公交车慢  □态度服务差  □公交车舒适度不够  □乘车不便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5450" w:type="dxa"/>
            <w:vAlign w:val="center"/>
          </w:tcPr>
          <w:p>
            <w:pPr>
              <w:bidi w:val="0"/>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有无其他建议？</w:t>
            </w:r>
          </w:p>
        </w:tc>
        <w:tc>
          <w:tcPr>
            <w:tcW w:w="8850" w:type="dxa"/>
            <w:vAlign w:val="center"/>
          </w:tcPr>
          <w:p>
            <w:pPr>
              <w:bidi w:val="0"/>
              <w:jc w:val="left"/>
              <w:rPr>
                <w:rFonts w:hint="eastAsia" w:ascii="仿宋" w:hAnsi="仿宋" w:eastAsia="仿宋" w:cs="仿宋"/>
                <w:sz w:val="28"/>
                <w:szCs w:val="28"/>
                <w:vertAlign w:val="baseline"/>
                <w:lang w:val="en-US" w:eastAsia="zh-CN"/>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仿宋" w:hAnsi="仿宋" w:eastAsia="仿宋" w:cs="仿宋"/>
          <w:i w:val="0"/>
          <w:iCs w:val="0"/>
          <w:caps w:val="0"/>
          <w:color w:val="000000"/>
          <w:spacing w:val="0"/>
          <w:sz w:val="28"/>
          <w:szCs w:val="28"/>
          <w:shd w:val="clear" w:fill="FFFFFF"/>
          <w:lang w:val="en-US" w:eastAsia="zh-CN"/>
        </w:rPr>
      </w:pPr>
      <w:r>
        <w:rPr>
          <w:rFonts w:hint="eastAsia"/>
          <w:sz w:val="32"/>
          <w:szCs w:val="32"/>
          <w:lang w:val="en-US" w:eastAsia="zh-CN"/>
        </w:rPr>
        <w:t>附件4：</w:t>
      </w:r>
    </w:p>
    <w:tbl>
      <w:tblPr>
        <w:tblStyle w:val="7"/>
        <w:tblpPr w:leftFromText="180" w:rightFromText="180" w:vertAnchor="text" w:horzAnchor="page" w:tblpXSpec="center" w:tblpY="8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7076"/>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6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70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调查内容</w:t>
            </w:r>
          </w:p>
        </w:tc>
        <w:tc>
          <w:tcPr>
            <w:tcW w:w="51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调查内容权重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6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70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候车时间长度</w:t>
            </w:r>
          </w:p>
        </w:tc>
        <w:tc>
          <w:tcPr>
            <w:tcW w:w="51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6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70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换乘便捷度</w:t>
            </w:r>
          </w:p>
        </w:tc>
        <w:tc>
          <w:tcPr>
            <w:tcW w:w="51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6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70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服务态度</w:t>
            </w:r>
          </w:p>
        </w:tc>
        <w:tc>
          <w:tcPr>
            <w:tcW w:w="51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70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出行信息服务</w:t>
            </w:r>
          </w:p>
        </w:tc>
        <w:tc>
          <w:tcPr>
            <w:tcW w:w="51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70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乘车舒适度</w:t>
            </w:r>
          </w:p>
        </w:tc>
        <w:tc>
          <w:tcPr>
            <w:tcW w:w="51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70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候车环境</w:t>
            </w:r>
          </w:p>
        </w:tc>
        <w:tc>
          <w:tcPr>
            <w:tcW w:w="51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70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车内卫生环境</w:t>
            </w:r>
          </w:p>
        </w:tc>
        <w:tc>
          <w:tcPr>
            <w:tcW w:w="51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74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权重合计</w:t>
            </w:r>
          </w:p>
        </w:tc>
        <w:tc>
          <w:tcPr>
            <w:tcW w:w="51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r>
    </w:tbl>
    <w:p>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乘客满意度调查内容权重表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rPr>
        <w:t>注：1.单张乘客满意度调查表总得分为相应调查的</w:t>
      </w:r>
      <w:r>
        <w:rPr>
          <w:rFonts w:hint="eastAsia" w:ascii="仿宋" w:hAnsi="仿宋" w:eastAsia="仿宋" w:cs="仿宋"/>
          <w:i w:val="0"/>
          <w:iCs w:val="0"/>
          <w:caps w:val="0"/>
          <w:color w:val="000000"/>
          <w:spacing w:val="0"/>
          <w:sz w:val="28"/>
          <w:szCs w:val="28"/>
          <w:shd w:val="clear" w:fill="FFFFFF"/>
          <w:lang w:val="en-US" w:eastAsia="zh-CN"/>
        </w:rPr>
        <w:t>7</w:t>
      </w:r>
      <w:r>
        <w:rPr>
          <w:rFonts w:hint="eastAsia" w:ascii="仿宋" w:hAnsi="仿宋" w:eastAsia="仿宋" w:cs="仿宋"/>
          <w:i w:val="0"/>
          <w:iCs w:val="0"/>
          <w:caps w:val="0"/>
          <w:color w:val="000000"/>
          <w:spacing w:val="0"/>
          <w:sz w:val="28"/>
          <w:szCs w:val="28"/>
          <w:shd w:val="clear" w:fill="FFFFFF"/>
        </w:rPr>
        <w:t>个单项的等级赋分（0-10分）乘以该项权重；2.单张乘客满意度调查得分</w:t>
      </w:r>
      <w:r>
        <w:rPr>
          <w:rFonts w:hint="eastAsia" w:ascii="仿宋" w:hAnsi="仿宋" w:eastAsia="仿宋" w:cs="仿宋"/>
          <w:i w:val="0"/>
          <w:iCs w:val="0"/>
          <w:caps w:val="0"/>
          <w:color w:val="000000"/>
          <w:spacing w:val="0"/>
          <w:sz w:val="28"/>
          <w:szCs w:val="28"/>
          <w:shd w:val="clear" w:fill="FFFFFF"/>
          <w:lang w:val="en-US" w:eastAsia="zh-CN"/>
        </w:rPr>
        <w:t>80</w:t>
      </w:r>
      <w:r>
        <w:rPr>
          <w:rFonts w:hint="eastAsia" w:ascii="仿宋" w:hAnsi="仿宋" w:eastAsia="仿宋" w:cs="仿宋"/>
          <w:i w:val="0"/>
          <w:iCs w:val="0"/>
          <w:caps w:val="0"/>
          <w:color w:val="000000"/>
          <w:spacing w:val="0"/>
          <w:sz w:val="28"/>
          <w:szCs w:val="28"/>
          <w:shd w:val="clear" w:fill="FFFFFF"/>
        </w:rPr>
        <w:t>分及以上者，视为乘客满意；3.乘客满意度得分=满意的调查问卷数/被调查的总的有效问卷数×100。</w:t>
      </w: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YmZiNDgzMTNiNzVjYTJhOTM1MmJlN2RlMGFkYjQifQ=="/>
  </w:docVars>
  <w:rsids>
    <w:rsidRoot w:val="3533145A"/>
    <w:rsid w:val="042A549C"/>
    <w:rsid w:val="059211F2"/>
    <w:rsid w:val="0CB00AF9"/>
    <w:rsid w:val="12582E7C"/>
    <w:rsid w:val="1EC73863"/>
    <w:rsid w:val="31192C28"/>
    <w:rsid w:val="34090781"/>
    <w:rsid w:val="345770E9"/>
    <w:rsid w:val="34616F01"/>
    <w:rsid w:val="3533145A"/>
    <w:rsid w:val="37B3369D"/>
    <w:rsid w:val="396D7665"/>
    <w:rsid w:val="3FE507C6"/>
    <w:rsid w:val="40955117"/>
    <w:rsid w:val="466A49A8"/>
    <w:rsid w:val="4CC513FC"/>
    <w:rsid w:val="4E2C4773"/>
    <w:rsid w:val="4F4E0F23"/>
    <w:rsid w:val="5884497A"/>
    <w:rsid w:val="5C890A5F"/>
    <w:rsid w:val="6872427E"/>
    <w:rsid w:val="6E0C6169"/>
    <w:rsid w:val="7688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2023-10-11T06:43:00Z</dcterms:created>
  <dc:creator>YC</dc:creator>
  <cp:lastModifiedBy>东风</cp:lastModifiedBy>
  <cp:lastPrinted>2023-11-16T00:31:51Z</cp:lastPrinted>
  <dcterms:modified xsi:type="dcterms:W3CDTF">2023-11-16T00:34:17Z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C9527DF496C64B37AE008054F545E128_11</vt:lpwstr>
  </property>
</Properties>
</file>