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仿宋_GB2312" w:hAnsi="Times New Roman" w:eastAsia="黑体"/>
          <w:bCs/>
          <w:kern w:val="0"/>
          <w:sz w:val="48"/>
          <w:szCs w:val="48"/>
          <w:lang w:val="en-US" w:eastAsia="zh-CN"/>
        </w:rPr>
      </w:pPr>
      <w:r>
        <w:rPr>
          <w:rFonts w:hint="eastAsia" w:ascii="仿宋_GB2312" w:hAnsi="Times New Roman" w:eastAsia="黑体" w:cs="Times New Roman"/>
          <w:bCs/>
          <w:kern w:val="0"/>
          <w:sz w:val="48"/>
          <w:szCs w:val="48"/>
          <w:lang w:val="en-US" w:eastAsia="zh-CN"/>
        </w:rPr>
        <w:t>2024年安化县人民医院部门预算公开</w:t>
      </w:r>
    </w:p>
    <w:p>
      <w:pPr>
        <w:widowControl/>
        <w:spacing w:line="600" w:lineRule="exact"/>
        <w:jc w:val="center"/>
        <w:rPr>
          <w:rFonts w:ascii="仿宋_GB2312" w:hAnsi="Times New Roman" w:eastAsia="黑体"/>
          <w:bCs/>
          <w:kern w:val="0"/>
          <w:sz w:val="32"/>
          <w:szCs w:val="32"/>
        </w:rPr>
      </w:pPr>
      <w:r>
        <w:rPr>
          <w:rFonts w:ascii="仿宋_GB2312" w:hAnsi="Times New Roman" w:eastAsia="黑体"/>
          <w:bCs/>
          <w:kern w:val="0"/>
          <w:sz w:val="32"/>
          <w:szCs w:val="32"/>
        </w:rPr>
        <w:t>目 录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jc w:val="center"/>
        <w:rPr>
          <w:rFonts w:ascii="仿宋_GB2312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Times New Roman" w:eastAsia="方正小标宋_GBK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024</w:t>
      </w:r>
      <w:r>
        <w:rPr>
          <w:rFonts w:hint="eastAsia" w:ascii="仿宋_GB2312" w:hAnsi="Times New Roman" w:eastAsia="仿宋_GB2312" w:cs="Times New Roman"/>
          <w:b/>
          <w:bCs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b/>
          <w:bCs/>
          <w:kern w:val="0"/>
          <w:sz w:val="32"/>
          <w:szCs w:val="32"/>
          <w:lang w:eastAsia="zh-CN"/>
        </w:rPr>
        <w:t>安化县卫健局</w:t>
      </w:r>
      <w:r>
        <w:rPr>
          <w:rFonts w:ascii="仿宋_GB2312" w:hAnsi="Times New Roman" w:eastAsia="仿宋_GB2312" w:cs="Times New Roman"/>
          <w:b/>
          <w:bCs/>
          <w:kern w:val="0"/>
          <w:sz w:val="32"/>
          <w:szCs w:val="32"/>
        </w:rPr>
        <w:t>部门预算说明</w:t>
      </w:r>
    </w:p>
    <w:p>
      <w:pPr>
        <w:widowControl/>
        <w:numPr>
          <w:ilvl w:val="0"/>
          <w:numId w:val="2"/>
        </w:numPr>
        <w:spacing w:line="600" w:lineRule="exact"/>
        <w:ind w:left="630" w:firstLine="0"/>
        <w:rPr>
          <w:rFonts w:ascii="仿宋_GB2312" w:hAnsi="Times New Roman" w:eastAsia="黑体"/>
          <w:bCs/>
          <w:kern w:val="0"/>
          <w:sz w:val="28"/>
          <w:szCs w:val="28"/>
        </w:rPr>
      </w:pPr>
      <w:r>
        <w:rPr>
          <w:rFonts w:ascii="仿宋_GB2312" w:hAnsi="Times New Roman" w:eastAsia="黑体"/>
          <w:bCs/>
          <w:kern w:val="0"/>
          <w:sz w:val="28"/>
          <w:szCs w:val="28"/>
        </w:rPr>
        <w:t>部门基本概况</w:t>
      </w:r>
    </w:p>
    <w:p>
      <w:pPr>
        <w:widowControl/>
        <w:numPr>
          <w:ilvl w:val="0"/>
          <w:numId w:val="2"/>
        </w:numPr>
        <w:spacing w:line="600" w:lineRule="exact"/>
        <w:ind w:left="630" w:firstLine="0"/>
        <w:rPr>
          <w:rFonts w:ascii="仿宋_GB2312" w:hAnsi="Times New Roman" w:eastAsia="黑体"/>
          <w:bCs/>
          <w:kern w:val="0"/>
          <w:sz w:val="28"/>
          <w:szCs w:val="28"/>
        </w:rPr>
      </w:pPr>
      <w:r>
        <w:rPr>
          <w:rFonts w:ascii="仿宋_GB2312" w:hAnsi="Times New Roman" w:eastAsia="黑体"/>
          <w:bCs/>
          <w:kern w:val="0"/>
          <w:sz w:val="28"/>
          <w:szCs w:val="28"/>
        </w:rPr>
        <w:t>部门预算单位构成</w:t>
      </w:r>
    </w:p>
    <w:p>
      <w:pPr>
        <w:widowControl/>
        <w:numPr>
          <w:ilvl w:val="0"/>
          <w:numId w:val="2"/>
        </w:numPr>
        <w:spacing w:line="600" w:lineRule="exact"/>
        <w:ind w:left="630" w:firstLine="0"/>
        <w:rPr>
          <w:rFonts w:ascii="仿宋_GB2312" w:hAnsi="Times New Roman" w:eastAsia="黑体"/>
          <w:bCs/>
          <w:kern w:val="0"/>
          <w:sz w:val="28"/>
          <w:szCs w:val="28"/>
        </w:rPr>
      </w:pPr>
      <w:r>
        <w:rPr>
          <w:rFonts w:ascii="仿宋_GB2312" w:hAnsi="Times New Roman" w:eastAsia="黑体"/>
          <w:bCs/>
          <w:kern w:val="0"/>
          <w:sz w:val="28"/>
          <w:szCs w:val="28"/>
        </w:rPr>
        <w:t>部门收支总体情况</w:t>
      </w:r>
    </w:p>
    <w:p>
      <w:pPr>
        <w:widowControl/>
        <w:numPr>
          <w:ilvl w:val="0"/>
          <w:numId w:val="2"/>
        </w:numPr>
        <w:spacing w:line="600" w:lineRule="exact"/>
        <w:ind w:left="630" w:firstLine="0"/>
        <w:rPr>
          <w:rFonts w:ascii="仿宋_GB2312" w:hAnsi="Times New Roman" w:eastAsia="黑体"/>
          <w:bCs/>
          <w:kern w:val="0"/>
          <w:sz w:val="28"/>
          <w:szCs w:val="28"/>
        </w:rPr>
      </w:pPr>
      <w:r>
        <w:rPr>
          <w:rFonts w:ascii="仿宋_GB2312" w:hAnsi="Times New Roman" w:eastAsia="黑体"/>
          <w:bCs/>
          <w:sz w:val="28"/>
          <w:szCs w:val="28"/>
        </w:rPr>
        <w:t>一般公共预算拨款支出</w:t>
      </w:r>
    </w:p>
    <w:p>
      <w:pPr>
        <w:widowControl/>
        <w:numPr>
          <w:ilvl w:val="0"/>
          <w:numId w:val="2"/>
        </w:numPr>
        <w:spacing w:line="600" w:lineRule="exact"/>
        <w:ind w:left="630" w:firstLine="0"/>
        <w:rPr>
          <w:rFonts w:ascii="仿宋_GB2312" w:hAnsi="Times New Roman" w:eastAsia="黑体"/>
          <w:bCs/>
          <w:kern w:val="0"/>
          <w:sz w:val="28"/>
          <w:szCs w:val="28"/>
        </w:rPr>
      </w:pPr>
      <w:r>
        <w:rPr>
          <w:rFonts w:ascii="仿宋_GB2312" w:hAnsi="Times New Roman" w:eastAsia="黑体"/>
          <w:bCs/>
          <w:sz w:val="28"/>
          <w:szCs w:val="28"/>
        </w:rPr>
        <w:t>政府性基金预算支出</w:t>
      </w:r>
    </w:p>
    <w:p>
      <w:pPr>
        <w:widowControl/>
        <w:numPr>
          <w:ilvl w:val="0"/>
          <w:numId w:val="2"/>
        </w:numPr>
        <w:spacing w:line="600" w:lineRule="exact"/>
        <w:ind w:left="630" w:firstLine="0"/>
        <w:rPr>
          <w:rFonts w:ascii="仿宋_GB2312" w:hAnsi="Times New Roman" w:eastAsia="黑体"/>
          <w:bCs/>
          <w:kern w:val="0"/>
          <w:sz w:val="28"/>
          <w:szCs w:val="28"/>
        </w:rPr>
      </w:pPr>
      <w:r>
        <w:rPr>
          <w:rFonts w:ascii="仿宋_GB2312" w:hAnsi="Times New Roman" w:eastAsia="黑体"/>
          <w:bCs/>
          <w:sz w:val="28"/>
          <w:szCs w:val="28"/>
        </w:rPr>
        <w:t>其他重要事项的情况说明</w:t>
      </w:r>
    </w:p>
    <w:p>
      <w:pPr>
        <w:widowControl/>
        <w:numPr>
          <w:ilvl w:val="0"/>
          <w:numId w:val="2"/>
        </w:numPr>
        <w:spacing w:line="600" w:lineRule="exact"/>
        <w:ind w:left="630" w:firstLine="0"/>
        <w:rPr>
          <w:rFonts w:ascii="仿宋_GB2312" w:hAnsi="Times New Roman" w:eastAsia="黑体"/>
          <w:bCs/>
          <w:kern w:val="0"/>
          <w:sz w:val="28"/>
          <w:szCs w:val="28"/>
        </w:rPr>
      </w:pPr>
      <w:r>
        <w:rPr>
          <w:rFonts w:ascii="仿宋_GB2312" w:hAnsi="Times New Roman" w:eastAsia="黑体"/>
          <w:bCs/>
          <w:sz w:val="28"/>
          <w:szCs w:val="28"/>
        </w:rPr>
        <w:t>名词解释</w:t>
      </w:r>
    </w:p>
    <w:p>
      <w:pPr>
        <w:widowControl/>
        <w:spacing w:line="600" w:lineRule="exact"/>
        <w:ind w:firstLine="643" w:firstLineChars="200"/>
        <w:jc w:val="center"/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</w:pPr>
      <w:r>
        <w:rPr>
          <w:rFonts w:ascii="仿宋_GB2312" w:hAnsi="Times New Roman" w:eastAsia="仿宋_GB2312"/>
          <w:b/>
          <w:bCs/>
          <w:kern w:val="0"/>
          <w:sz w:val="32"/>
          <w:szCs w:val="32"/>
        </w:rPr>
        <w:t xml:space="preserve">第二部分 </w:t>
      </w: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  <w:lang w:val="en-US" w:eastAsia="zh-CN"/>
        </w:rPr>
        <w:t>2024</w:t>
      </w:r>
      <w:r>
        <w:rPr>
          <w:rFonts w:ascii="仿宋_GB2312" w:hAnsi="Times New Roman" w:eastAsia="仿宋_GB2312"/>
          <w:b/>
          <w:bCs/>
          <w:kern w:val="0"/>
          <w:sz w:val="32"/>
          <w:szCs w:val="32"/>
        </w:rPr>
        <w:t>年部门预算</w:t>
      </w: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公开的</w:t>
      </w:r>
      <w:r>
        <w:rPr>
          <w:rFonts w:ascii="仿宋_GB2312" w:hAnsi="Times New Roman" w:eastAsia="仿宋_GB2312"/>
          <w:b/>
          <w:bCs/>
          <w:kern w:val="0"/>
          <w:sz w:val="32"/>
          <w:szCs w:val="32"/>
        </w:rPr>
        <w:t>表</w:t>
      </w: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格</w:t>
      </w:r>
    </w:p>
    <w:p>
      <w:pPr>
        <w:widowControl/>
        <w:numPr>
          <w:ilvl w:val="0"/>
          <w:numId w:val="3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收支总表</w:t>
      </w:r>
    </w:p>
    <w:p>
      <w:pPr>
        <w:widowControl/>
        <w:numPr>
          <w:ilvl w:val="0"/>
          <w:numId w:val="3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收入总表</w:t>
      </w:r>
    </w:p>
    <w:p>
      <w:pPr>
        <w:widowControl/>
        <w:numPr>
          <w:ilvl w:val="0"/>
          <w:numId w:val="3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支出总表</w:t>
      </w:r>
    </w:p>
    <w:p>
      <w:pPr>
        <w:widowControl/>
        <w:numPr>
          <w:ilvl w:val="0"/>
          <w:numId w:val="3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支出预算分类汇总表（按政府预算经济分类）</w:t>
      </w:r>
    </w:p>
    <w:p>
      <w:pPr>
        <w:widowControl/>
        <w:numPr>
          <w:ilvl w:val="0"/>
          <w:numId w:val="3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支出预算分类汇总表（按部门预算经济分类）</w:t>
      </w:r>
    </w:p>
    <w:p>
      <w:pPr>
        <w:widowControl/>
        <w:numPr>
          <w:ilvl w:val="0"/>
          <w:numId w:val="3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财政拨款收支总表</w:t>
      </w:r>
    </w:p>
    <w:p>
      <w:pPr>
        <w:widowControl/>
        <w:numPr>
          <w:ilvl w:val="0"/>
          <w:numId w:val="3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一般公共预算支出表</w:t>
      </w:r>
    </w:p>
    <w:p>
      <w:pPr>
        <w:widowControl/>
        <w:numPr>
          <w:ilvl w:val="0"/>
          <w:numId w:val="3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一般公共预算基本支出表</w:t>
      </w:r>
    </w:p>
    <w:p>
      <w:pPr>
        <w:widowControl/>
        <w:numPr>
          <w:ilvl w:val="0"/>
          <w:numId w:val="3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一般公共预算基本支出表——人员经费（工资福利支出）（按政府预算经济分类）</w:t>
      </w:r>
    </w:p>
    <w:p>
      <w:pPr>
        <w:widowControl/>
        <w:numPr>
          <w:ilvl w:val="0"/>
          <w:numId w:val="3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一般公共预算基本支出表——人员经费（工资福利支出）（按部门预算经济分类）</w:t>
      </w:r>
    </w:p>
    <w:p>
      <w:pPr>
        <w:widowControl/>
        <w:numPr>
          <w:ilvl w:val="0"/>
          <w:numId w:val="3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一般公共预算基本支出表——人员经费（对个人和家庭的补助）（按政府预算经济分类）</w:t>
      </w:r>
    </w:p>
    <w:p>
      <w:pPr>
        <w:widowControl/>
        <w:numPr>
          <w:ilvl w:val="0"/>
          <w:numId w:val="3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一般公共预算基本支出表——人员经费（对个人和家庭的补助）（按部门预算经济分类）</w:t>
      </w:r>
    </w:p>
    <w:p>
      <w:pPr>
        <w:widowControl/>
        <w:numPr>
          <w:ilvl w:val="0"/>
          <w:numId w:val="3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一般公共预算基本支出表——公用经费（商品和服务支出）（按政府预算经济分类）</w:t>
      </w:r>
    </w:p>
    <w:p>
      <w:pPr>
        <w:widowControl/>
        <w:numPr>
          <w:ilvl w:val="0"/>
          <w:numId w:val="3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一般公共预算基本支出表——公用经费（商品和服务支出）（按部门预算经济分类）</w:t>
      </w:r>
    </w:p>
    <w:p>
      <w:pPr>
        <w:widowControl/>
        <w:numPr>
          <w:ilvl w:val="0"/>
          <w:numId w:val="3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一般公共预算“三公”经费支出表</w:t>
      </w:r>
    </w:p>
    <w:p>
      <w:pPr>
        <w:widowControl/>
        <w:numPr>
          <w:ilvl w:val="0"/>
          <w:numId w:val="3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政府性基金预算支出表</w:t>
      </w:r>
    </w:p>
    <w:p>
      <w:pPr>
        <w:widowControl/>
        <w:numPr>
          <w:ilvl w:val="0"/>
          <w:numId w:val="3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政府性基金预算支出分类汇总表（按政府预算经济分类）</w:t>
      </w:r>
    </w:p>
    <w:p>
      <w:pPr>
        <w:widowControl/>
        <w:numPr>
          <w:ilvl w:val="0"/>
          <w:numId w:val="3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政府性基金预算支出分类汇总表（按部门预算经济分类）</w:t>
      </w:r>
    </w:p>
    <w:p>
      <w:pPr>
        <w:widowControl/>
        <w:numPr>
          <w:ilvl w:val="0"/>
          <w:numId w:val="3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国有资本经营预算支出表</w:t>
      </w:r>
    </w:p>
    <w:p>
      <w:pPr>
        <w:widowControl/>
        <w:numPr>
          <w:ilvl w:val="0"/>
          <w:numId w:val="3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财政专户管理资金预算支出表</w:t>
      </w:r>
    </w:p>
    <w:p>
      <w:pPr>
        <w:widowControl/>
        <w:numPr>
          <w:ilvl w:val="0"/>
          <w:numId w:val="3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专项资金预算汇总表</w:t>
      </w:r>
    </w:p>
    <w:p>
      <w:pPr>
        <w:widowControl/>
        <w:numPr>
          <w:ilvl w:val="0"/>
          <w:numId w:val="3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项目支出绩效目标表</w:t>
      </w:r>
    </w:p>
    <w:p>
      <w:pPr>
        <w:widowControl/>
        <w:numPr>
          <w:ilvl w:val="0"/>
          <w:numId w:val="3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整体支出绩效目标表</w:t>
      </w:r>
    </w:p>
    <w:p>
      <w:pPr>
        <w:widowControl/>
        <w:spacing w:line="600" w:lineRule="exact"/>
        <w:ind w:firstLine="640" w:firstLineChars="200"/>
        <w:rPr>
          <w:rFonts w:ascii="仿宋_GB2312" w:hAnsi="Times New Roman" w:eastAsia="仿宋_GB2312"/>
          <w:bCs/>
          <w:kern w:val="0"/>
          <w:sz w:val="32"/>
          <w:szCs w:val="32"/>
        </w:rPr>
      </w:pPr>
      <w:r>
        <w:rPr>
          <w:rFonts w:ascii="仿宋_GB2312" w:hAnsi="Times New Roman"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_GB2312" w:hAnsi="Times New Roman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ascii="仿宋_GB2312" w:hAnsi="Times New Roman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ascii="仿宋_GB2312" w:hAnsi="Times New Roman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ascii="仿宋_GB2312" w:hAnsi="Times New Roman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ascii="仿宋_GB2312" w:hAnsi="Times New Roman" w:eastAsia="方正小标宋_GBK"/>
          <w:bCs/>
          <w:kern w:val="0"/>
          <w:sz w:val="36"/>
          <w:szCs w:val="36"/>
        </w:rPr>
      </w:pPr>
      <w:r>
        <w:rPr>
          <w:rFonts w:ascii="仿宋_GB2312" w:hAnsi="Times New Roman" w:eastAsia="方正小标宋_GBK"/>
          <w:bCs/>
          <w:kern w:val="0"/>
          <w:sz w:val="36"/>
          <w:szCs w:val="36"/>
        </w:rPr>
        <w:t xml:space="preserve">第一部分 </w:t>
      </w:r>
      <w:r>
        <w:rPr>
          <w:rFonts w:hint="eastAsia" w:ascii="仿宋" w:hAnsi="仿宋" w:eastAsia="仿宋" w:cs="仿宋"/>
          <w:b/>
          <w:bCs w:val="0"/>
          <w:kern w:val="0"/>
          <w:sz w:val="36"/>
          <w:szCs w:val="36"/>
          <w:lang w:val="en-US" w:eastAsia="zh-CN"/>
        </w:rPr>
        <w:t>2024</w:t>
      </w:r>
      <w:r>
        <w:rPr>
          <w:rFonts w:hint="eastAsia" w:ascii="仿宋" w:hAnsi="仿宋" w:eastAsia="仿宋" w:cs="仿宋"/>
          <w:b/>
          <w:bCs w:val="0"/>
          <w:kern w:val="0"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bCs w:val="0"/>
          <w:kern w:val="0"/>
          <w:sz w:val="36"/>
          <w:szCs w:val="36"/>
          <w:lang w:eastAsia="zh-CN"/>
        </w:rPr>
        <w:t>安化县人民医院</w:t>
      </w:r>
      <w:r>
        <w:rPr>
          <w:rFonts w:hint="eastAsia" w:ascii="仿宋" w:hAnsi="仿宋" w:eastAsia="仿宋" w:cs="仿宋"/>
          <w:b/>
          <w:bCs w:val="0"/>
          <w:kern w:val="0"/>
          <w:sz w:val="36"/>
          <w:szCs w:val="36"/>
        </w:rPr>
        <w:t>预算说明</w:t>
      </w:r>
    </w:p>
    <w:p>
      <w:pPr>
        <w:widowControl/>
        <w:spacing w:line="600" w:lineRule="exact"/>
        <w:jc w:val="left"/>
        <w:rPr>
          <w:rFonts w:ascii="仿宋_GB2312" w:hAnsi="Times New Roman"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27" w:firstLineChars="196"/>
        <w:jc w:val="left"/>
        <w:rPr>
          <w:rFonts w:ascii="仿宋_GB2312" w:hAnsi="Times New Roman" w:eastAsia="黑体"/>
          <w:bCs/>
          <w:kern w:val="0"/>
          <w:sz w:val="32"/>
          <w:szCs w:val="32"/>
        </w:rPr>
      </w:pPr>
      <w:r>
        <w:rPr>
          <w:rFonts w:ascii="仿宋_GB2312" w:hAnsi="Times New Roman" w:eastAsia="黑体"/>
          <w:bCs/>
          <w:kern w:val="0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30" w:firstLineChars="196"/>
        <w:jc w:val="left"/>
        <w:rPr>
          <w:rFonts w:hint="eastAsia" w:ascii="仿宋_GB2312" w:hAnsi="Times New Roman" w:eastAsia="楷体_GB2312"/>
          <w:b/>
          <w:sz w:val="32"/>
          <w:szCs w:val="32"/>
          <w:lang w:eastAsia="zh-CN"/>
        </w:rPr>
      </w:pPr>
      <w:r>
        <w:rPr>
          <w:rFonts w:ascii="仿宋_GB2312" w:hAnsi="Times New Roman" w:eastAsia="楷体_GB2312"/>
          <w:b/>
          <w:sz w:val="32"/>
          <w:szCs w:val="32"/>
        </w:rPr>
        <w:t>（一）职能职责</w:t>
      </w:r>
      <w:r>
        <w:rPr>
          <w:rFonts w:hint="eastAsia" w:ascii="仿宋_GB2312" w:hAnsi="Times New Roman" w:eastAsia="楷体_GB2312"/>
          <w:b/>
          <w:sz w:val="32"/>
          <w:szCs w:val="32"/>
          <w:lang w:eastAsia="zh-CN"/>
        </w:rPr>
        <w:t>。</w:t>
      </w:r>
    </w:p>
    <w:p>
      <w:pPr>
        <w:pStyle w:val="4"/>
        <w:ind w:firstLine="960" w:firstLineChars="300"/>
        <w:rPr>
          <w:rStyle w:val="7"/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Style w:val="7"/>
          <w:rFonts w:hint="eastAsia" w:ascii="仿宋" w:hAnsi="仿宋" w:eastAsia="仿宋"/>
          <w:sz w:val="32"/>
          <w:szCs w:val="32"/>
        </w:rPr>
        <w:t>贯彻执行党和国家的卫生方针、政策和法律法规。</w:t>
      </w:r>
    </w:p>
    <w:p>
      <w:pPr>
        <w:pStyle w:val="4"/>
        <w:ind w:firstLine="960" w:firstLineChars="300"/>
        <w:rPr>
          <w:rStyle w:val="7"/>
          <w:rFonts w:ascii="仿宋" w:hAnsi="仿宋" w:eastAsia="仿宋"/>
          <w:sz w:val="32"/>
          <w:szCs w:val="32"/>
        </w:rPr>
      </w:pPr>
      <w:r>
        <w:rPr>
          <w:rStyle w:val="7"/>
          <w:rFonts w:hint="eastAsia" w:ascii="仿宋" w:hAnsi="仿宋" w:eastAsia="仿宋"/>
          <w:sz w:val="32"/>
          <w:szCs w:val="32"/>
        </w:rPr>
        <w:t>2、开展医疗与护理、健康保健等工作，为人民身体健康提供医疗、护理与保健服务。</w:t>
      </w:r>
    </w:p>
    <w:p>
      <w:pPr>
        <w:pStyle w:val="4"/>
        <w:ind w:firstLine="960" w:firstLineChars="300"/>
        <w:rPr>
          <w:rStyle w:val="7"/>
          <w:rFonts w:ascii="仿宋" w:hAnsi="仿宋" w:eastAsia="仿宋"/>
          <w:sz w:val="32"/>
          <w:szCs w:val="32"/>
        </w:rPr>
      </w:pPr>
      <w:r>
        <w:rPr>
          <w:rStyle w:val="7"/>
          <w:rFonts w:hint="eastAsia" w:ascii="仿宋" w:hAnsi="仿宋" w:eastAsia="仿宋"/>
          <w:sz w:val="32"/>
          <w:szCs w:val="32"/>
        </w:rPr>
        <w:t>3、开展临床教学、实习、培训及科研工作。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4、完成上级和业务主管部门交办的其它工作。</w:t>
      </w:r>
    </w:p>
    <w:p>
      <w:pPr>
        <w:widowControl/>
        <w:spacing w:line="600" w:lineRule="exact"/>
        <w:ind w:firstLine="630" w:firstLineChars="196"/>
        <w:jc w:val="left"/>
        <w:rPr>
          <w:rFonts w:ascii="仿宋_GB2312" w:hAnsi="Times New Roman" w:eastAsia="楷体_GB2312"/>
          <w:b/>
          <w:sz w:val="32"/>
          <w:szCs w:val="32"/>
        </w:rPr>
      </w:pPr>
      <w:r>
        <w:rPr>
          <w:rFonts w:ascii="仿宋_GB2312" w:hAnsi="Times New Roman" w:eastAsia="楷体_GB2312"/>
          <w:b/>
          <w:sz w:val="32"/>
          <w:szCs w:val="32"/>
        </w:rPr>
        <w:t>（二）机构设置。</w:t>
      </w:r>
    </w:p>
    <w:p>
      <w:pPr>
        <w:pStyle w:val="3"/>
        <w:shd w:val="clear" w:color="auto" w:fill="FFFFFF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根据上述职责，设</w:t>
      </w:r>
      <w:r>
        <w:rPr>
          <w:rFonts w:ascii="仿宋_GB2312" w:eastAsia="仿宋_GB2312"/>
          <w:sz w:val="32"/>
          <w:szCs w:val="32"/>
        </w:rPr>
        <w:t>24</w:t>
      </w:r>
      <w:r>
        <w:rPr>
          <w:rFonts w:hint="eastAsia" w:ascii="仿宋_GB2312" w:eastAsia="仿宋_GB2312"/>
          <w:sz w:val="32"/>
          <w:szCs w:val="32"/>
        </w:rPr>
        <w:t>个行政管理科室、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4个临床科室、</w:t>
      </w:r>
      <w:r>
        <w:rPr>
          <w:rFonts w:ascii="仿宋_GB2312" w:eastAsia="仿宋_GB2312"/>
          <w:sz w:val="32"/>
          <w:szCs w:val="32"/>
        </w:rPr>
        <w:t>13</w:t>
      </w:r>
      <w:r>
        <w:rPr>
          <w:rFonts w:hint="eastAsia" w:ascii="仿宋_GB2312" w:eastAsia="仿宋_GB2312"/>
          <w:sz w:val="32"/>
          <w:szCs w:val="32"/>
        </w:rPr>
        <w:t>个医技科室、1个下属机构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全部纳入2024年部门预算编制范围。 </w:t>
      </w:r>
    </w:p>
    <w:p>
      <w:pPr>
        <w:ind w:firstLine="64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eastAsia="楷体_GB2312"/>
          <w:bCs/>
          <w:sz w:val="32"/>
          <w:szCs w:val="32"/>
        </w:rPr>
        <w:t>1、</w:t>
      </w:r>
      <w:r>
        <w:rPr>
          <w:rFonts w:hint="eastAsia" w:ascii="仿宋" w:hAnsi="仿宋" w:eastAsia="仿宋"/>
          <w:sz w:val="30"/>
          <w:szCs w:val="30"/>
        </w:rPr>
        <w:t>行政管理科室：</w:t>
      </w:r>
      <w:r>
        <w:rPr>
          <w:rFonts w:hint="eastAsia" w:ascii="仿宋" w:hAnsi="仿宋" w:eastAsia="仿宋"/>
          <w:kern w:val="0"/>
          <w:sz w:val="30"/>
          <w:szCs w:val="30"/>
        </w:rPr>
        <w:t>院办公室、</w:t>
      </w:r>
      <w:bookmarkStart w:id="0" w:name="_GoBack"/>
      <w:bookmarkEnd w:id="0"/>
      <w:r>
        <w:rPr>
          <w:rFonts w:hint="eastAsia" w:ascii="仿宋" w:hAnsi="仿宋" w:eastAsia="仿宋"/>
          <w:kern w:val="0"/>
          <w:sz w:val="30"/>
          <w:szCs w:val="30"/>
        </w:rPr>
        <w:t>人力资源部、财务科、运营部、医务科、护理部、总务后勤科、院感科、质控科、科教科、审计物价科、设备科、网络信息中心、综治办、医保科、门诊办、爱卫办、绩效考核办、经管办、</w:t>
      </w:r>
      <w:r>
        <w:rPr>
          <w:rFonts w:hint="eastAsia" w:ascii="仿宋" w:hAnsi="仿宋" w:eastAsia="仿宋"/>
          <w:sz w:val="30"/>
          <w:szCs w:val="30"/>
        </w:rPr>
        <w:t>医改办、</w:t>
      </w:r>
      <w:r>
        <w:rPr>
          <w:rFonts w:hint="eastAsia" w:ascii="仿宋" w:hAnsi="仿宋" w:eastAsia="仿宋"/>
          <w:kern w:val="0"/>
          <w:sz w:val="30"/>
          <w:szCs w:val="30"/>
        </w:rPr>
        <w:t>安全生产办、预防保健科、</w:t>
      </w:r>
      <w:r>
        <w:rPr>
          <w:rFonts w:hint="eastAsia" w:ascii="仿宋" w:hAnsi="仿宋" w:eastAsia="仿宋"/>
          <w:sz w:val="30"/>
          <w:szCs w:val="30"/>
        </w:rPr>
        <w:t>建设办、等级评审办。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临床科室：新生儿科、普儿科、产科、妇科、神经外科、泌尿外科、创伤关节下肢外科、肾内科、脊柱骨病上肢外科、眼耳鼻喉科、肝胆外科、呼吸与危重症一科、呼吸与危重症二科、代谢内分泌营养科、消化内科、心血管内一科、心血管内二科、胃肠外科、神经内科、感染科、肿瘤血液内科、老年中医风湿免疫一科、康复治疗中心、血液净化中心一科、皮肤科门诊、口腔一科、儿科门急诊、门诊输液室、门诊手术室、急诊科</w:t>
      </w:r>
      <w:r>
        <w:rPr>
          <w:rFonts w:ascii="仿宋" w:hAnsi="仿宋" w:eastAsia="仿宋"/>
          <w:sz w:val="30"/>
          <w:szCs w:val="30"/>
        </w:rPr>
        <w:t>120</w:t>
      </w:r>
      <w:r>
        <w:rPr>
          <w:rFonts w:hint="eastAsia" w:ascii="仿宋" w:hAnsi="仿宋" w:eastAsia="仿宋"/>
          <w:sz w:val="30"/>
          <w:szCs w:val="30"/>
        </w:rPr>
        <w:t>、麻醉手术科、重症医学科（</w:t>
      </w:r>
      <w:r>
        <w:rPr>
          <w:rFonts w:ascii="仿宋" w:hAnsi="仿宋" w:eastAsia="仿宋"/>
          <w:sz w:val="30"/>
          <w:szCs w:val="30"/>
        </w:rPr>
        <w:t>ICU</w:t>
      </w:r>
      <w:r>
        <w:rPr>
          <w:rFonts w:hint="eastAsia" w:ascii="仿宋" w:hAnsi="仿宋" w:eastAsia="仿宋"/>
          <w:sz w:val="30"/>
          <w:szCs w:val="30"/>
        </w:rPr>
        <w:t>）、全科医学科、儿童保健科。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3、医技科室：检验科、输血科、放射医学影像中心、病理科、药剂科、超声科、内镜中心、消毒供应中心、健康管理中心、心电图室、高压氧室、临床药学室、肿瘤放疗中心。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4、下属机构设置：辰峰司法鉴定所（独立法人）</w:t>
      </w:r>
    </w:p>
    <w:p>
      <w:pPr>
        <w:widowControl/>
        <w:spacing w:line="600" w:lineRule="exact"/>
        <w:ind w:firstLine="627" w:firstLineChars="196"/>
        <w:jc w:val="left"/>
        <w:rPr>
          <w:rFonts w:ascii="仿宋_GB2312" w:hAnsi="Times New Roman" w:eastAsia="黑体"/>
          <w:kern w:val="0"/>
          <w:sz w:val="32"/>
          <w:szCs w:val="32"/>
        </w:rPr>
      </w:pPr>
      <w:r>
        <w:rPr>
          <w:rFonts w:ascii="仿宋_GB2312" w:hAnsi="Times New Roman" w:eastAsia="黑体"/>
          <w:kern w:val="0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27" w:firstLineChars="196"/>
        <w:jc w:val="left"/>
        <w:rPr>
          <w:rFonts w:ascii="仿宋_GB2312" w:hAnsi="Times New Roman" w:eastAsia="黑体"/>
          <w:bCs/>
          <w:kern w:val="0"/>
          <w:sz w:val="32"/>
          <w:szCs w:val="32"/>
        </w:rPr>
      </w:pPr>
      <w:r>
        <w:rPr>
          <w:rFonts w:ascii="仿宋_GB2312" w:hAnsi="Times New Roman" w:eastAsia="黑体"/>
          <w:bCs/>
          <w:kern w:val="0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30" w:firstLineChars="196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ascii="仿宋_GB2312" w:hAnsi="Times New Roman" w:eastAsia="楷体_GB2312"/>
          <w:b/>
          <w:sz w:val="32"/>
          <w:szCs w:val="32"/>
        </w:rPr>
        <w:t>（一）收入预算：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包括一般公共预算、政府性基金、国有资本经营预算等财政拨款收入，以及经营收入、事业收入等单位资金。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 xml:space="preserve">年本部门收入预算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1869.14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 xml:space="preserve"> 万元，全部为一般公共预算拨款。收入较去年增加减少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6.66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万元，主要是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社会保障和就业支出减少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1.8万元，卫生健康支出减少6.49万元，住房保障支出增加1.63万元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ascii="仿宋_GB2312" w:hAnsi="Times New Roman" w:eastAsia="楷体_GB2312"/>
          <w:b/>
          <w:sz w:val="32"/>
          <w:szCs w:val="32"/>
        </w:rPr>
        <w:t>（二）支出预算：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 xml:space="preserve">年本部门支出预算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1869.14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万元，其中，其中，社会保障和就业支出26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0.08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万元，卫生健康支出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1287.77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万元，住房保障支出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321.29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万元。支出较去年减少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6.66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万元，主要是社会保障和就业支出减少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1.8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万元，住房保障支出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减少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6.49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万元，卫生健康支出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增加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1.63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万元。</w:t>
      </w:r>
    </w:p>
    <w:p>
      <w:pPr>
        <w:widowControl/>
        <w:spacing w:line="600" w:lineRule="exact"/>
        <w:ind w:firstLine="660"/>
        <w:jc w:val="left"/>
        <w:rPr>
          <w:rFonts w:ascii="仿宋_GB2312" w:hAnsi="Times New Roman" w:eastAsia="黑体"/>
          <w:sz w:val="32"/>
          <w:szCs w:val="32"/>
        </w:rPr>
      </w:pPr>
      <w:r>
        <w:rPr>
          <w:rFonts w:ascii="仿宋_GB2312" w:hAnsi="Times New Roman" w:eastAsia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2024</w:t>
      </w:r>
      <w:r>
        <w:rPr>
          <w:rFonts w:ascii="仿宋_GB2312" w:hAnsi="Times New Roman" w:eastAsia="仿宋_GB2312"/>
          <w:sz w:val="32"/>
          <w:szCs w:val="32"/>
        </w:rPr>
        <w:t>年本部门一般公共预算拨款支出预算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1869.14</w:t>
      </w:r>
      <w:r>
        <w:rPr>
          <w:rFonts w:hint="eastAsia" w:ascii="仿宋" w:hAnsi="仿宋" w:eastAsia="仿宋" w:cs="仿宋"/>
          <w:sz w:val="32"/>
          <w:szCs w:val="32"/>
          <w:u w:val="none"/>
        </w:rPr>
        <w:t>万元，其中，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社会保障和就业支出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260.08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万元，占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13.91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%；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卫生健康支出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1287.77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万元，占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68.90</w:t>
      </w:r>
      <w:r>
        <w:rPr>
          <w:rFonts w:hint="eastAsia" w:ascii="仿宋" w:hAnsi="仿宋" w:eastAsia="仿宋" w:cs="仿宋"/>
          <w:sz w:val="32"/>
          <w:szCs w:val="32"/>
          <w:u w:val="none"/>
        </w:rPr>
        <w:t>%；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住房保障支出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321.29万元，占17.19%</w:t>
      </w:r>
      <w:r>
        <w:rPr>
          <w:rFonts w:hint="eastAsia" w:ascii="仿宋" w:hAnsi="仿宋" w:eastAsia="仿宋" w:cs="仿宋"/>
          <w:sz w:val="32"/>
          <w:szCs w:val="32"/>
          <w:u w:val="none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ascii="仿宋_GB2312" w:hAnsi="Times New Roman" w:eastAsia="楷体_GB2312"/>
          <w:b/>
          <w:sz w:val="32"/>
          <w:szCs w:val="32"/>
        </w:rPr>
        <w:t>（一）基本支出：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年本部门基本支出预算数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1851.83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  <w:u w:val="none"/>
        </w:rPr>
      </w:pPr>
      <w:r>
        <w:rPr>
          <w:rFonts w:ascii="仿宋_GB2312" w:hAnsi="Times New Roman" w:eastAsia="楷体_GB2312"/>
          <w:b/>
          <w:sz w:val="32"/>
          <w:szCs w:val="32"/>
        </w:rPr>
        <w:t>（二）项目支出：</w:t>
      </w:r>
      <w:r>
        <w:rPr>
          <w:rFonts w:hint="eastAsia" w:ascii="仿宋_GB2312" w:hAnsi="Times New Roman" w:eastAsia="仿宋_GB2312"/>
          <w:sz w:val="32"/>
          <w:szCs w:val="32"/>
          <w:u w:val="none"/>
          <w:lang w:val="en-US" w:eastAsia="zh-CN"/>
        </w:rPr>
        <w:t>2024</w:t>
      </w:r>
      <w:r>
        <w:rPr>
          <w:rFonts w:ascii="仿宋_GB2312" w:hAnsi="Times New Roman" w:eastAsia="仿宋_GB2312"/>
          <w:sz w:val="32"/>
          <w:szCs w:val="32"/>
          <w:u w:val="none"/>
        </w:rPr>
        <w:t>年本部门项目支出预算</w:t>
      </w:r>
      <w:r>
        <w:rPr>
          <w:rFonts w:hint="eastAsia" w:ascii="仿宋_GB2312" w:hAnsi="Times New Roman" w:eastAsia="仿宋_GB2312"/>
          <w:sz w:val="32"/>
          <w:szCs w:val="32"/>
          <w:u w:val="none"/>
          <w:lang w:val="en-US" w:eastAsia="zh-CN"/>
        </w:rPr>
        <w:t>17.31</w:t>
      </w:r>
      <w:r>
        <w:rPr>
          <w:rFonts w:ascii="仿宋_GB2312" w:hAnsi="Times New Roman" w:eastAsia="仿宋_GB2312"/>
          <w:sz w:val="32"/>
          <w:szCs w:val="32"/>
          <w:u w:val="none"/>
        </w:rPr>
        <w:t>万元，主要是部门为完成特定行政工作任务或事业发展目标而发生的支出，包括有关事业发展专项、专项业务费、基本建设支出等，其中：</w:t>
      </w:r>
      <w:r>
        <w:rPr>
          <w:rFonts w:eastAsia="仿宋_GB2312"/>
          <w:sz w:val="32"/>
          <w:szCs w:val="32"/>
          <w:u w:val="none"/>
        </w:rPr>
        <w:t>其中：</w:t>
      </w:r>
      <w:r>
        <w:rPr>
          <w:rFonts w:hint="eastAsia" w:eastAsia="仿宋_GB2312"/>
          <w:sz w:val="32"/>
          <w:szCs w:val="32"/>
          <w:u w:val="none"/>
        </w:rPr>
        <w:t>专项商品服务</w:t>
      </w:r>
      <w:r>
        <w:rPr>
          <w:rFonts w:eastAsia="仿宋_GB2312"/>
          <w:sz w:val="32"/>
          <w:szCs w:val="32"/>
          <w:u w:val="none"/>
        </w:rPr>
        <w:t>支出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17.31</w:t>
      </w:r>
      <w:r>
        <w:rPr>
          <w:rFonts w:eastAsia="仿宋_GB2312"/>
          <w:sz w:val="32"/>
          <w:szCs w:val="32"/>
          <w:u w:val="none"/>
        </w:rPr>
        <w:t>万元，主要</w:t>
      </w:r>
      <w:r>
        <w:rPr>
          <w:rFonts w:hint="eastAsia" w:eastAsia="仿宋_GB2312"/>
          <w:sz w:val="32"/>
          <w:szCs w:val="32"/>
          <w:u w:val="none"/>
        </w:rPr>
        <w:t>是残疾人评定费用</w:t>
      </w:r>
      <w:r>
        <w:rPr>
          <w:rFonts w:eastAsia="仿宋_GB2312"/>
          <w:sz w:val="32"/>
          <w:szCs w:val="32"/>
          <w:u w:val="none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本部门无政府性基金安排的支出</w:t>
      </w:r>
      <w:r>
        <w:rPr>
          <w:rFonts w:hint="eastAsia" w:eastAsia="仿宋_GB2312"/>
          <w:b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ascii="仿宋_GB2312" w:hAnsi="Times New Roman" w:eastAsia="黑体"/>
          <w:sz w:val="32"/>
          <w:szCs w:val="32"/>
        </w:rPr>
      </w:pPr>
      <w:r>
        <w:rPr>
          <w:rFonts w:ascii="仿宋_GB2312" w:hAnsi="Times New Roman" w:eastAsia="黑体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年本部门</w:t>
      </w:r>
      <w:r>
        <w:rPr>
          <w:rFonts w:hint="eastAsia" w:eastAsia="仿宋_GB2312"/>
          <w:sz w:val="32"/>
          <w:szCs w:val="32"/>
        </w:rPr>
        <w:t>无机关运行经费支出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（二）“三公”经费预算：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年本部门</w:t>
      </w:r>
      <w:r>
        <w:rPr>
          <w:rFonts w:hint="eastAsia" w:eastAsia="仿宋_GB2312"/>
          <w:sz w:val="32"/>
          <w:szCs w:val="32"/>
        </w:rPr>
        <w:t>无三公经费安排支出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（三）一般性支出情况：</w:t>
      </w:r>
      <w:r>
        <w:rPr>
          <w:rFonts w:hint="eastAsia" w:eastAsia="仿宋_GB2312"/>
          <w:kern w:val="0"/>
          <w:sz w:val="32"/>
          <w:szCs w:val="32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eastAsia="仿宋_GB2312"/>
          <w:kern w:val="0"/>
          <w:sz w:val="32"/>
          <w:szCs w:val="32"/>
        </w:rPr>
        <w:t>年本部门</w:t>
      </w:r>
      <w:r>
        <w:rPr>
          <w:rFonts w:hint="eastAsia" w:eastAsia="仿宋_GB2312"/>
          <w:kern w:val="0"/>
          <w:sz w:val="32"/>
          <w:szCs w:val="32"/>
        </w:rPr>
        <w:t>无会议费预算和培训预算，也无其他节庆晚会等预算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（四）政府采购情况：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年本部门政府采购预算总额</w:t>
      </w:r>
      <w:r>
        <w:rPr>
          <w:rFonts w:hint="eastAsia" w:eastAsia="仿宋_GB2312"/>
          <w:sz w:val="32"/>
          <w:szCs w:val="32"/>
          <w:u w:val="none"/>
        </w:rPr>
        <w:t>0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</w:pPr>
      <w:r>
        <w:rPr>
          <w:rFonts w:ascii="仿宋_GB2312" w:hAnsi="Times New Roman" w:eastAsia="楷体_GB2312"/>
          <w:b/>
          <w:sz w:val="32"/>
          <w:szCs w:val="32"/>
        </w:rPr>
        <w:t>（五）国有资产占用使用及新增资产配置情况：</w:t>
      </w:r>
      <w:r>
        <w:rPr>
          <w:rFonts w:ascii="仿宋_GB2312" w:hAnsi="Times New Roman" w:eastAsia="仿宋_GB2312"/>
          <w:sz w:val="32"/>
          <w:szCs w:val="32"/>
        </w:rPr>
        <w:t>截至202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</w:t>
      </w:r>
      <w:r>
        <w:rPr>
          <w:rFonts w:ascii="仿宋_GB2312" w:hAnsi="Times New Roman" w:eastAsia="仿宋_GB2312"/>
          <w:sz w:val="32"/>
          <w:szCs w:val="32"/>
        </w:rPr>
        <w:t>年12月底，本部门</w:t>
      </w:r>
      <w:r>
        <w:rPr>
          <w:rFonts w:ascii="仿宋_GB2312" w:hAnsi="Times New Roman" w:eastAsia="仿宋_GB2312"/>
          <w:bCs/>
          <w:kern w:val="0"/>
          <w:sz w:val="32"/>
          <w:szCs w:val="32"/>
        </w:rPr>
        <w:t>共有公务用车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 xml:space="preserve">辆，其中，均为特种专业技术用车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 xml:space="preserve"> 辆（即救护车）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>单位价值50万元以上通用设备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>台，单位价值100万元以上专用设备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>台。202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>年无新增配置计划。</w:t>
      </w:r>
    </w:p>
    <w:p>
      <w:pPr>
        <w:widowControl/>
        <w:spacing w:line="600" w:lineRule="exact"/>
        <w:ind w:firstLine="660"/>
        <w:jc w:val="left"/>
        <w:rPr>
          <w:rFonts w:ascii="仿宋_GB2312" w:hAnsi="Times New Roman" w:eastAsia="仿宋_GB2312"/>
          <w:bCs/>
          <w:kern w:val="0"/>
          <w:sz w:val="32"/>
          <w:szCs w:val="32"/>
          <w:u w:val="none"/>
        </w:rPr>
      </w:pPr>
      <w:r>
        <w:rPr>
          <w:rFonts w:ascii="仿宋_GB2312" w:hAnsi="Times New Roman" w:eastAsia="楷体_GB2312"/>
          <w:b/>
          <w:bCs/>
          <w:kern w:val="0"/>
          <w:sz w:val="32"/>
          <w:szCs w:val="32"/>
        </w:rPr>
        <w:t>（六）预算绩效目标说明：</w:t>
      </w:r>
      <w:r>
        <w:rPr>
          <w:rFonts w:ascii="仿宋_GB2312" w:hAnsi="Times New Roman" w:eastAsia="仿宋_GB2312"/>
          <w:bCs/>
          <w:kern w:val="0"/>
          <w:sz w:val="32"/>
          <w:szCs w:val="32"/>
        </w:rPr>
        <w:t>本部门所有支出实行绩效目标管理。纳入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  <w:lang w:val="en-US" w:eastAsia="zh-CN"/>
        </w:rPr>
        <w:t>2024</w:t>
      </w:r>
      <w:r>
        <w:rPr>
          <w:rFonts w:ascii="仿宋_GB2312" w:hAnsi="Times New Roman" w:eastAsia="仿宋_GB2312"/>
          <w:bCs/>
          <w:kern w:val="0"/>
          <w:sz w:val="32"/>
          <w:szCs w:val="32"/>
        </w:rPr>
        <w:t>年部门整体支出绩效目标的金额为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1869.14</w:t>
      </w:r>
      <w:r>
        <w:rPr>
          <w:rFonts w:ascii="仿宋_GB2312" w:hAnsi="Times New Roman"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ascii="仿宋_GB2312" w:hAnsi="Times New Roman" w:eastAsia="仿宋_GB2312"/>
          <w:sz w:val="32"/>
          <w:szCs w:val="32"/>
          <w:u w:val="none"/>
          <w:lang w:val="en-US" w:eastAsia="zh-CN"/>
        </w:rPr>
        <w:t>1851.83</w:t>
      </w:r>
      <w:r>
        <w:rPr>
          <w:rFonts w:ascii="仿宋_GB2312" w:hAnsi="Times New Roman" w:eastAsia="仿宋_GB2312"/>
          <w:bCs/>
          <w:kern w:val="0"/>
          <w:sz w:val="32"/>
          <w:szCs w:val="32"/>
          <w:u w:val="none"/>
        </w:rPr>
        <w:t>万元，项目支出</w:t>
      </w:r>
      <w:r>
        <w:rPr>
          <w:rFonts w:hint="eastAsia" w:ascii="仿宋_GB2312" w:hAnsi="Times New Roman" w:eastAsia="仿宋_GB2312"/>
          <w:sz w:val="32"/>
          <w:szCs w:val="32"/>
          <w:u w:val="none"/>
          <w:lang w:val="en-US" w:eastAsia="zh-CN"/>
        </w:rPr>
        <w:t>17.31</w:t>
      </w:r>
      <w:r>
        <w:rPr>
          <w:rFonts w:ascii="仿宋_GB2312" w:hAnsi="Times New Roman" w:eastAsia="仿宋_GB2312"/>
          <w:bCs/>
          <w:kern w:val="0"/>
          <w:sz w:val="32"/>
          <w:szCs w:val="32"/>
          <w:u w:val="none"/>
        </w:rPr>
        <w:t>万元，具体绩效目标详见报表。</w:t>
      </w:r>
    </w:p>
    <w:p>
      <w:pPr>
        <w:widowControl/>
        <w:spacing w:line="600" w:lineRule="exact"/>
        <w:ind w:firstLine="660"/>
        <w:rPr>
          <w:rFonts w:ascii="仿宋_GB2312" w:hAnsi="Times New Roman" w:eastAsia="黑体"/>
          <w:sz w:val="32"/>
          <w:szCs w:val="32"/>
        </w:rPr>
      </w:pPr>
      <w:r>
        <w:rPr>
          <w:rFonts w:ascii="仿宋_GB2312" w:hAnsi="Times New Roman" w:eastAsia="黑体"/>
          <w:sz w:val="32"/>
          <w:szCs w:val="32"/>
        </w:rPr>
        <w:t>七、名词解释</w:t>
      </w:r>
    </w:p>
    <w:p>
      <w:pPr>
        <w:widowControl/>
        <w:spacing w:line="600" w:lineRule="exact"/>
        <w:ind w:firstLine="66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numPr>
          <w:ilvl w:val="0"/>
          <w:numId w:val="0"/>
        </w:numPr>
        <w:spacing w:line="600" w:lineRule="exact"/>
        <w:jc w:val="center"/>
        <w:rPr>
          <w:rFonts w:ascii="仿宋_GB2312" w:hAnsi="Times New Roman" w:eastAsia="方正小标宋_GBK"/>
          <w:bCs/>
          <w:kern w:val="0"/>
          <w:sz w:val="36"/>
          <w:szCs w:val="36"/>
        </w:rPr>
      </w:pPr>
      <w:r>
        <w:rPr>
          <w:rFonts w:hint="eastAsia" w:ascii="仿宋_GB2312" w:hAnsi="Times New Roman" w:eastAsia="方正小标宋_GBK"/>
          <w:bCs/>
          <w:kern w:val="0"/>
          <w:sz w:val="36"/>
          <w:szCs w:val="36"/>
          <w:lang w:eastAsia="zh-CN"/>
        </w:rPr>
        <w:t>第二部分</w:t>
      </w:r>
      <w:r>
        <w:rPr>
          <w:rFonts w:hint="eastAsia" w:ascii="仿宋_GB2312" w:hAnsi="Times New Roman" w:eastAsia="方正小标宋_GBK"/>
          <w:bCs/>
          <w:kern w:val="0"/>
          <w:sz w:val="36"/>
          <w:szCs w:val="36"/>
        </w:rPr>
        <w:t>2024</w:t>
      </w:r>
      <w:r>
        <w:rPr>
          <w:rFonts w:ascii="仿宋_GB2312" w:hAnsi="Times New Roman" w:eastAsia="方正小标宋_GBK"/>
          <w:bCs/>
          <w:kern w:val="0"/>
          <w:sz w:val="36"/>
          <w:szCs w:val="36"/>
        </w:rPr>
        <w:t>年部门预算</w:t>
      </w:r>
      <w:r>
        <w:rPr>
          <w:rFonts w:hint="eastAsia" w:ascii="仿宋_GB2312" w:hAnsi="Times New Roman" w:eastAsia="方正小标宋_GBK"/>
          <w:bCs/>
          <w:kern w:val="0"/>
          <w:sz w:val="36"/>
          <w:szCs w:val="36"/>
        </w:rPr>
        <w:t>公开的</w:t>
      </w:r>
      <w:r>
        <w:rPr>
          <w:rFonts w:ascii="仿宋_GB2312" w:hAnsi="Times New Roman" w:eastAsia="方正小标宋_GBK"/>
          <w:bCs/>
          <w:kern w:val="0"/>
          <w:sz w:val="36"/>
          <w:szCs w:val="36"/>
        </w:rPr>
        <w:t>表</w:t>
      </w:r>
      <w:r>
        <w:rPr>
          <w:rFonts w:hint="eastAsia" w:ascii="仿宋_GB2312" w:hAnsi="Times New Roman" w:eastAsia="方正小标宋_GBK"/>
          <w:bCs/>
          <w:kern w:val="0"/>
          <w:sz w:val="36"/>
          <w:szCs w:val="36"/>
        </w:rPr>
        <w:t>格</w:t>
      </w:r>
    </w:p>
    <w:p>
      <w:pPr>
        <w:widowControl/>
        <w:numPr>
          <w:ilvl w:val="0"/>
          <w:numId w:val="4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收支总表</w:t>
      </w:r>
    </w:p>
    <w:p>
      <w:pPr>
        <w:widowControl/>
        <w:numPr>
          <w:ilvl w:val="0"/>
          <w:numId w:val="4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收入总表</w:t>
      </w:r>
    </w:p>
    <w:p>
      <w:pPr>
        <w:widowControl/>
        <w:numPr>
          <w:ilvl w:val="0"/>
          <w:numId w:val="4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支出总表</w:t>
      </w:r>
    </w:p>
    <w:p>
      <w:pPr>
        <w:widowControl/>
        <w:numPr>
          <w:ilvl w:val="0"/>
          <w:numId w:val="4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支出预算分类汇总表（按政府预算经济分类）</w:t>
      </w:r>
    </w:p>
    <w:p>
      <w:pPr>
        <w:widowControl/>
        <w:numPr>
          <w:ilvl w:val="0"/>
          <w:numId w:val="4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支出预算分类汇总表（按部门预算经济分类）</w:t>
      </w:r>
    </w:p>
    <w:p>
      <w:pPr>
        <w:widowControl/>
        <w:numPr>
          <w:ilvl w:val="0"/>
          <w:numId w:val="4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财政拨款收支总表</w:t>
      </w:r>
    </w:p>
    <w:p>
      <w:pPr>
        <w:widowControl/>
        <w:numPr>
          <w:ilvl w:val="0"/>
          <w:numId w:val="4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一般公共预算支出表</w:t>
      </w:r>
    </w:p>
    <w:p>
      <w:pPr>
        <w:widowControl/>
        <w:numPr>
          <w:ilvl w:val="0"/>
          <w:numId w:val="4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一般公共预算基本支出表</w:t>
      </w:r>
    </w:p>
    <w:p>
      <w:pPr>
        <w:widowControl/>
        <w:numPr>
          <w:ilvl w:val="0"/>
          <w:numId w:val="4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一般公共预算基本支出表——人员经费（工资福利支出）（按政府预算经济分类）</w:t>
      </w:r>
    </w:p>
    <w:p>
      <w:pPr>
        <w:widowControl/>
        <w:numPr>
          <w:ilvl w:val="0"/>
          <w:numId w:val="4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一般公共预算基本支出表——人员经费（工资福利支出）（按部门预算经济分类）</w:t>
      </w:r>
    </w:p>
    <w:p>
      <w:pPr>
        <w:widowControl/>
        <w:numPr>
          <w:ilvl w:val="0"/>
          <w:numId w:val="4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一般公共预算基本支出表——人员经费（对个人和家庭的补助）（按政府预算经济分类）</w:t>
      </w:r>
    </w:p>
    <w:p>
      <w:pPr>
        <w:widowControl/>
        <w:numPr>
          <w:ilvl w:val="0"/>
          <w:numId w:val="0"/>
        </w:numPr>
        <w:spacing w:line="600" w:lineRule="exact"/>
        <w:ind w:left="630" w:leftChars="0"/>
        <w:rPr>
          <w:rFonts w:hint="eastAsia" w:ascii="仿宋_GB2312" w:hAnsi="Times New Roman" w:eastAsia="黑体"/>
          <w:sz w:val="28"/>
          <w:szCs w:val="28"/>
          <w:lang w:eastAsia="zh-CN"/>
        </w:rPr>
      </w:pPr>
      <w:r>
        <w:rPr>
          <w:rFonts w:hint="eastAsia" w:ascii="仿宋_GB2312" w:hAnsi="Times New Roman" w:eastAsia="黑体"/>
          <w:sz w:val="28"/>
          <w:szCs w:val="28"/>
          <w:lang w:eastAsia="zh-CN"/>
        </w:rPr>
        <w:t>注：此表无数据</w:t>
      </w:r>
    </w:p>
    <w:p>
      <w:pPr>
        <w:widowControl/>
        <w:numPr>
          <w:ilvl w:val="0"/>
          <w:numId w:val="4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一般公共预算基本支出表——人员经费（对个人和家庭的补助）（按部门预算经济分类）</w:t>
      </w:r>
    </w:p>
    <w:p>
      <w:pPr>
        <w:widowControl/>
        <w:numPr>
          <w:ilvl w:val="0"/>
          <w:numId w:val="0"/>
        </w:numPr>
        <w:spacing w:line="600" w:lineRule="exact"/>
        <w:ind w:left="630" w:leftChars="0"/>
        <w:rPr>
          <w:rFonts w:hint="eastAsia" w:ascii="仿宋_GB2312" w:hAnsi="Times New Roman" w:eastAsia="黑体"/>
          <w:sz w:val="28"/>
          <w:szCs w:val="28"/>
          <w:lang w:eastAsia="zh-CN"/>
        </w:rPr>
      </w:pPr>
      <w:r>
        <w:rPr>
          <w:rFonts w:hint="eastAsia" w:ascii="仿宋_GB2312" w:hAnsi="Times New Roman" w:eastAsia="黑体"/>
          <w:sz w:val="28"/>
          <w:szCs w:val="28"/>
          <w:lang w:eastAsia="zh-CN"/>
        </w:rPr>
        <w:t>注：此表无数据</w:t>
      </w:r>
    </w:p>
    <w:p>
      <w:pPr>
        <w:widowControl/>
        <w:numPr>
          <w:ilvl w:val="0"/>
          <w:numId w:val="4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一般公共预算基本支出表——公用经费（商品和服务支出）（按政府预算经济分类）</w:t>
      </w:r>
    </w:p>
    <w:p>
      <w:pPr>
        <w:widowControl/>
        <w:numPr>
          <w:ilvl w:val="0"/>
          <w:numId w:val="0"/>
        </w:numPr>
        <w:spacing w:line="600" w:lineRule="exact"/>
        <w:ind w:left="630" w:leftChars="0"/>
        <w:rPr>
          <w:rFonts w:hint="eastAsia" w:ascii="仿宋_GB2312" w:hAnsi="Times New Roman" w:eastAsia="黑体"/>
          <w:sz w:val="28"/>
          <w:szCs w:val="28"/>
          <w:lang w:eastAsia="zh-CN"/>
        </w:rPr>
      </w:pPr>
      <w:r>
        <w:rPr>
          <w:rFonts w:hint="eastAsia" w:ascii="仿宋_GB2312" w:hAnsi="Times New Roman" w:eastAsia="黑体"/>
          <w:sz w:val="28"/>
          <w:szCs w:val="28"/>
          <w:lang w:eastAsia="zh-CN"/>
        </w:rPr>
        <w:t>注：此表无数据</w:t>
      </w:r>
    </w:p>
    <w:p>
      <w:pPr>
        <w:widowControl/>
        <w:numPr>
          <w:ilvl w:val="0"/>
          <w:numId w:val="4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一般公共预算基本支出表——公用经费（商品和服务支出）（按部门预算经济分类）</w:t>
      </w:r>
    </w:p>
    <w:p>
      <w:pPr>
        <w:widowControl/>
        <w:numPr>
          <w:ilvl w:val="0"/>
          <w:numId w:val="0"/>
        </w:numPr>
        <w:spacing w:line="600" w:lineRule="exact"/>
        <w:ind w:left="630" w:leftChars="0"/>
        <w:rPr>
          <w:rFonts w:hint="eastAsia" w:ascii="仿宋_GB2312" w:hAnsi="Times New Roman" w:eastAsia="黑体"/>
          <w:sz w:val="28"/>
          <w:szCs w:val="28"/>
          <w:lang w:eastAsia="zh-CN"/>
        </w:rPr>
      </w:pPr>
      <w:r>
        <w:rPr>
          <w:rFonts w:hint="eastAsia" w:ascii="仿宋_GB2312" w:hAnsi="Times New Roman" w:eastAsia="黑体"/>
          <w:sz w:val="28"/>
          <w:szCs w:val="28"/>
          <w:lang w:eastAsia="zh-CN"/>
        </w:rPr>
        <w:t>注：此表无数据</w:t>
      </w:r>
    </w:p>
    <w:p>
      <w:pPr>
        <w:widowControl/>
        <w:numPr>
          <w:ilvl w:val="0"/>
          <w:numId w:val="4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一般公共预算“三公”经费支出表</w:t>
      </w:r>
    </w:p>
    <w:p>
      <w:pPr>
        <w:widowControl/>
        <w:numPr>
          <w:ilvl w:val="0"/>
          <w:numId w:val="0"/>
        </w:numPr>
        <w:spacing w:line="600" w:lineRule="exact"/>
        <w:ind w:left="630" w:leftChars="0"/>
        <w:rPr>
          <w:rFonts w:hint="eastAsia" w:ascii="仿宋_GB2312" w:hAnsi="Times New Roman" w:eastAsia="黑体"/>
          <w:sz w:val="28"/>
          <w:szCs w:val="28"/>
          <w:lang w:eastAsia="zh-CN"/>
        </w:rPr>
      </w:pPr>
      <w:r>
        <w:rPr>
          <w:rFonts w:hint="eastAsia" w:ascii="仿宋_GB2312" w:hAnsi="Times New Roman" w:eastAsia="黑体"/>
          <w:sz w:val="28"/>
          <w:szCs w:val="28"/>
          <w:lang w:eastAsia="zh-CN"/>
        </w:rPr>
        <w:t>注：此表无数据</w:t>
      </w:r>
    </w:p>
    <w:p>
      <w:pPr>
        <w:widowControl/>
        <w:numPr>
          <w:ilvl w:val="0"/>
          <w:numId w:val="4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政府性基金预算支出表</w:t>
      </w:r>
    </w:p>
    <w:p>
      <w:pPr>
        <w:widowControl/>
        <w:numPr>
          <w:ilvl w:val="0"/>
          <w:numId w:val="0"/>
        </w:numPr>
        <w:spacing w:line="600" w:lineRule="exact"/>
        <w:ind w:left="630" w:leftChars="0"/>
        <w:rPr>
          <w:rFonts w:hint="eastAsia" w:ascii="仿宋_GB2312" w:hAnsi="Times New Roman" w:eastAsia="黑体"/>
          <w:sz w:val="28"/>
          <w:szCs w:val="28"/>
          <w:lang w:eastAsia="zh-CN"/>
        </w:rPr>
      </w:pPr>
      <w:r>
        <w:rPr>
          <w:rFonts w:hint="eastAsia" w:ascii="仿宋_GB2312" w:hAnsi="Times New Roman" w:eastAsia="黑体"/>
          <w:sz w:val="28"/>
          <w:szCs w:val="28"/>
          <w:lang w:eastAsia="zh-CN"/>
        </w:rPr>
        <w:t>注：此表无数据</w:t>
      </w:r>
    </w:p>
    <w:p>
      <w:pPr>
        <w:widowControl/>
        <w:numPr>
          <w:ilvl w:val="0"/>
          <w:numId w:val="4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政府性基金预算支出分类汇总表（按政府预算经济分类）</w:t>
      </w:r>
    </w:p>
    <w:p>
      <w:pPr>
        <w:widowControl/>
        <w:numPr>
          <w:ilvl w:val="0"/>
          <w:numId w:val="0"/>
        </w:numPr>
        <w:spacing w:line="600" w:lineRule="exact"/>
        <w:ind w:left="630" w:leftChars="0"/>
        <w:rPr>
          <w:rFonts w:hint="eastAsia" w:ascii="仿宋_GB2312" w:hAnsi="Times New Roman" w:eastAsia="黑体"/>
          <w:sz w:val="28"/>
          <w:szCs w:val="28"/>
          <w:lang w:eastAsia="zh-CN"/>
        </w:rPr>
      </w:pPr>
      <w:r>
        <w:rPr>
          <w:rFonts w:hint="eastAsia" w:ascii="仿宋_GB2312" w:hAnsi="Times New Roman" w:eastAsia="黑体"/>
          <w:sz w:val="28"/>
          <w:szCs w:val="28"/>
          <w:lang w:eastAsia="zh-CN"/>
        </w:rPr>
        <w:t>注：此表无数据</w:t>
      </w:r>
    </w:p>
    <w:p>
      <w:pPr>
        <w:widowControl/>
        <w:numPr>
          <w:ilvl w:val="0"/>
          <w:numId w:val="4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政府性基金预算支出分类汇总表（按部门预算经济分类）</w:t>
      </w:r>
    </w:p>
    <w:p>
      <w:pPr>
        <w:widowControl/>
        <w:numPr>
          <w:ilvl w:val="0"/>
          <w:numId w:val="0"/>
        </w:numPr>
        <w:spacing w:line="600" w:lineRule="exact"/>
        <w:ind w:left="630" w:leftChars="0"/>
        <w:rPr>
          <w:rFonts w:hint="eastAsia" w:ascii="仿宋_GB2312" w:hAnsi="Times New Roman" w:eastAsia="黑体"/>
          <w:sz w:val="28"/>
          <w:szCs w:val="28"/>
          <w:lang w:eastAsia="zh-CN"/>
        </w:rPr>
      </w:pPr>
      <w:r>
        <w:rPr>
          <w:rFonts w:hint="eastAsia" w:ascii="仿宋_GB2312" w:hAnsi="Times New Roman" w:eastAsia="黑体"/>
          <w:sz w:val="28"/>
          <w:szCs w:val="28"/>
          <w:lang w:eastAsia="zh-CN"/>
        </w:rPr>
        <w:t>注：此表无数据</w:t>
      </w:r>
    </w:p>
    <w:p>
      <w:pPr>
        <w:widowControl/>
        <w:numPr>
          <w:ilvl w:val="0"/>
          <w:numId w:val="4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国有资本经营预算支出表</w:t>
      </w:r>
    </w:p>
    <w:p>
      <w:pPr>
        <w:widowControl/>
        <w:numPr>
          <w:ilvl w:val="0"/>
          <w:numId w:val="0"/>
        </w:numPr>
        <w:spacing w:line="600" w:lineRule="exact"/>
        <w:ind w:left="630" w:leftChars="0"/>
        <w:rPr>
          <w:rFonts w:hint="eastAsia" w:ascii="仿宋_GB2312" w:hAnsi="Times New Roman" w:eastAsia="黑体"/>
          <w:sz w:val="28"/>
          <w:szCs w:val="28"/>
          <w:lang w:eastAsia="zh-CN"/>
        </w:rPr>
      </w:pPr>
      <w:r>
        <w:rPr>
          <w:rFonts w:hint="eastAsia" w:ascii="仿宋_GB2312" w:hAnsi="Times New Roman" w:eastAsia="黑体"/>
          <w:sz w:val="28"/>
          <w:szCs w:val="28"/>
          <w:lang w:eastAsia="zh-CN"/>
        </w:rPr>
        <w:t>注：此表无数据</w:t>
      </w:r>
    </w:p>
    <w:p>
      <w:pPr>
        <w:widowControl/>
        <w:numPr>
          <w:ilvl w:val="0"/>
          <w:numId w:val="4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财政专户管理资金预算支出表</w:t>
      </w:r>
    </w:p>
    <w:p>
      <w:pPr>
        <w:widowControl/>
        <w:numPr>
          <w:ilvl w:val="0"/>
          <w:numId w:val="0"/>
        </w:numPr>
        <w:spacing w:line="600" w:lineRule="exact"/>
        <w:ind w:left="630" w:leftChars="0"/>
        <w:rPr>
          <w:rFonts w:hint="eastAsia" w:ascii="仿宋_GB2312" w:hAnsi="Times New Roman" w:eastAsia="黑体"/>
          <w:sz w:val="28"/>
          <w:szCs w:val="28"/>
          <w:lang w:eastAsia="zh-CN"/>
        </w:rPr>
      </w:pPr>
      <w:r>
        <w:rPr>
          <w:rFonts w:hint="eastAsia" w:ascii="仿宋_GB2312" w:hAnsi="Times New Roman" w:eastAsia="黑体"/>
          <w:sz w:val="28"/>
          <w:szCs w:val="28"/>
          <w:lang w:eastAsia="zh-CN"/>
        </w:rPr>
        <w:t>注：此表无数据</w:t>
      </w:r>
    </w:p>
    <w:p>
      <w:pPr>
        <w:widowControl/>
        <w:numPr>
          <w:ilvl w:val="0"/>
          <w:numId w:val="4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专项资金预算汇总表</w:t>
      </w:r>
    </w:p>
    <w:p>
      <w:pPr>
        <w:widowControl/>
        <w:numPr>
          <w:ilvl w:val="0"/>
          <w:numId w:val="4"/>
        </w:numPr>
        <w:spacing w:line="600" w:lineRule="exact"/>
        <w:ind w:left="630" w:firstLine="0"/>
        <w:rPr>
          <w:rFonts w:hint="eastAsia" w:ascii="仿宋_GB2312" w:hAnsi="Times New Roman" w:eastAsia="黑体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项目支出绩效目标表</w:t>
      </w:r>
    </w:p>
    <w:p>
      <w:pPr>
        <w:widowControl/>
        <w:numPr>
          <w:ilvl w:val="0"/>
          <w:numId w:val="4"/>
        </w:numPr>
        <w:spacing w:line="600" w:lineRule="exact"/>
        <w:ind w:left="630" w:firstLine="0"/>
        <w:rPr>
          <w:rFonts w:hint="eastAsia" w:ascii="仿宋_GB2312" w:hAnsi="Times New Roman" w:eastAsia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黑体"/>
          <w:sz w:val="28"/>
          <w:szCs w:val="28"/>
        </w:rPr>
        <w:t>整体支出绩效目标表</w:t>
      </w:r>
    </w:p>
    <w:p>
      <w:pPr>
        <w:widowControl/>
        <w:spacing w:line="600" w:lineRule="exact"/>
        <w:rPr>
          <w:rFonts w:ascii="仿宋_GB2312" w:hAnsi="Times New Roman" w:eastAsia="仿宋_GB2312"/>
          <w:bCs/>
          <w:kern w:val="0"/>
          <w:sz w:val="32"/>
          <w:szCs w:val="32"/>
        </w:rPr>
      </w:pPr>
      <w:r>
        <w:rPr>
          <w:rFonts w:ascii="仿宋_GB2312" w:hAnsi="Times New Roman"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/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A31D83"/>
    <w:multiLevelType w:val="singleLevel"/>
    <w:tmpl w:val="98A31D83"/>
    <w:lvl w:ilvl="0" w:tentative="0">
      <w:start w:val="1"/>
      <w:numFmt w:val="chineseCounting"/>
      <w:suff w:val="nothing"/>
      <w:lvlText w:val="%1、"/>
      <w:lvlJc w:val="left"/>
      <w:pPr>
        <w:ind w:left="630" w:firstLine="0"/>
      </w:pPr>
      <w:rPr>
        <w:rFonts w:hint="eastAsia" w:ascii="黑体" w:hAnsi="黑体" w:eastAsia="黑体" w:cs="黑体"/>
        <w:sz w:val="32"/>
        <w:szCs w:val="32"/>
      </w:rPr>
    </w:lvl>
  </w:abstractNum>
  <w:abstractNum w:abstractNumId="1">
    <w:nsid w:val="BDB556BD"/>
    <w:multiLevelType w:val="singleLevel"/>
    <w:tmpl w:val="BDB556BD"/>
    <w:lvl w:ilvl="0" w:tentative="0">
      <w:start w:val="1"/>
      <w:numFmt w:val="chineseCounting"/>
      <w:suff w:val="space"/>
      <w:lvlText w:val="第%1部分"/>
      <w:lvlJc w:val="left"/>
      <w:rPr>
        <w:rFonts w:hint="eastAsia"/>
        <w:sz w:val="32"/>
        <w:szCs w:val="32"/>
      </w:rPr>
    </w:lvl>
  </w:abstractNum>
  <w:abstractNum w:abstractNumId="2">
    <w:nsid w:val="17E8E575"/>
    <w:multiLevelType w:val="singleLevel"/>
    <w:tmpl w:val="17E8E575"/>
    <w:lvl w:ilvl="0" w:tentative="0">
      <w:start w:val="1"/>
      <w:numFmt w:val="chineseCounting"/>
      <w:suff w:val="nothing"/>
      <w:lvlText w:val="%1、"/>
      <w:lvlJc w:val="left"/>
      <w:pPr>
        <w:ind w:left="630" w:firstLine="0"/>
      </w:pPr>
      <w:rPr>
        <w:rFonts w:hint="eastAsia" w:ascii="黑体" w:hAnsi="黑体" w:eastAsia="黑体" w:cs="黑体"/>
        <w:sz w:val="32"/>
        <w:szCs w:val="32"/>
      </w:rPr>
    </w:lvl>
  </w:abstractNum>
  <w:abstractNum w:abstractNumId="3">
    <w:nsid w:val="21BABDDA"/>
    <w:multiLevelType w:val="singleLevel"/>
    <w:tmpl w:val="21BABDDA"/>
    <w:lvl w:ilvl="0" w:tentative="0">
      <w:start w:val="1"/>
      <w:numFmt w:val="chineseCounting"/>
      <w:suff w:val="nothing"/>
      <w:lvlText w:val="%1、"/>
      <w:lvlJc w:val="left"/>
      <w:pPr>
        <w:ind w:left="630" w:firstLine="0"/>
      </w:pPr>
      <w:rPr>
        <w:rFonts w:hint="eastAsia" w:ascii="黑体" w:hAnsi="黑体" w:eastAsia="黑体" w:cs="黑体"/>
        <w:sz w:val="32"/>
        <w:szCs w:val="32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NWVhMmIxOTZmMjRjNzcxMWRjZGZhODMzYmFhY2YifQ=="/>
  </w:docVars>
  <w:rsids>
    <w:rsidRoot w:val="75FE554B"/>
    <w:rsid w:val="0144330B"/>
    <w:rsid w:val="1683130A"/>
    <w:rsid w:val="20AB02A6"/>
    <w:rsid w:val="42B834FE"/>
    <w:rsid w:val="65565BD7"/>
    <w:rsid w:val="753A1CA1"/>
    <w:rsid w:val="75FE554B"/>
    <w:rsid w:val="7F6D33AD"/>
    <w:rsid w:val="7FC1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Body Text First Indent"/>
    <w:basedOn w:val="2"/>
    <w:next w:val="1"/>
    <w:autoRedefine/>
    <w:qFormat/>
    <w:uiPriority w:val="0"/>
    <w:pPr>
      <w:widowControl/>
      <w:spacing w:after="0"/>
      <w:ind w:firstLine="420" w:firstLineChars="100"/>
      <w:jc w:val="left"/>
    </w:pPr>
    <w:rPr>
      <w:kern w:val="0"/>
      <w:sz w:val="20"/>
    </w:rPr>
  </w:style>
  <w:style w:type="character" w:customStyle="1" w:styleId="7">
    <w:name w:val="font71"/>
    <w:autoRedefine/>
    <w:qFormat/>
    <w:uiPriority w:val="0"/>
    <w:rPr>
      <w:rFonts w:ascii="Times New Roman" w:hAnsi="Times New Roman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2024-01-31T01:30:00Z</dcterms:created>
  <dc:creator>窗边的小豆豆</dc:creator>
  <cp:lastModifiedBy>木子新</cp:lastModifiedBy>
  <dcterms:modified xsi:type="dcterms:W3CDTF">2024-02-23T02:34:19Z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95619BDDBC224779A415FAFE029C40EF_11</vt:lpwstr>
  </property>
</Properties>
</file>