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7EA" w:rsidRDefault="00FB51A8">
      <w:pPr>
        <w:widowControl/>
        <w:spacing w:line="600" w:lineRule="exact"/>
        <w:jc w:val="center"/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2024年安化县文化旅游</w:t>
      </w:r>
      <w:r w:rsidR="00EE63AC"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产业发展服务中心</w:t>
      </w:r>
    </w:p>
    <w:p w:rsidR="004C17EA" w:rsidRDefault="00FB51A8">
      <w:pPr>
        <w:widowControl/>
        <w:spacing w:line="600" w:lineRule="exact"/>
        <w:jc w:val="center"/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部门预算公开</w:t>
      </w:r>
    </w:p>
    <w:p w:rsidR="004C17EA" w:rsidRDefault="00FB51A8">
      <w:pPr>
        <w:widowControl/>
        <w:spacing w:line="600" w:lineRule="exact"/>
        <w:jc w:val="center"/>
        <w:rPr>
          <w:rFonts w:eastAsia="黑体"/>
          <w:bCs/>
          <w:kern w:val="0"/>
        </w:rPr>
      </w:pPr>
      <w:r>
        <w:rPr>
          <w:rFonts w:eastAsia="黑体"/>
          <w:bCs/>
          <w:kern w:val="0"/>
        </w:rPr>
        <w:t>目</w:t>
      </w:r>
      <w:r>
        <w:rPr>
          <w:rFonts w:eastAsia="黑体"/>
          <w:bCs/>
          <w:kern w:val="0"/>
        </w:rPr>
        <w:t xml:space="preserve"> </w:t>
      </w:r>
      <w:r>
        <w:rPr>
          <w:rFonts w:eastAsia="黑体"/>
          <w:bCs/>
          <w:kern w:val="0"/>
        </w:rPr>
        <w:t>录</w:t>
      </w:r>
    </w:p>
    <w:p w:rsidR="004C17EA" w:rsidRPr="00EE63AC" w:rsidRDefault="00FB51A8" w:rsidP="00EE63AC">
      <w:pPr>
        <w:widowControl/>
        <w:numPr>
          <w:ilvl w:val="0"/>
          <w:numId w:val="1"/>
        </w:numPr>
        <w:spacing w:line="600" w:lineRule="exact"/>
        <w:ind w:firstLineChars="200" w:firstLine="632"/>
        <w:jc w:val="center"/>
        <w:rPr>
          <w:b/>
          <w:bCs/>
          <w:kern w:val="0"/>
        </w:rPr>
      </w:pPr>
      <w:r>
        <w:rPr>
          <w:rFonts w:hint="eastAsia"/>
          <w:b/>
          <w:bCs/>
          <w:kern w:val="0"/>
        </w:rPr>
        <w:t>2024年安化县文化旅游</w:t>
      </w:r>
      <w:r w:rsidR="00EE63AC">
        <w:rPr>
          <w:rFonts w:hint="eastAsia"/>
          <w:b/>
          <w:bCs/>
          <w:kern w:val="0"/>
        </w:rPr>
        <w:t>产业发展服务中心</w:t>
      </w:r>
      <w:r w:rsidRPr="00EE63AC">
        <w:rPr>
          <w:b/>
          <w:bCs/>
          <w:kern w:val="0"/>
        </w:rPr>
        <w:t>部门预算</w:t>
      </w:r>
      <w:r w:rsidRPr="00EE63AC">
        <w:rPr>
          <w:rFonts w:ascii="宋体" w:eastAsia="宋体" w:hAnsi="宋体" w:cs="宋体"/>
          <w:b/>
          <w:bCs/>
          <w:kern w:val="0"/>
        </w:rPr>
        <w:t>说</w:t>
      </w:r>
      <w:r w:rsidRPr="00EE63AC">
        <w:rPr>
          <w:b/>
          <w:bCs/>
          <w:kern w:val="0"/>
        </w:rPr>
        <w:t>明</w:t>
      </w:r>
    </w:p>
    <w:p w:rsidR="004C17EA" w:rsidRDefault="00FB51A8">
      <w:pPr>
        <w:widowControl/>
        <w:numPr>
          <w:ilvl w:val="0"/>
          <w:numId w:val="2"/>
        </w:numPr>
        <w:spacing w:line="60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kern w:val="0"/>
          <w:sz w:val="28"/>
          <w:szCs w:val="28"/>
        </w:rPr>
        <w:t>部门基本概况</w:t>
      </w:r>
    </w:p>
    <w:p w:rsidR="004C17EA" w:rsidRDefault="00FB51A8">
      <w:pPr>
        <w:widowControl/>
        <w:numPr>
          <w:ilvl w:val="0"/>
          <w:numId w:val="2"/>
        </w:numPr>
        <w:spacing w:line="60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kern w:val="0"/>
          <w:sz w:val="28"/>
          <w:szCs w:val="28"/>
        </w:rPr>
        <w:t>部门预算单位构成</w:t>
      </w:r>
    </w:p>
    <w:p w:rsidR="004C17EA" w:rsidRDefault="00FB51A8">
      <w:pPr>
        <w:widowControl/>
        <w:numPr>
          <w:ilvl w:val="0"/>
          <w:numId w:val="2"/>
        </w:numPr>
        <w:spacing w:line="60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kern w:val="0"/>
          <w:sz w:val="28"/>
          <w:szCs w:val="28"/>
        </w:rPr>
        <w:t>部门收支总体情况</w:t>
      </w:r>
    </w:p>
    <w:p w:rsidR="004C17EA" w:rsidRDefault="00FB51A8">
      <w:pPr>
        <w:widowControl/>
        <w:numPr>
          <w:ilvl w:val="0"/>
          <w:numId w:val="2"/>
        </w:numPr>
        <w:spacing w:line="60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sz w:val="28"/>
          <w:szCs w:val="28"/>
        </w:rPr>
        <w:t>一般公共预算拨款支出</w:t>
      </w:r>
    </w:p>
    <w:p w:rsidR="004C17EA" w:rsidRDefault="00FB51A8">
      <w:pPr>
        <w:widowControl/>
        <w:numPr>
          <w:ilvl w:val="0"/>
          <w:numId w:val="2"/>
        </w:numPr>
        <w:spacing w:line="60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sz w:val="28"/>
          <w:szCs w:val="28"/>
        </w:rPr>
        <w:t>政府性基金预算支出</w:t>
      </w:r>
    </w:p>
    <w:p w:rsidR="004C17EA" w:rsidRDefault="00FB51A8">
      <w:pPr>
        <w:widowControl/>
        <w:numPr>
          <w:ilvl w:val="0"/>
          <w:numId w:val="2"/>
        </w:numPr>
        <w:spacing w:line="60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sz w:val="28"/>
          <w:szCs w:val="28"/>
        </w:rPr>
        <w:t>其他重要事项的情况说明</w:t>
      </w:r>
    </w:p>
    <w:p w:rsidR="004C17EA" w:rsidRDefault="00FB51A8">
      <w:pPr>
        <w:widowControl/>
        <w:numPr>
          <w:ilvl w:val="0"/>
          <w:numId w:val="2"/>
        </w:numPr>
        <w:spacing w:line="60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sz w:val="28"/>
          <w:szCs w:val="28"/>
        </w:rPr>
        <w:t>名词解释</w:t>
      </w:r>
    </w:p>
    <w:p w:rsidR="004C17EA" w:rsidRDefault="00EE63AC" w:rsidP="00EE63AC">
      <w:pPr>
        <w:widowControl/>
        <w:spacing w:line="600" w:lineRule="exact"/>
        <w:ind w:firstLineChars="200" w:firstLine="634"/>
        <w:jc w:val="center"/>
        <w:rPr>
          <w:b/>
          <w:bCs/>
          <w:kern w:val="0"/>
        </w:rPr>
      </w:pPr>
      <w:r>
        <w:rPr>
          <w:rFonts w:ascii="宋体" w:eastAsia="宋体" w:hAnsi="宋体" w:cs="宋体"/>
          <w:b/>
          <w:bCs/>
          <w:kern w:val="0"/>
        </w:rPr>
        <w:t>第</w:t>
      </w:r>
      <w:r w:rsidR="00FB51A8">
        <w:rPr>
          <w:rFonts w:ascii="宋体" w:eastAsia="宋体" w:hAnsi="宋体" w:cs="宋体"/>
          <w:b/>
          <w:bCs/>
          <w:kern w:val="0"/>
        </w:rPr>
        <w:t>二</w:t>
      </w:r>
      <w:r w:rsidR="00FB51A8">
        <w:rPr>
          <w:b/>
          <w:bCs/>
          <w:kern w:val="0"/>
        </w:rPr>
        <w:t xml:space="preserve">部分 </w:t>
      </w:r>
      <w:r w:rsidR="00FB51A8">
        <w:rPr>
          <w:rFonts w:hint="eastAsia"/>
          <w:b/>
          <w:bCs/>
          <w:kern w:val="0"/>
        </w:rPr>
        <w:t>2024</w:t>
      </w:r>
      <w:r w:rsidR="00FB51A8">
        <w:rPr>
          <w:b/>
          <w:bCs/>
          <w:kern w:val="0"/>
        </w:rPr>
        <w:t>年部门预算</w:t>
      </w:r>
      <w:r w:rsidR="00FB51A8">
        <w:rPr>
          <w:rFonts w:hint="eastAsia"/>
          <w:b/>
          <w:bCs/>
          <w:kern w:val="0"/>
        </w:rPr>
        <w:t>公开的</w:t>
      </w:r>
      <w:r w:rsidR="00FB51A8">
        <w:rPr>
          <w:b/>
          <w:bCs/>
          <w:kern w:val="0"/>
        </w:rPr>
        <w:t>表</w:t>
      </w:r>
      <w:r w:rsidR="00FB51A8">
        <w:rPr>
          <w:rFonts w:hint="eastAsia"/>
          <w:b/>
          <w:bCs/>
          <w:kern w:val="0"/>
        </w:rPr>
        <w:t>格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收支总表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收入总表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支出总表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支出预算分类汇总表（按政府预算经济分类）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支出预算分类汇总表（按部门预算经济分类）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财政拨款收支总表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一般公共预算支出表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一般公共预算基本支出表——人员经费（工资福利支出）（按政府预算经济分类）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一般公共预算基本支出表——人员经费（工资福利支出）（按部门预算经济分类）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一般公共预算基本支出表——人员经费（对个人和家庭的补助）（按政府预算经济分类）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一般公共预算基本支出表——人员经费（对个人和家庭的补助）（按部门预算经济分类）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一般公共预算基本支出表——公用经费（商品和服务支出）（按政府预算经济分类）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一般公共预算基本支出表——公用经费（商品和服务支出）（按部门预算经济分类）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一般公共预算“三公”经费支出表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政府性基金预算支出表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政府性基金预算支出分类汇总表（按政府预算经济分类）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政府性基金预算支出分类汇总表（按部门预算经济分类）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国有资本经营预算支出表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财政专户管理资金预算支出表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专项资金预算汇总表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项目支出绩效目标表</w:t>
      </w:r>
    </w:p>
    <w:p w:rsidR="004C17EA" w:rsidRDefault="00FB51A8">
      <w:pPr>
        <w:widowControl/>
        <w:numPr>
          <w:ilvl w:val="0"/>
          <w:numId w:val="3"/>
        </w:numPr>
        <w:spacing w:line="600" w:lineRule="exact"/>
        <w:rPr>
          <w:rFonts w:eastAsia="方正小标宋_GBK"/>
          <w:bCs/>
          <w:kern w:val="0"/>
          <w:sz w:val="36"/>
          <w:szCs w:val="36"/>
        </w:rPr>
      </w:pPr>
      <w:r>
        <w:rPr>
          <w:rFonts w:eastAsia="黑体" w:hint="eastAsia"/>
          <w:sz w:val="28"/>
          <w:szCs w:val="28"/>
        </w:rPr>
        <w:t>整体支出绩效目标表</w:t>
      </w:r>
      <w:bookmarkStart w:id="0" w:name="_GoBack"/>
      <w:bookmarkEnd w:id="0"/>
    </w:p>
    <w:p w:rsidR="004C17EA" w:rsidRDefault="00FB51A8">
      <w:pPr>
        <w:widowControl/>
        <w:spacing w:line="600" w:lineRule="exact"/>
        <w:jc w:val="center"/>
        <w:rPr>
          <w:b/>
          <w:bCs/>
          <w:kern w:val="0"/>
        </w:rPr>
      </w:pPr>
      <w:r>
        <w:rPr>
          <w:rFonts w:eastAsia="方正小标宋_GBK"/>
          <w:bCs/>
          <w:kern w:val="0"/>
          <w:sz w:val="36"/>
          <w:szCs w:val="36"/>
        </w:rPr>
        <w:lastRenderedPageBreak/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 w:hint="eastAsia"/>
          <w:bCs/>
          <w:kern w:val="0"/>
          <w:sz w:val="36"/>
          <w:szCs w:val="36"/>
        </w:rPr>
        <w:t>2024</w:t>
      </w:r>
      <w:r>
        <w:rPr>
          <w:rFonts w:eastAsia="方正小标宋_GBK" w:hint="eastAsia"/>
          <w:bCs/>
          <w:kern w:val="0"/>
          <w:sz w:val="36"/>
          <w:szCs w:val="36"/>
        </w:rPr>
        <w:t>年安化县文化旅游产业发展服务中心</w:t>
      </w:r>
      <w:r>
        <w:rPr>
          <w:rFonts w:eastAsia="方正小标宋_GBK"/>
          <w:bCs/>
          <w:kern w:val="0"/>
          <w:sz w:val="36"/>
          <w:szCs w:val="36"/>
        </w:rPr>
        <w:t>部门预算说明</w:t>
      </w:r>
    </w:p>
    <w:p w:rsidR="004C17EA" w:rsidRDefault="00FB51A8" w:rsidP="00EE63AC">
      <w:pPr>
        <w:widowControl/>
        <w:spacing w:line="600" w:lineRule="exact"/>
        <w:ind w:firstLineChars="196" w:firstLine="619"/>
        <w:jc w:val="left"/>
        <w:rPr>
          <w:rFonts w:eastAsia="黑体"/>
          <w:bCs/>
          <w:kern w:val="0"/>
        </w:rPr>
      </w:pPr>
      <w:r>
        <w:rPr>
          <w:rFonts w:eastAsia="黑体"/>
          <w:bCs/>
          <w:kern w:val="0"/>
        </w:rPr>
        <w:t>一、部门基本概况</w:t>
      </w:r>
    </w:p>
    <w:p w:rsidR="004C17EA" w:rsidRDefault="00FB51A8">
      <w:pPr>
        <w:spacing w:line="620" w:lineRule="exact"/>
        <w:ind w:firstLineChars="200" w:firstLine="632"/>
        <w:rPr>
          <w:rFonts w:eastAsia="楷体_GB2312"/>
          <w:b/>
        </w:rPr>
      </w:pPr>
      <w:r>
        <w:rPr>
          <w:rFonts w:eastAsia="楷体_GB2312"/>
          <w:b/>
        </w:rPr>
        <w:t>（一）职能职责。</w:t>
      </w:r>
    </w:p>
    <w:p w:rsidR="004C17EA" w:rsidRDefault="00FB51A8">
      <w:pPr>
        <w:spacing w:line="620" w:lineRule="exact"/>
        <w:ind w:firstLineChars="200" w:firstLine="632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主要职责：贯彻执行国家文化旅游产业的方针、政策和法律、法规、规章，推进全县文化旅游产业发展体制和机制创新；拟</w:t>
      </w:r>
      <w:r>
        <w:rPr>
          <w:rFonts w:ascii="宋体" w:eastAsia="宋体" w:hAnsi="宋体" w:cs="宋体" w:hint="eastAsia"/>
          <w:color w:val="000000"/>
          <w:kern w:val="0"/>
        </w:rPr>
        <w:t>订</w:t>
      </w:r>
      <w:r>
        <w:rPr>
          <w:rFonts w:ascii="宋体" w:hAnsi="宋体" w:cs="宋体" w:hint="eastAsia"/>
          <w:color w:val="000000"/>
          <w:kern w:val="0"/>
        </w:rPr>
        <w:t>全县文化旅游产业发展规划和年度计划，促进文化旅游产业的有序健康发展，并组织实施；制定行业规范，编制行业标准，指导、协调全县文化旅游基础建设项目的实施；配合做好文化旅游项目的前置审批，负责文化旅游线路的设计及推广，指导全县生态旅游、乡村旅游、红色旅游发展和等级景区创建工作；指导全县文化旅游人才的培训、管理工作，协助全县导游注册、年审、考试、委派</w:t>
      </w:r>
      <w:r>
        <w:rPr>
          <w:rFonts w:ascii="宋体" w:hAnsi="宋体" w:cs="宋体" w:hint="eastAsia"/>
          <w:color w:val="000000"/>
          <w:kern w:val="0"/>
        </w:rPr>
        <w:t>;</w:t>
      </w:r>
      <w:r>
        <w:rPr>
          <w:rFonts w:ascii="宋体" w:hAnsi="宋体" w:cs="宋体" w:hint="eastAsia"/>
          <w:color w:val="000000"/>
          <w:kern w:val="0"/>
        </w:rPr>
        <w:t>负责全县文化旅游整体形象的对外宣传和主要促销活动，组织指导重要文化旅游产品的开发、生产、销售和推广；负责文化旅游产业统计工作，并对文化旅游经济形势进行分析和预测；协助完成招商引资工作任务；配合相关部门做好文化旅游景区发生突发事件的应急处置工作。</w:t>
      </w:r>
    </w:p>
    <w:p w:rsidR="004C17EA" w:rsidRDefault="00FB51A8">
      <w:pPr>
        <w:widowControl/>
        <w:numPr>
          <w:ilvl w:val="0"/>
          <w:numId w:val="4"/>
        </w:numPr>
        <w:spacing w:line="600" w:lineRule="exact"/>
        <w:ind w:firstLineChars="196" w:firstLine="620"/>
        <w:jc w:val="left"/>
        <w:rPr>
          <w:rFonts w:eastAsia="楷体_GB2312"/>
          <w:b/>
        </w:rPr>
      </w:pPr>
      <w:r>
        <w:rPr>
          <w:rFonts w:eastAsia="楷体_GB2312"/>
          <w:b/>
        </w:rPr>
        <w:t>机构设置。</w:t>
      </w:r>
    </w:p>
    <w:p w:rsidR="004C17EA" w:rsidRDefault="00FB51A8">
      <w:pPr>
        <w:widowControl/>
        <w:spacing w:line="600" w:lineRule="exact"/>
        <w:ind w:firstLineChars="200" w:firstLine="632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内设机构有：办公室、财务室、</w:t>
      </w:r>
      <w:r w:rsidRPr="008711C2">
        <w:rPr>
          <w:rFonts w:ascii="宋体" w:hAnsi="宋体" w:cs="宋体" w:hint="eastAsia"/>
          <w:color w:val="000000"/>
          <w:kern w:val="0"/>
        </w:rPr>
        <w:t>综合宣推组</w:t>
      </w:r>
      <w:r>
        <w:rPr>
          <w:rFonts w:ascii="宋体" w:hAnsi="宋体" w:cs="宋体" w:hint="eastAsia"/>
          <w:color w:val="000000"/>
          <w:kern w:val="0"/>
        </w:rPr>
        <w:t>、规划项目组。</w:t>
      </w:r>
    </w:p>
    <w:p w:rsidR="004C17EA" w:rsidRDefault="00FB51A8" w:rsidP="00EE63AC">
      <w:pPr>
        <w:widowControl/>
        <w:spacing w:line="600" w:lineRule="exact"/>
        <w:ind w:firstLineChars="196" w:firstLine="619"/>
        <w:jc w:val="left"/>
        <w:rPr>
          <w:rFonts w:eastAsia="黑体"/>
          <w:kern w:val="0"/>
        </w:rPr>
      </w:pPr>
      <w:r>
        <w:rPr>
          <w:rFonts w:eastAsia="黑体"/>
          <w:kern w:val="0"/>
        </w:rPr>
        <w:t>二、部门预算单位构成</w:t>
      </w:r>
    </w:p>
    <w:p w:rsidR="004C17EA" w:rsidRDefault="00FB51A8" w:rsidP="00EE63AC">
      <w:pPr>
        <w:widowControl/>
        <w:spacing w:line="600" w:lineRule="exact"/>
        <w:ind w:firstLineChars="196" w:firstLine="619"/>
      </w:pPr>
      <w:r>
        <w:rPr>
          <w:rFonts w:hint="eastAsia"/>
        </w:rPr>
        <w:lastRenderedPageBreak/>
        <w:t>安化县文化旅游产业发展服务中心</w:t>
      </w:r>
      <w:r>
        <w:t>部门只有本级，没有其他预算单位，因此本部门预算仅含本级预算。</w:t>
      </w:r>
    </w:p>
    <w:p w:rsidR="004C17EA" w:rsidRDefault="00FB51A8" w:rsidP="00EE63AC">
      <w:pPr>
        <w:widowControl/>
        <w:spacing w:line="600" w:lineRule="exact"/>
        <w:ind w:firstLineChars="196" w:firstLine="619"/>
        <w:jc w:val="left"/>
        <w:rPr>
          <w:rFonts w:eastAsia="黑体"/>
          <w:bCs/>
          <w:kern w:val="0"/>
        </w:rPr>
      </w:pPr>
      <w:r>
        <w:rPr>
          <w:rFonts w:eastAsia="黑体"/>
          <w:bCs/>
          <w:kern w:val="0"/>
        </w:rPr>
        <w:t>三、部门收支总体情况</w:t>
      </w:r>
    </w:p>
    <w:p w:rsidR="004C17EA" w:rsidRDefault="00FB51A8">
      <w:pPr>
        <w:widowControl/>
        <w:spacing w:line="600" w:lineRule="exact"/>
        <w:ind w:firstLineChars="196" w:firstLine="620"/>
        <w:rPr>
          <w:b/>
        </w:rPr>
      </w:pPr>
      <w:r>
        <w:rPr>
          <w:rFonts w:eastAsia="楷体_GB2312"/>
          <w:b/>
        </w:rPr>
        <w:t>（一）收入预算：</w:t>
      </w:r>
      <w:r>
        <w:t>包括一般公共预算、政府性基金、国有资本经营预算等财政拨款收入，以及经营收入、事业收入等单位资金。</w:t>
      </w:r>
      <w:r>
        <w:rPr>
          <w:rFonts w:hint="eastAsia"/>
        </w:rPr>
        <w:t>2024</w:t>
      </w:r>
      <w:r>
        <w:t>年本部门收入预算</w:t>
      </w:r>
      <w:r w:rsidRPr="008711C2">
        <w:rPr>
          <w:rFonts w:hint="eastAsia"/>
        </w:rPr>
        <w:t>79.20</w:t>
      </w:r>
      <w:r>
        <w:t>万元，其中，一般公共预算拨款</w:t>
      </w:r>
      <w:r w:rsidRPr="008711C2">
        <w:rPr>
          <w:rFonts w:hint="eastAsia"/>
        </w:rPr>
        <w:t>79.20</w:t>
      </w:r>
      <w:r>
        <w:t>万元，政府性基金预算拨款</w:t>
      </w:r>
      <w:r>
        <w:rPr>
          <w:rFonts w:hint="eastAsia"/>
        </w:rPr>
        <w:t>0</w:t>
      </w:r>
      <w:r>
        <w:t>万元，国有资本经营预算拨款</w:t>
      </w:r>
      <w:r>
        <w:rPr>
          <w:rFonts w:hint="eastAsia"/>
        </w:rPr>
        <w:t>0</w:t>
      </w:r>
      <w:r>
        <w:t>万元，纳入专户管理的非税收入</w:t>
      </w:r>
      <w:r>
        <w:rPr>
          <w:rFonts w:hint="eastAsia"/>
        </w:rPr>
        <w:t>0</w:t>
      </w:r>
      <w:r>
        <w:t>万元。</w:t>
      </w:r>
      <w:r>
        <w:rPr>
          <w:b/>
        </w:rPr>
        <w:t>收入较去年增加</w:t>
      </w:r>
      <w:r>
        <w:rPr>
          <w:rFonts w:ascii="宋体" w:eastAsia="宋体" w:hAnsi="宋体" w:cs="宋体" w:hint="eastAsia"/>
          <w:b/>
        </w:rPr>
        <w:t>79.20</w:t>
      </w:r>
      <w:r>
        <w:rPr>
          <w:b/>
        </w:rPr>
        <w:t>万元，主要是</w:t>
      </w:r>
      <w:r>
        <w:rPr>
          <w:rFonts w:ascii="宋体" w:eastAsia="宋体" w:hAnsi="宋体" w:cs="宋体"/>
          <w:b/>
        </w:rPr>
        <w:t>去年未单独预算</w:t>
      </w:r>
      <w:r>
        <w:rPr>
          <w:b/>
        </w:rPr>
        <w:t>。</w:t>
      </w:r>
    </w:p>
    <w:p w:rsidR="004C17EA" w:rsidRDefault="00FB51A8">
      <w:pPr>
        <w:widowControl/>
        <w:spacing w:line="600" w:lineRule="exact"/>
        <w:ind w:firstLineChars="196" w:firstLine="620"/>
        <w:jc w:val="left"/>
        <w:rPr>
          <w:b/>
        </w:rPr>
      </w:pPr>
      <w:r>
        <w:rPr>
          <w:rFonts w:eastAsia="楷体_GB2312"/>
          <w:b/>
        </w:rPr>
        <w:t>（二）支出预算：</w:t>
      </w:r>
      <w:r>
        <w:rPr>
          <w:rFonts w:hint="eastAsia"/>
        </w:rPr>
        <w:t>2024</w:t>
      </w:r>
      <w:r>
        <w:t>年本部门支出预算</w:t>
      </w:r>
      <w:r w:rsidRPr="008711C2">
        <w:rPr>
          <w:rFonts w:hint="eastAsia"/>
        </w:rPr>
        <w:t>79.20</w:t>
      </w:r>
      <w:r>
        <w:t>万元，其中，一般公共服务</w:t>
      </w:r>
      <w:r>
        <w:rPr>
          <w:rFonts w:hint="eastAsia"/>
        </w:rPr>
        <w:t>0</w:t>
      </w:r>
      <w:r>
        <w:t>万元，</w:t>
      </w:r>
      <w:r>
        <w:rPr>
          <w:rFonts w:hint="eastAsia"/>
        </w:rPr>
        <w:t>文化旅游体育与传媒支出</w:t>
      </w:r>
      <w:r w:rsidRPr="008711C2">
        <w:rPr>
          <w:rFonts w:hint="eastAsia"/>
        </w:rPr>
        <w:t>60.47</w:t>
      </w:r>
      <w:r>
        <w:t>万元，</w:t>
      </w:r>
      <w:r>
        <w:rPr>
          <w:rFonts w:hint="eastAsia"/>
        </w:rPr>
        <w:t>社会保障和就业支出</w:t>
      </w:r>
      <w:r w:rsidRPr="008711C2">
        <w:rPr>
          <w:rFonts w:hint="eastAsia"/>
        </w:rPr>
        <w:t>8.89</w:t>
      </w:r>
      <w:r>
        <w:t>万元，</w:t>
      </w:r>
      <w:r>
        <w:rPr>
          <w:rFonts w:hint="eastAsia"/>
        </w:rPr>
        <w:t>卫生健康支出3</w:t>
      </w:r>
      <w:r w:rsidRPr="008711C2">
        <w:rPr>
          <w:rFonts w:hint="eastAsia"/>
        </w:rPr>
        <w:t>.61</w:t>
      </w:r>
      <w:r>
        <w:t>万元，</w:t>
      </w:r>
      <w:r>
        <w:rPr>
          <w:rFonts w:hint="eastAsia"/>
        </w:rPr>
        <w:t>住房保障支出</w:t>
      </w:r>
      <w:r w:rsidRPr="008711C2">
        <w:rPr>
          <w:rFonts w:hint="eastAsia"/>
        </w:rPr>
        <w:t>6.23</w:t>
      </w:r>
      <w:r>
        <w:t>万元。</w:t>
      </w:r>
      <w:r>
        <w:rPr>
          <w:b/>
        </w:rPr>
        <w:t>支出较去年增加</w:t>
      </w:r>
      <w:r>
        <w:rPr>
          <w:rFonts w:ascii="宋体" w:eastAsia="宋体" w:hAnsi="宋体" w:cs="宋体" w:hint="eastAsia"/>
          <w:b/>
        </w:rPr>
        <w:t>79.20</w:t>
      </w:r>
      <w:r>
        <w:rPr>
          <w:b/>
        </w:rPr>
        <w:t>万元，主要是</w:t>
      </w:r>
      <w:r>
        <w:rPr>
          <w:rFonts w:ascii="宋体" w:eastAsia="宋体" w:hAnsi="宋体" w:cs="宋体"/>
          <w:b/>
        </w:rPr>
        <w:t>去年未单独预算</w:t>
      </w:r>
      <w:r>
        <w:rPr>
          <w:b/>
        </w:rPr>
        <w:t>。</w:t>
      </w:r>
    </w:p>
    <w:p w:rsidR="004C17EA" w:rsidRDefault="00FB51A8">
      <w:pPr>
        <w:widowControl/>
        <w:spacing w:line="600" w:lineRule="exact"/>
        <w:ind w:firstLine="660"/>
        <w:jc w:val="left"/>
        <w:rPr>
          <w:rFonts w:eastAsia="黑体"/>
        </w:rPr>
      </w:pPr>
      <w:r>
        <w:rPr>
          <w:rFonts w:eastAsia="黑体"/>
        </w:rPr>
        <w:t>四、一般公共预算拨款支出</w:t>
      </w:r>
    </w:p>
    <w:p w:rsidR="004C17EA" w:rsidRDefault="00FB51A8">
      <w:pPr>
        <w:widowControl/>
        <w:spacing w:line="600" w:lineRule="exact"/>
        <w:ind w:firstLine="660"/>
        <w:jc w:val="left"/>
      </w:pPr>
      <w:r>
        <w:rPr>
          <w:rFonts w:hint="eastAsia"/>
        </w:rPr>
        <w:t>2024</w:t>
      </w:r>
      <w:r>
        <w:t>年本部门一般公共预算拨款支出预算</w:t>
      </w:r>
      <w:r>
        <w:rPr>
          <w:rFonts w:hint="eastAsia"/>
        </w:rPr>
        <w:t>79.20</w:t>
      </w:r>
      <w:r>
        <w:t>万元，其中，一般公共服务支出</w:t>
      </w:r>
      <w:r>
        <w:rPr>
          <w:rFonts w:hint="eastAsia"/>
        </w:rPr>
        <w:t>0</w:t>
      </w:r>
      <w:r>
        <w:t>万元，占</w:t>
      </w:r>
      <w:r>
        <w:rPr>
          <w:rFonts w:hint="eastAsia"/>
        </w:rPr>
        <w:t>0</w:t>
      </w:r>
      <w:r>
        <w:t>%</w:t>
      </w:r>
      <w:r>
        <w:rPr>
          <w:rFonts w:hint="eastAsia"/>
        </w:rPr>
        <w:t>;文化旅游体育与传媒支出60.47</w:t>
      </w:r>
      <w:r>
        <w:t>万元</w:t>
      </w:r>
      <w:r w:rsidR="008711C2">
        <w:t>，</w:t>
      </w:r>
      <w:r>
        <w:t>占</w:t>
      </w:r>
      <w:r>
        <w:rPr>
          <w:rFonts w:hint="eastAsia"/>
        </w:rPr>
        <w:t>76.4%</w:t>
      </w:r>
      <w:r w:rsidR="008711C2">
        <w:rPr>
          <w:rFonts w:hint="eastAsia"/>
        </w:rPr>
        <w:t>；</w:t>
      </w:r>
      <w:r>
        <w:rPr>
          <w:rFonts w:hint="eastAsia"/>
        </w:rPr>
        <w:t>社会保障和就业支出8.89</w:t>
      </w:r>
      <w:r>
        <w:t>万元</w:t>
      </w:r>
      <w:r w:rsidR="008711C2">
        <w:t>，</w:t>
      </w:r>
      <w:r>
        <w:t>占</w:t>
      </w:r>
      <w:r>
        <w:rPr>
          <w:rFonts w:hint="eastAsia"/>
        </w:rPr>
        <w:t>11.2%</w:t>
      </w:r>
      <w:r w:rsidR="008711C2">
        <w:rPr>
          <w:rFonts w:hint="eastAsia"/>
        </w:rPr>
        <w:t>；</w:t>
      </w:r>
      <w:r>
        <w:rPr>
          <w:rFonts w:hint="eastAsia"/>
        </w:rPr>
        <w:t>卫生健康支出3.61</w:t>
      </w:r>
      <w:r>
        <w:t>万元</w:t>
      </w:r>
      <w:r w:rsidR="008711C2">
        <w:t>，</w:t>
      </w:r>
      <w:r>
        <w:t>占</w:t>
      </w:r>
      <w:r>
        <w:rPr>
          <w:rFonts w:hint="eastAsia"/>
        </w:rPr>
        <w:t>4.6%</w:t>
      </w:r>
      <w:r w:rsidR="008711C2">
        <w:rPr>
          <w:rFonts w:hint="eastAsia"/>
        </w:rPr>
        <w:t>；</w:t>
      </w:r>
      <w:r>
        <w:rPr>
          <w:rFonts w:hint="eastAsia"/>
        </w:rPr>
        <w:t>住房保障支出6.23</w:t>
      </w:r>
      <w:r>
        <w:t>万元</w:t>
      </w:r>
      <w:r w:rsidR="008711C2">
        <w:t>，</w:t>
      </w:r>
      <w:r>
        <w:t>占</w:t>
      </w:r>
      <w:r>
        <w:rPr>
          <w:rFonts w:hint="eastAsia"/>
        </w:rPr>
        <w:t>7.8%</w:t>
      </w:r>
      <w:r>
        <w:t>。具体安排情况如下：</w:t>
      </w:r>
    </w:p>
    <w:p w:rsidR="004C17EA" w:rsidRDefault="00FB51A8">
      <w:pPr>
        <w:widowControl/>
        <w:spacing w:line="600" w:lineRule="exact"/>
        <w:ind w:firstLine="660"/>
        <w:jc w:val="left"/>
        <w:rPr>
          <w:rFonts w:eastAsia="黑体"/>
        </w:rPr>
      </w:pPr>
      <w:r>
        <w:rPr>
          <w:rFonts w:eastAsia="楷体_GB2312"/>
          <w:b/>
        </w:rPr>
        <w:lastRenderedPageBreak/>
        <w:t>（一）基本支出：</w:t>
      </w:r>
      <w:r>
        <w:rPr>
          <w:rFonts w:hint="eastAsia"/>
        </w:rPr>
        <w:t>2024</w:t>
      </w:r>
      <w:r>
        <w:t>年本部门基本支出预算数</w:t>
      </w:r>
      <w:r w:rsidRPr="008711C2">
        <w:rPr>
          <w:rFonts w:hint="eastAsia"/>
        </w:rPr>
        <w:t>79.20</w:t>
      </w:r>
      <w:r>
        <w:t>万元，主要是为保障部门正常运转、完成日常工作任务而发生的各项支出，包括用于基本工资、津贴补贴等人员经费以及办公费、印刷费、水电费、办公设备购置等公用经费。</w:t>
      </w:r>
    </w:p>
    <w:p w:rsidR="004C17EA" w:rsidRDefault="00FB51A8">
      <w:pPr>
        <w:widowControl/>
        <w:spacing w:line="600" w:lineRule="exact"/>
        <w:ind w:firstLine="660"/>
        <w:jc w:val="left"/>
      </w:pPr>
      <w:r>
        <w:rPr>
          <w:rFonts w:eastAsia="楷体_GB2312"/>
          <w:b/>
        </w:rPr>
        <w:t>（二）项目支出：</w:t>
      </w:r>
      <w:r>
        <w:rPr>
          <w:rFonts w:hint="eastAsia"/>
        </w:rPr>
        <w:t>2024</w:t>
      </w:r>
      <w:r>
        <w:t>年本部门项目支出预算</w:t>
      </w:r>
      <w:r>
        <w:rPr>
          <w:rFonts w:hint="eastAsia"/>
        </w:rPr>
        <w:t>0</w:t>
      </w:r>
      <w:r>
        <w:t>万元，主要是部门为完成特定行政工作任务或事业发展目标而发生的支出，包括有关事业发展专项、专项业务费、基本建设支出等，其中：支出</w:t>
      </w:r>
      <w:r>
        <w:rPr>
          <w:rFonts w:hint="eastAsia"/>
        </w:rPr>
        <w:t>0</w:t>
      </w:r>
      <w:r>
        <w:t>万元。</w:t>
      </w:r>
    </w:p>
    <w:p w:rsidR="004C17EA" w:rsidRDefault="00FB51A8">
      <w:pPr>
        <w:widowControl/>
        <w:spacing w:line="600" w:lineRule="exact"/>
        <w:ind w:firstLine="660"/>
        <w:jc w:val="left"/>
        <w:rPr>
          <w:rFonts w:eastAsia="黑体"/>
        </w:rPr>
      </w:pPr>
      <w:r>
        <w:rPr>
          <w:rFonts w:eastAsia="黑体"/>
        </w:rPr>
        <w:t>五、政府性基金预算支出</w:t>
      </w:r>
    </w:p>
    <w:p w:rsidR="004C17EA" w:rsidRDefault="00FB51A8">
      <w:pPr>
        <w:widowControl/>
        <w:spacing w:line="600" w:lineRule="exact"/>
        <w:ind w:firstLine="660"/>
        <w:jc w:val="left"/>
      </w:pPr>
      <w:r>
        <w:rPr>
          <w:rFonts w:hint="eastAsia"/>
        </w:rPr>
        <w:t>2024</w:t>
      </w:r>
      <w:r>
        <w:t>年本部门无政府性基金安排的支出。</w:t>
      </w:r>
    </w:p>
    <w:p w:rsidR="004C17EA" w:rsidRDefault="00FB51A8">
      <w:pPr>
        <w:widowControl/>
        <w:spacing w:line="600" w:lineRule="exact"/>
        <w:ind w:firstLine="660"/>
        <w:jc w:val="left"/>
        <w:rPr>
          <w:rFonts w:eastAsia="黑体"/>
        </w:rPr>
      </w:pPr>
      <w:r>
        <w:rPr>
          <w:rFonts w:eastAsia="黑体"/>
        </w:rPr>
        <w:t>六、其他重要事项的情况说明</w:t>
      </w:r>
    </w:p>
    <w:p w:rsidR="004C17EA" w:rsidRDefault="00FB51A8">
      <w:pPr>
        <w:widowControl/>
        <w:spacing w:line="600" w:lineRule="exact"/>
        <w:ind w:firstLine="660"/>
        <w:jc w:val="left"/>
      </w:pPr>
      <w:r>
        <w:rPr>
          <w:rFonts w:eastAsia="楷体_GB2312"/>
          <w:b/>
        </w:rPr>
        <w:t>（一）机关运行经费：</w:t>
      </w:r>
      <w:r>
        <w:rPr>
          <w:rFonts w:hint="eastAsia"/>
        </w:rPr>
        <w:t>2024</w:t>
      </w:r>
      <w:r>
        <w:t>年本部门机关本级</w:t>
      </w:r>
      <w:r>
        <w:rPr>
          <w:rFonts w:hint="eastAsia"/>
        </w:rPr>
        <w:t>1</w:t>
      </w:r>
      <w:r>
        <w:t>家行政事业单位的机关运行经费</w:t>
      </w:r>
      <w:r w:rsidRPr="008711C2">
        <w:rPr>
          <w:rFonts w:hint="eastAsia"/>
        </w:rPr>
        <w:t>0</w:t>
      </w:r>
      <w:r>
        <w:t>万元，比上年预算增加</w:t>
      </w:r>
      <w:r>
        <w:rPr>
          <w:rFonts w:hint="eastAsia"/>
        </w:rPr>
        <w:t>0</w:t>
      </w:r>
      <w:r>
        <w:t>万元，下降</w:t>
      </w:r>
      <w:r>
        <w:rPr>
          <w:rFonts w:hint="eastAsia"/>
        </w:rPr>
        <w:t>0</w:t>
      </w:r>
      <w:r>
        <w:t>%，主要是无机关运行经费。</w:t>
      </w:r>
    </w:p>
    <w:p w:rsidR="004C17EA" w:rsidRDefault="00FB51A8">
      <w:pPr>
        <w:widowControl/>
        <w:spacing w:line="600" w:lineRule="exact"/>
        <w:ind w:firstLine="660"/>
      </w:pPr>
      <w:r>
        <w:rPr>
          <w:rFonts w:eastAsia="楷体_GB2312"/>
          <w:b/>
        </w:rPr>
        <w:t>（二）</w:t>
      </w:r>
      <w:r>
        <w:rPr>
          <w:rFonts w:eastAsia="楷体_GB2312"/>
          <w:b/>
        </w:rPr>
        <w:t>“</w:t>
      </w:r>
      <w:r>
        <w:rPr>
          <w:rFonts w:eastAsia="楷体_GB2312"/>
          <w:b/>
        </w:rPr>
        <w:t>三公</w:t>
      </w:r>
      <w:r>
        <w:rPr>
          <w:rFonts w:eastAsia="楷体_GB2312"/>
          <w:b/>
        </w:rPr>
        <w:t>”</w:t>
      </w:r>
      <w:r>
        <w:rPr>
          <w:rFonts w:eastAsia="楷体_GB2312"/>
          <w:b/>
        </w:rPr>
        <w:t>经费预算：</w:t>
      </w:r>
      <w:r>
        <w:rPr>
          <w:rFonts w:hint="eastAsia"/>
        </w:rPr>
        <w:t>2024</w:t>
      </w:r>
      <w:r>
        <w:t>年本部门机关本级</w:t>
      </w:r>
      <w:r>
        <w:rPr>
          <w:rFonts w:hint="eastAsia"/>
        </w:rPr>
        <w:t>1</w:t>
      </w:r>
      <w:r>
        <w:t>家行政事业单位</w:t>
      </w:r>
      <w:r>
        <w:t>“</w:t>
      </w:r>
      <w:r>
        <w:t>三公</w:t>
      </w:r>
      <w:r>
        <w:t>”</w:t>
      </w:r>
      <w:r>
        <w:t>经费预算数为</w:t>
      </w:r>
      <w:r>
        <w:rPr>
          <w:rFonts w:hint="eastAsia"/>
        </w:rPr>
        <w:t>0</w:t>
      </w:r>
      <w:r>
        <w:t>万元，其中，公务接待费</w:t>
      </w:r>
      <w:r>
        <w:rPr>
          <w:rFonts w:hint="eastAsia"/>
        </w:rPr>
        <w:t>0</w:t>
      </w:r>
      <w:r>
        <w:t>万元，公务用车购置及运行费</w:t>
      </w:r>
      <w:r>
        <w:rPr>
          <w:rFonts w:hint="eastAsia"/>
        </w:rPr>
        <w:t>0</w:t>
      </w:r>
      <w:r>
        <w:t>万元（其中，公务用车购置费</w:t>
      </w:r>
      <w:r>
        <w:rPr>
          <w:rFonts w:hint="eastAsia"/>
        </w:rPr>
        <w:t>0</w:t>
      </w:r>
      <w:r>
        <w:t>万元，公务用车运行费</w:t>
      </w:r>
      <w:r>
        <w:rPr>
          <w:rFonts w:hint="eastAsia"/>
        </w:rPr>
        <w:t>0</w:t>
      </w:r>
      <w:r>
        <w:t>万元），因公出国（境）费</w:t>
      </w:r>
      <w:r>
        <w:rPr>
          <w:rFonts w:hint="eastAsia"/>
        </w:rPr>
        <w:t>0</w:t>
      </w:r>
      <w:r>
        <w:t>万元。</w:t>
      </w:r>
      <w:r>
        <w:rPr>
          <w:rFonts w:hint="eastAsia"/>
        </w:rPr>
        <w:t>2024</w:t>
      </w:r>
      <w:r>
        <w:t>年</w:t>
      </w:r>
      <w:r>
        <w:t>“</w:t>
      </w:r>
      <w:r>
        <w:t>三公</w:t>
      </w:r>
      <w:r>
        <w:t>”</w:t>
      </w:r>
      <w:r>
        <w:t>经费预算较202</w:t>
      </w:r>
      <w:r>
        <w:rPr>
          <w:rFonts w:hint="eastAsia"/>
        </w:rPr>
        <w:t>3</w:t>
      </w:r>
      <w:r>
        <w:t>年减少</w:t>
      </w:r>
      <w:r>
        <w:rPr>
          <w:rFonts w:hint="eastAsia"/>
        </w:rPr>
        <w:t>0</w:t>
      </w:r>
      <w:r>
        <w:t>万元，主要是</w:t>
      </w:r>
      <w:r>
        <w:t>“</w:t>
      </w:r>
      <w:r>
        <w:t>三公</w:t>
      </w:r>
      <w:r>
        <w:t>”</w:t>
      </w:r>
      <w:r>
        <w:t>经费统一预算在局机关。</w:t>
      </w:r>
    </w:p>
    <w:p w:rsidR="004C17EA" w:rsidRDefault="00FB51A8">
      <w:pPr>
        <w:widowControl/>
        <w:spacing w:line="600" w:lineRule="exact"/>
        <w:ind w:firstLine="660"/>
        <w:rPr>
          <w:kern w:val="0"/>
        </w:rPr>
      </w:pPr>
      <w:r>
        <w:rPr>
          <w:rFonts w:eastAsia="楷体_GB2312"/>
          <w:b/>
        </w:rPr>
        <w:lastRenderedPageBreak/>
        <w:t>（三）一般性支出情况：</w:t>
      </w:r>
      <w:r>
        <w:rPr>
          <w:rFonts w:hint="eastAsia"/>
          <w:kern w:val="0"/>
        </w:rPr>
        <w:t>2024</w:t>
      </w:r>
      <w:r>
        <w:rPr>
          <w:kern w:val="0"/>
        </w:rPr>
        <w:t>年本部门会议费预算</w:t>
      </w:r>
      <w:r>
        <w:rPr>
          <w:rFonts w:hint="eastAsia"/>
        </w:rPr>
        <w:t>0</w:t>
      </w:r>
      <w:r>
        <w:rPr>
          <w:kern w:val="0"/>
        </w:rPr>
        <w:t>万元，拟召开</w:t>
      </w:r>
      <w:r>
        <w:rPr>
          <w:rFonts w:hint="eastAsia"/>
        </w:rPr>
        <w:t>0</w:t>
      </w:r>
      <w:r>
        <w:rPr>
          <w:kern w:val="0"/>
        </w:rPr>
        <w:t>会议，人数</w:t>
      </w:r>
      <w:r>
        <w:rPr>
          <w:rFonts w:hint="eastAsia"/>
        </w:rPr>
        <w:t>0</w:t>
      </w:r>
      <w:r>
        <w:rPr>
          <w:kern w:val="0"/>
        </w:rPr>
        <w:t>人，内容为无；培训费预算</w:t>
      </w:r>
      <w:r>
        <w:rPr>
          <w:rFonts w:hint="eastAsia"/>
        </w:rPr>
        <w:t>0</w:t>
      </w:r>
      <w:r>
        <w:rPr>
          <w:kern w:val="0"/>
        </w:rPr>
        <w:t>万元，拟开展</w:t>
      </w:r>
      <w:r>
        <w:rPr>
          <w:rFonts w:hint="eastAsia"/>
        </w:rPr>
        <w:t>0</w:t>
      </w:r>
      <w:r>
        <w:rPr>
          <w:kern w:val="0"/>
        </w:rPr>
        <w:t>培训，人数</w:t>
      </w:r>
      <w:r>
        <w:rPr>
          <w:rFonts w:hint="eastAsia"/>
        </w:rPr>
        <w:t>0</w:t>
      </w:r>
      <w:r>
        <w:rPr>
          <w:kern w:val="0"/>
        </w:rPr>
        <w:t>人，内容为无；拟举办</w:t>
      </w:r>
      <w:r>
        <w:rPr>
          <w:rFonts w:hint="eastAsia"/>
        </w:rPr>
        <w:t>0</w:t>
      </w:r>
      <w:r>
        <w:rPr>
          <w:kern w:val="0"/>
        </w:rPr>
        <w:t>等节庆、晚会、论坛、赛事活动，经费预算</w:t>
      </w:r>
      <w:r>
        <w:rPr>
          <w:rFonts w:hint="eastAsia"/>
          <w:kern w:val="0"/>
        </w:rPr>
        <w:t>0</w:t>
      </w:r>
      <w:r>
        <w:rPr>
          <w:kern w:val="0"/>
        </w:rPr>
        <w:t>万元。</w:t>
      </w:r>
    </w:p>
    <w:p w:rsidR="004C17EA" w:rsidRDefault="00FB51A8">
      <w:pPr>
        <w:widowControl/>
        <w:spacing w:line="600" w:lineRule="exact"/>
        <w:ind w:firstLine="660"/>
      </w:pPr>
      <w:r>
        <w:rPr>
          <w:rFonts w:eastAsia="楷体_GB2312"/>
          <w:b/>
        </w:rPr>
        <w:t>（四）政府采购情况：</w:t>
      </w:r>
      <w:r>
        <w:rPr>
          <w:rFonts w:hint="eastAsia"/>
        </w:rPr>
        <w:t>2024</w:t>
      </w:r>
      <w:r>
        <w:t>年本部门政府采购预算总额</w:t>
      </w:r>
      <w:r>
        <w:rPr>
          <w:rFonts w:hint="eastAsia"/>
        </w:rPr>
        <w:t>4</w:t>
      </w:r>
      <w:r>
        <w:t>万元，其中，货物类采购预算</w:t>
      </w:r>
      <w:r>
        <w:rPr>
          <w:rFonts w:hint="eastAsia"/>
        </w:rPr>
        <w:t>2</w:t>
      </w:r>
      <w:r>
        <w:t>万元；工程类采购预算</w:t>
      </w:r>
      <w:r>
        <w:rPr>
          <w:rFonts w:hint="eastAsia"/>
        </w:rPr>
        <w:t>0</w:t>
      </w:r>
      <w:r>
        <w:t>万元；服务类采购预算</w:t>
      </w:r>
      <w:r>
        <w:rPr>
          <w:rFonts w:hint="eastAsia"/>
        </w:rPr>
        <w:t>2</w:t>
      </w:r>
      <w:r>
        <w:t>万元。</w:t>
      </w:r>
    </w:p>
    <w:p w:rsidR="004C17EA" w:rsidRDefault="00FB51A8">
      <w:pPr>
        <w:widowControl/>
        <w:spacing w:line="600" w:lineRule="exact"/>
        <w:ind w:firstLine="660"/>
        <w:jc w:val="left"/>
        <w:rPr>
          <w:bCs/>
          <w:kern w:val="0"/>
        </w:rPr>
      </w:pPr>
      <w:r>
        <w:rPr>
          <w:rFonts w:eastAsia="楷体_GB2312"/>
          <w:b/>
        </w:rPr>
        <w:t>（五）国有资产占用使用及新增资产配置情况：</w:t>
      </w:r>
      <w:r>
        <w:t>截至202</w:t>
      </w:r>
      <w:r>
        <w:rPr>
          <w:rFonts w:hint="eastAsia"/>
        </w:rPr>
        <w:t>3</w:t>
      </w:r>
      <w:r>
        <w:t>年12月底，本部门</w:t>
      </w:r>
      <w:r>
        <w:rPr>
          <w:bCs/>
          <w:kern w:val="0"/>
        </w:rPr>
        <w:t>共有公务用车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辆，其中，机要通信用车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辆，应急保障用车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辆，执法执勤用车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辆，特种专业技术用车  辆，其他按照规定配备的公务用车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辆；单位价值50万元以上通用设备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台，单位价值100万元以上专用设备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台。</w:t>
      </w:r>
      <w:r>
        <w:rPr>
          <w:rFonts w:hint="eastAsia"/>
          <w:bCs/>
          <w:kern w:val="0"/>
        </w:rPr>
        <w:t>2024</w:t>
      </w:r>
      <w:r>
        <w:rPr>
          <w:bCs/>
          <w:kern w:val="0"/>
        </w:rPr>
        <w:t>年拟新增配置公务用车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辆，其中，机要通信用车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辆，应急保障用车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辆，执法执勤用车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辆，特种专业技术用车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辆，其他按照规定配备的公务用车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辆；新增配备单位价值50万元以上通用设备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台，单位价值100万元以上专用设备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台。</w:t>
      </w:r>
    </w:p>
    <w:p w:rsidR="004C17EA" w:rsidRDefault="00FB51A8">
      <w:pPr>
        <w:widowControl/>
        <w:spacing w:line="600" w:lineRule="exact"/>
        <w:ind w:firstLine="660"/>
        <w:jc w:val="left"/>
        <w:rPr>
          <w:bCs/>
          <w:kern w:val="0"/>
        </w:rPr>
      </w:pPr>
      <w:r>
        <w:rPr>
          <w:rFonts w:eastAsia="楷体_GB2312"/>
          <w:b/>
          <w:bCs/>
          <w:kern w:val="0"/>
        </w:rPr>
        <w:t>（六）预算绩效目标说明：</w:t>
      </w:r>
      <w:r>
        <w:rPr>
          <w:bCs/>
          <w:kern w:val="0"/>
        </w:rPr>
        <w:t>本部门所有支出实行绩效目标管理。纳入</w:t>
      </w:r>
      <w:r>
        <w:rPr>
          <w:rFonts w:hint="eastAsia"/>
          <w:bCs/>
          <w:kern w:val="0"/>
        </w:rPr>
        <w:t>2024</w:t>
      </w:r>
      <w:r>
        <w:rPr>
          <w:bCs/>
          <w:kern w:val="0"/>
        </w:rPr>
        <w:t>年部门整体支出绩效目标的金额为</w:t>
      </w:r>
      <w:r w:rsidRPr="008711C2">
        <w:rPr>
          <w:rFonts w:hint="eastAsia"/>
        </w:rPr>
        <w:t>79.20</w:t>
      </w:r>
      <w:r w:rsidRPr="008711C2">
        <w:t>万</w:t>
      </w:r>
      <w:r>
        <w:rPr>
          <w:bCs/>
          <w:kern w:val="0"/>
        </w:rPr>
        <w:t>元，其中，基本支出</w:t>
      </w:r>
      <w:r w:rsidRPr="008711C2">
        <w:rPr>
          <w:rFonts w:hint="eastAsia"/>
        </w:rPr>
        <w:t>79.20</w:t>
      </w:r>
      <w:r>
        <w:rPr>
          <w:bCs/>
          <w:kern w:val="0"/>
        </w:rPr>
        <w:t>万元，项目支出</w:t>
      </w:r>
      <w:r>
        <w:rPr>
          <w:rFonts w:hint="eastAsia"/>
        </w:rPr>
        <w:t>0</w:t>
      </w:r>
      <w:r>
        <w:rPr>
          <w:bCs/>
          <w:kern w:val="0"/>
        </w:rPr>
        <w:t>万元，具体绩效目标详见报表。</w:t>
      </w:r>
    </w:p>
    <w:p w:rsidR="004C17EA" w:rsidRDefault="00FB51A8">
      <w:pPr>
        <w:widowControl/>
        <w:spacing w:line="600" w:lineRule="exact"/>
        <w:ind w:firstLine="660"/>
        <w:rPr>
          <w:rFonts w:eastAsia="黑体"/>
        </w:rPr>
      </w:pPr>
      <w:r>
        <w:rPr>
          <w:rFonts w:eastAsia="黑体"/>
        </w:rPr>
        <w:t>七、名词解释</w:t>
      </w:r>
    </w:p>
    <w:p w:rsidR="004C17EA" w:rsidRDefault="00FB51A8">
      <w:pPr>
        <w:widowControl/>
        <w:spacing w:line="600" w:lineRule="exact"/>
        <w:ind w:firstLine="660"/>
      </w:pPr>
      <w:r>
        <w:lastRenderedPageBreak/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4C17EA" w:rsidRDefault="00FB51A8">
      <w:pPr>
        <w:widowControl/>
        <w:spacing w:line="600" w:lineRule="exact"/>
        <w:ind w:firstLine="660"/>
      </w:pPr>
      <w:r>
        <w:t>2、</w:t>
      </w:r>
      <w:r>
        <w:t>“</w:t>
      </w:r>
      <w:r>
        <w:t>三公</w:t>
      </w:r>
      <w:r>
        <w:t>”</w:t>
      </w:r>
      <w:r>
        <w:t>经费：纳入省（市/县）财政预算管理的</w:t>
      </w:r>
      <w:r>
        <w:t>“</w:t>
      </w:r>
      <w:r>
        <w:t>三公</w:t>
      </w:r>
      <w:r>
        <w:t>“</w:t>
      </w:r>
      <w: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4C17EA" w:rsidRDefault="004C17EA">
      <w:pPr>
        <w:widowControl/>
        <w:spacing w:line="600" w:lineRule="exact"/>
        <w:ind w:firstLineChars="200" w:firstLine="632"/>
        <w:jc w:val="left"/>
        <w:rPr>
          <w:b/>
          <w:bCs/>
          <w:kern w:val="0"/>
        </w:rPr>
      </w:pPr>
    </w:p>
    <w:p w:rsidR="004C17EA" w:rsidRDefault="004C17EA">
      <w:pPr>
        <w:widowControl/>
        <w:spacing w:line="600" w:lineRule="exact"/>
        <w:ind w:firstLineChars="200" w:firstLine="632"/>
        <w:jc w:val="left"/>
        <w:rPr>
          <w:b/>
          <w:bCs/>
          <w:kern w:val="0"/>
        </w:rPr>
      </w:pPr>
    </w:p>
    <w:p w:rsidR="004C17EA" w:rsidRDefault="004C17EA">
      <w:pPr>
        <w:widowControl/>
        <w:spacing w:line="600" w:lineRule="exact"/>
        <w:ind w:firstLineChars="200" w:firstLine="632"/>
        <w:jc w:val="left"/>
        <w:rPr>
          <w:b/>
          <w:bCs/>
          <w:kern w:val="0"/>
        </w:rPr>
      </w:pPr>
    </w:p>
    <w:p w:rsidR="004C17EA" w:rsidRDefault="004C17EA">
      <w:pPr>
        <w:widowControl/>
        <w:spacing w:line="600" w:lineRule="exact"/>
        <w:ind w:firstLineChars="200" w:firstLine="632"/>
        <w:jc w:val="left"/>
        <w:rPr>
          <w:b/>
          <w:bCs/>
          <w:kern w:val="0"/>
        </w:rPr>
      </w:pPr>
    </w:p>
    <w:p w:rsidR="004C17EA" w:rsidRDefault="004C17EA">
      <w:pPr>
        <w:widowControl/>
        <w:spacing w:line="600" w:lineRule="exact"/>
        <w:ind w:firstLineChars="200" w:firstLine="632"/>
        <w:jc w:val="left"/>
        <w:rPr>
          <w:b/>
          <w:bCs/>
          <w:kern w:val="0"/>
        </w:rPr>
      </w:pPr>
    </w:p>
    <w:p w:rsidR="004C17EA" w:rsidRDefault="004C17EA">
      <w:pPr>
        <w:widowControl/>
        <w:spacing w:line="600" w:lineRule="exact"/>
        <w:ind w:firstLineChars="200" w:firstLine="632"/>
        <w:jc w:val="left"/>
        <w:rPr>
          <w:b/>
          <w:bCs/>
          <w:kern w:val="0"/>
        </w:rPr>
      </w:pPr>
    </w:p>
    <w:p w:rsidR="004C17EA" w:rsidRDefault="004C17EA">
      <w:pPr>
        <w:widowControl/>
        <w:spacing w:line="600" w:lineRule="exact"/>
        <w:ind w:firstLineChars="200" w:firstLine="632"/>
        <w:jc w:val="left"/>
        <w:rPr>
          <w:b/>
          <w:bCs/>
          <w:kern w:val="0"/>
        </w:rPr>
      </w:pPr>
    </w:p>
    <w:p w:rsidR="004C17EA" w:rsidRDefault="004C17EA">
      <w:pPr>
        <w:widowControl/>
        <w:spacing w:line="600" w:lineRule="exact"/>
        <w:ind w:firstLineChars="200" w:firstLine="632"/>
        <w:jc w:val="left"/>
        <w:rPr>
          <w:b/>
          <w:bCs/>
          <w:kern w:val="0"/>
        </w:rPr>
      </w:pPr>
    </w:p>
    <w:p w:rsidR="004C17EA" w:rsidRDefault="004C17EA">
      <w:pPr>
        <w:widowControl/>
        <w:spacing w:line="600" w:lineRule="exact"/>
        <w:ind w:firstLineChars="200" w:firstLine="632"/>
        <w:jc w:val="left"/>
        <w:rPr>
          <w:b/>
          <w:bCs/>
          <w:kern w:val="0"/>
        </w:rPr>
      </w:pPr>
    </w:p>
    <w:p w:rsidR="004C17EA" w:rsidRDefault="00FB51A8">
      <w:pPr>
        <w:widowControl/>
        <w:numPr>
          <w:ilvl w:val="0"/>
          <w:numId w:val="5"/>
        </w:numPr>
        <w:spacing w:line="600" w:lineRule="exact"/>
        <w:ind w:firstLineChars="200" w:firstLine="712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 w:hint="eastAsia"/>
          <w:bCs/>
          <w:kern w:val="0"/>
          <w:sz w:val="36"/>
          <w:szCs w:val="36"/>
        </w:rPr>
        <w:lastRenderedPageBreak/>
        <w:t>2024</w:t>
      </w:r>
      <w:r>
        <w:rPr>
          <w:rFonts w:eastAsia="方正小标宋_GBK"/>
          <w:bCs/>
          <w:kern w:val="0"/>
          <w:sz w:val="36"/>
          <w:szCs w:val="36"/>
        </w:rPr>
        <w:t>年部门预算</w:t>
      </w:r>
      <w:r>
        <w:rPr>
          <w:rFonts w:eastAsia="方正小标宋_GBK" w:hint="eastAsia"/>
          <w:bCs/>
          <w:kern w:val="0"/>
          <w:sz w:val="36"/>
          <w:szCs w:val="36"/>
        </w:rPr>
        <w:t>公开的</w:t>
      </w:r>
      <w:r>
        <w:rPr>
          <w:rFonts w:eastAsia="方正小标宋_GBK"/>
          <w:bCs/>
          <w:kern w:val="0"/>
          <w:sz w:val="36"/>
          <w:szCs w:val="36"/>
        </w:rPr>
        <w:t>表</w:t>
      </w:r>
      <w:r>
        <w:rPr>
          <w:rFonts w:eastAsia="方正小标宋_GBK" w:hint="eastAsia"/>
          <w:bCs/>
          <w:kern w:val="0"/>
          <w:sz w:val="36"/>
          <w:szCs w:val="36"/>
        </w:rPr>
        <w:t>格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收支总表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收入总表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支出总表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支出预算分类汇总表（按政府预算经济分类）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支出预算分类汇总表（按部门预算经济分类）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财政拨款收支总表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一般公共预算支出表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一般公共预算基本支出表——人员经费（工资福利支出）（按政府预算经济分类）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一般公共预算基本支出表——人员经费（工资福利支出）（按部门预算经济分类）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一般公共预算基本支出表——人员经费（对个人和家庭的补助）（按政府预算经济分类）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一般公共预算基本支出表——人员经费（对个人和家庭的补助）（按部门预算经济分类）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一般公共预算基本支出表——公用经费（商品和服务支出）（按政府预算经济分类）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一般公共预算基本支出表——公用经费（商品和服务支出）（按部门预算经济分类）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一般公共预算“三公”经费支出表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政府性基金预算支出表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政府性基金预算支出分类汇总表（按政府预算经济分类）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政府性基金预算支出分类汇总表（按部门预算经济分类）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国有资本经营预算支出表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财政专户管理资金预算支出表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专项资金预算汇总表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项目支出绩效目标表</w:t>
      </w:r>
    </w:p>
    <w:p w:rsidR="004C17EA" w:rsidRDefault="00FB51A8">
      <w:pPr>
        <w:widowControl/>
        <w:numPr>
          <w:ilvl w:val="0"/>
          <w:numId w:val="6"/>
        </w:numPr>
        <w:spacing w:line="600" w:lineRule="exact"/>
        <w:rPr>
          <w:bCs/>
          <w:kern w:val="0"/>
          <w:sz w:val="28"/>
          <w:szCs w:val="28"/>
        </w:rPr>
      </w:pPr>
      <w:r>
        <w:rPr>
          <w:rFonts w:eastAsia="黑体" w:hint="eastAsia"/>
          <w:sz w:val="28"/>
          <w:szCs w:val="28"/>
        </w:rPr>
        <w:t>整体支出绩效目标表</w:t>
      </w:r>
    </w:p>
    <w:p w:rsidR="004C17EA" w:rsidRDefault="00FB51A8">
      <w:pPr>
        <w:widowControl/>
        <w:spacing w:line="600" w:lineRule="exact"/>
        <w:rPr>
          <w:bCs/>
          <w:kern w:val="0"/>
        </w:rPr>
      </w:pPr>
      <w:r>
        <w:rPr>
          <w:bCs/>
          <w:kern w:val="0"/>
        </w:rPr>
        <w:t>注：以上部门预算报表中，空表表示本部门无相关收支情况。</w:t>
      </w:r>
    </w:p>
    <w:p w:rsidR="004C17EA" w:rsidRDefault="004C17EA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4C17EA" w:rsidRDefault="004C17EA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4C17EA" w:rsidRDefault="004C17EA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4C17EA" w:rsidRDefault="004C17EA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4C17EA" w:rsidRDefault="004C17EA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4C17EA" w:rsidRDefault="004C17EA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4C17EA" w:rsidRDefault="004C17EA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4C17EA" w:rsidRDefault="004C17EA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4C17EA" w:rsidRDefault="004C17EA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4C17EA" w:rsidRDefault="004C17EA">
      <w:pPr>
        <w:rPr>
          <w:snapToGrid w:val="0"/>
          <w:color w:val="333333"/>
          <w:kern w:val="0"/>
          <w:sz w:val="28"/>
          <w:szCs w:val="28"/>
        </w:rPr>
      </w:pPr>
    </w:p>
    <w:p w:rsidR="004C17EA" w:rsidRDefault="004C17EA">
      <w:pPr>
        <w:rPr>
          <w:snapToGrid w:val="0"/>
          <w:color w:val="333333"/>
          <w:kern w:val="0"/>
          <w:sz w:val="28"/>
          <w:szCs w:val="28"/>
        </w:rPr>
      </w:pPr>
    </w:p>
    <w:p w:rsidR="004C17EA" w:rsidRDefault="004C17EA">
      <w:pPr>
        <w:rPr>
          <w:snapToGrid w:val="0"/>
          <w:color w:val="333333"/>
          <w:kern w:val="0"/>
          <w:sz w:val="28"/>
          <w:szCs w:val="28"/>
        </w:rPr>
      </w:pPr>
    </w:p>
    <w:sectPr w:rsidR="004C17EA" w:rsidSect="004C17EA">
      <w:footerReference w:type="even" r:id="rId8"/>
      <w:footerReference w:type="default" r:id="rId9"/>
      <w:pgSz w:w="11906" w:h="16838"/>
      <w:pgMar w:top="2098" w:right="1474" w:bottom="1985" w:left="1588" w:header="851" w:footer="1474" w:gutter="0"/>
      <w:pgNumType w:fmt="numberInDash"/>
      <w:cols w:space="720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893" w:rsidRDefault="003E0893" w:rsidP="004C17EA">
      <w:r>
        <w:separator/>
      </w:r>
    </w:p>
  </w:endnote>
  <w:endnote w:type="continuationSeparator" w:id="1">
    <w:p w:rsidR="003E0893" w:rsidRDefault="003E0893" w:rsidP="004C1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989A8BD-4041-43DF-8F28-B89A2FD3702C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  <w:embedRegular r:id="rId2" w:subsetted="1" w:fontKey="{238F7FD0-0C23-4AAF-8A45-887933979F90}"/>
    <w:embedBold r:id="rId3" w:subsetted="1" w:fontKey="{8959B5D4-F03A-4813-8EB2-563853D74A11}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  <w:embedRegular r:id="rId4" w:subsetted="1" w:fontKey="{762A57A7-3DC2-4D2F-B66B-7A8FF12C3DD3}"/>
  </w:font>
  <w:font w:name="楷体_GB2312">
    <w:charset w:val="86"/>
    <w:family w:val="modern"/>
    <w:pitch w:val="default"/>
    <w:sig w:usb0="00000001" w:usb1="080E0000" w:usb2="00000000" w:usb3="00000000" w:csb0="00040000" w:csb1="00000000"/>
    <w:embedBold r:id="rId5" w:subsetted="1" w:fontKey="{86C44B3E-3C03-4495-AB46-EC0C75EABF1B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7EA" w:rsidRDefault="00661C54">
    <w:pPr>
      <w:pStyle w:val="a4"/>
      <w:framePr w:wrap="around" w:vAnchor="text" w:hAnchor="margin" w:xAlign="outside" w:y="1"/>
      <w:rPr>
        <w:rStyle w:val="a6"/>
      </w:rPr>
    </w:pPr>
    <w:r>
      <w:fldChar w:fldCharType="begin"/>
    </w:r>
    <w:r w:rsidR="00FB51A8">
      <w:rPr>
        <w:rStyle w:val="a6"/>
      </w:rPr>
      <w:instrText xml:space="preserve">PAGE  </w:instrText>
    </w:r>
    <w:r>
      <w:fldChar w:fldCharType="end"/>
    </w:r>
  </w:p>
  <w:p w:rsidR="004C17EA" w:rsidRDefault="004C17EA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7EA" w:rsidRDefault="00661C54">
    <w:pPr>
      <w:pStyle w:val="a4"/>
      <w:framePr w:wrap="around" w:vAnchor="text" w:hAnchor="margin" w:xAlign="outside" w:y="1"/>
      <w:rPr>
        <w:rStyle w:val="a6"/>
        <w:sz w:val="28"/>
        <w:szCs w:val="28"/>
      </w:rPr>
    </w:pPr>
    <w:r>
      <w:rPr>
        <w:sz w:val="28"/>
        <w:szCs w:val="28"/>
      </w:rPr>
      <w:fldChar w:fldCharType="begin"/>
    </w:r>
    <w:r w:rsidR="00FB51A8"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8711C2">
      <w:rPr>
        <w:rStyle w:val="a6"/>
        <w:noProof/>
        <w:sz w:val="28"/>
        <w:szCs w:val="28"/>
      </w:rPr>
      <w:t>- 8 -</w:t>
    </w:r>
    <w:r>
      <w:rPr>
        <w:sz w:val="28"/>
        <w:szCs w:val="28"/>
      </w:rPr>
      <w:fldChar w:fldCharType="end"/>
    </w:r>
  </w:p>
  <w:p w:rsidR="004C17EA" w:rsidRDefault="004C17EA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893" w:rsidRDefault="003E0893" w:rsidP="004C17EA">
      <w:r>
        <w:separator/>
      </w:r>
    </w:p>
  </w:footnote>
  <w:footnote w:type="continuationSeparator" w:id="1">
    <w:p w:rsidR="003E0893" w:rsidRDefault="003E0893" w:rsidP="004C17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738D37"/>
    <w:multiLevelType w:val="singleLevel"/>
    <w:tmpl w:val="82738D3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8A31D83"/>
    <w:multiLevelType w:val="singleLevel"/>
    <w:tmpl w:val="98A31D83"/>
    <w:lvl w:ilvl="0">
      <w:start w:val="1"/>
      <w:numFmt w:val="chineseCounting"/>
      <w:suff w:val="nothing"/>
      <w:lvlText w:val="%1、"/>
      <w:lvlJc w:val="left"/>
      <w:pPr>
        <w:ind w:left="630" w:firstLine="0"/>
      </w:pPr>
      <w:rPr>
        <w:rFonts w:ascii="黑体" w:eastAsia="黑体" w:hAnsi="黑体" w:cs="黑体" w:hint="eastAsia"/>
        <w:sz w:val="32"/>
        <w:szCs w:val="32"/>
      </w:rPr>
    </w:lvl>
  </w:abstractNum>
  <w:abstractNum w:abstractNumId="2">
    <w:nsid w:val="BBCCDB54"/>
    <w:multiLevelType w:val="singleLevel"/>
    <w:tmpl w:val="BBCCDB54"/>
    <w:lvl w:ilvl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BDB556BD"/>
    <w:multiLevelType w:val="singleLevel"/>
    <w:tmpl w:val="BDB556BD"/>
    <w:lvl w:ilvl="0">
      <w:start w:val="1"/>
      <w:numFmt w:val="chineseCounting"/>
      <w:suff w:val="space"/>
      <w:lvlText w:val="第%1部分"/>
      <w:lvlJc w:val="left"/>
      <w:rPr>
        <w:rFonts w:hint="eastAsia"/>
        <w:sz w:val="32"/>
        <w:szCs w:val="32"/>
      </w:rPr>
    </w:lvl>
  </w:abstractNum>
  <w:abstractNum w:abstractNumId="4">
    <w:nsid w:val="17E8E575"/>
    <w:multiLevelType w:val="singleLevel"/>
    <w:tmpl w:val="17E8E575"/>
    <w:lvl w:ilvl="0">
      <w:start w:val="1"/>
      <w:numFmt w:val="chineseCounting"/>
      <w:suff w:val="nothing"/>
      <w:lvlText w:val="%1、"/>
      <w:lvlJc w:val="left"/>
      <w:pPr>
        <w:ind w:left="630" w:firstLine="0"/>
      </w:pPr>
      <w:rPr>
        <w:rFonts w:ascii="黑体" w:eastAsia="黑体" w:hAnsi="黑体" w:cs="黑体" w:hint="eastAsia"/>
        <w:sz w:val="32"/>
        <w:szCs w:val="32"/>
      </w:rPr>
    </w:lvl>
  </w:abstractNum>
  <w:abstractNum w:abstractNumId="5">
    <w:nsid w:val="21BABDDA"/>
    <w:multiLevelType w:val="singleLevel"/>
    <w:tmpl w:val="21BABDDA"/>
    <w:lvl w:ilvl="0">
      <w:start w:val="1"/>
      <w:numFmt w:val="chineseCounting"/>
      <w:suff w:val="nothing"/>
      <w:lvlText w:val="%1、"/>
      <w:lvlJc w:val="left"/>
      <w:pPr>
        <w:ind w:left="630" w:firstLine="0"/>
      </w:pPr>
      <w:rPr>
        <w:rFonts w:ascii="黑体" w:eastAsia="黑体" w:hAnsi="黑体" w:cs="黑体" w:hint="eastAsia"/>
        <w:sz w:val="32"/>
        <w:szCs w:val="32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TrueTypeFonts/>
  <w:saveSubsetFonts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JhNmQzMjYzZDE5MTUyZGEyYTllZDM2ZDNjMTI5NzcifQ=="/>
  </w:docVars>
  <w:rsids>
    <w:rsidRoot w:val="00172A27"/>
    <w:rsid w:val="00055F69"/>
    <w:rsid w:val="00076DC7"/>
    <w:rsid w:val="00172A27"/>
    <w:rsid w:val="00274035"/>
    <w:rsid w:val="002A1390"/>
    <w:rsid w:val="00300319"/>
    <w:rsid w:val="003858D1"/>
    <w:rsid w:val="003E0893"/>
    <w:rsid w:val="00457A7B"/>
    <w:rsid w:val="004C17EA"/>
    <w:rsid w:val="005625D5"/>
    <w:rsid w:val="005C39F3"/>
    <w:rsid w:val="005E3179"/>
    <w:rsid w:val="00604458"/>
    <w:rsid w:val="006214E3"/>
    <w:rsid w:val="006505DD"/>
    <w:rsid w:val="00661C54"/>
    <w:rsid w:val="00816040"/>
    <w:rsid w:val="008711C2"/>
    <w:rsid w:val="00995D7A"/>
    <w:rsid w:val="009D130E"/>
    <w:rsid w:val="009E1DC6"/>
    <w:rsid w:val="00AA29D3"/>
    <w:rsid w:val="00AA6D14"/>
    <w:rsid w:val="00AF4108"/>
    <w:rsid w:val="00B671E7"/>
    <w:rsid w:val="00B83123"/>
    <w:rsid w:val="00B93F95"/>
    <w:rsid w:val="00C6464E"/>
    <w:rsid w:val="00C72CCE"/>
    <w:rsid w:val="00C967EB"/>
    <w:rsid w:val="00CF2824"/>
    <w:rsid w:val="00D23303"/>
    <w:rsid w:val="00DA3EF8"/>
    <w:rsid w:val="00DC2598"/>
    <w:rsid w:val="00E52D97"/>
    <w:rsid w:val="00E6214A"/>
    <w:rsid w:val="00E74D5C"/>
    <w:rsid w:val="00E93217"/>
    <w:rsid w:val="00EA3B33"/>
    <w:rsid w:val="00EE63AC"/>
    <w:rsid w:val="00F240A0"/>
    <w:rsid w:val="00FB51A8"/>
    <w:rsid w:val="00FC7766"/>
    <w:rsid w:val="02FF4F89"/>
    <w:rsid w:val="22772D02"/>
    <w:rsid w:val="25165169"/>
    <w:rsid w:val="2AFC25CD"/>
    <w:rsid w:val="381C0324"/>
    <w:rsid w:val="43AE12CE"/>
    <w:rsid w:val="43E83631"/>
    <w:rsid w:val="4B0B3EE2"/>
    <w:rsid w:val="4CBA7785"/>
    <w:rsid w:val="4D823474"/>
    <w:rsid w:val="4F507CEC"/>
    <w:rsid w:val="514A0BCD"/>
    <w:rsid w:val="589024AB"/>
    <w:rsid w:val="66253078"/>
    <w:rsid w:val="7ADE03F0"/>
    <w:rsid w:val="7F250F93"/>
    <w:rsid w:val="7FBE3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17EA"/>
    <w:pPr>
      <w:widowControl w:val="0"/>
      <w:jc w:val="both"/>
    </w:pPr>
    <w:rPr>
      <w:rFonts w:ascii="仿宋_GB2312"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C17EA"/>
    <w:pPr>
      <w:ind w:leftChars="2500" w:left="100"/>
    </w:pPr>
  </w:style>
  <w:style w:type="paragraph" w:styleId="a4">
    <w:name w:val="footer"/>
    <w:basedOn w:val="a"/>
    <w:rsid w:val="004C17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qFormat/>
    <w:rsid w:val="004C1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4C17EA"/>
  </w:style>
  <w:style w:type="paragraph" w:customStyle="1" w:styleId="Char1">
    <w:name w:val="Char1"/>
    <w:basedOn w:val="a"/>
    <w:rsid w:val="004C17EA"/>
    <w:pPr>
      <w:widowControl/>
      <w:tabs>
        <w:tab w:val="right" w:pos="8494"/>
      </w:tabs>
      <w:spacing w:after="160" w:line="240" w:lineRule="exact"/>
      <w:jc w:val="left"/>
    </w:pPr>
    <w:rPr>
      <w:rFonts w:ascii="Times New Roman" w:eastAsia="宋体"/>
      <w:sz w:val="21"/>
      <w:szCs w:val="20"/>
    </w:rPr>
  </w:style>
  <w:style w:type="character" w:customStyle="1" w:styleId="Char">
    <w:name w:val="页眉 Char"/>
    <w:basedOn w:val="a0"/>
    <w:link w:val="a5"/>
    <w:qFormat/>
    <w:rsid w:val="004C17EA"/>
    <w:rPr>
      <w:rFonts w:ascii="仿宋_GB2312" w:eastAsia="仿宋_GB2312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4C17E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F52EF-DC8B-43F7-9624-1577C407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501</Words>
  <Characters>2859</Characters>
  <Application>Microsoft Office Word</Application>
  <DocSecurity>0</DocSecurity>
  <Lines>23</Lines>
  <Paragraphs>6</Paragraphs>
  <ScaleCrop>false</ScaleCrop>
  <Company>微软中国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安财库〔2016〕295号</dc:title>
  <dc:creator>微软用户</dc:creator>
  <cp:lastModifiedBy>Windows User</cp:lastModifiedBy>
  <cp:revision>9</cp:revision>
  <cp:lastPrinted>2024-01-29T01:28:00Z</cp:lastPrinted>
  <dcterms:created xsi:type="dcterms:W3CDTF">2024-04-15T06:24:00Z</dcterms:created>
  <dcterms:modified xsi:type="dcterms:W3CDTF">2024-04-16T01:20:00Z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489BBBF8ECAC4105AA12A8DFEAE43F7D_13</vt:lpwstr>
  </property>
</Properties>
</file>