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eastAsia="方正小标宋简体"/>
          <w:color w:val="auto"/>
          <w:kern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eastAsia="方正小标宋简体"/>
          <w:color w:val="auto"/>
          <w:kern w:val="0"/>
          <w:sz w:val="44"/>
          <w:szCs w:val="44"/>
          <w:lang w:eastAsia="zh-CN"/>
        </w:rPr>
      </w:pPr>
      <w:r>
        <w:rPr>
          <w:rFonts w:hint="eastAsia" w:ascii="方正小标宋简体" w:eastAsia="方正小标宋简体"/>
          <w:color w:val="auto"/>
          <w:kern w:val="0"/>
          <w:sz w:val="44"/>
          <w:szCs w:val="44"/>
        </w:rPr>
        <w:t>202</w:t>
      </w:r>
      <w:r>
        <w:rPr>
          <w:rFonts w:hint="eastAsia" w:ascii="方正小标宋简体" w:eastAsia="方正小标宋简体"/>
          <w:color w:val="auto"/>
          <w:kern w:val="0"/>
          <w:sz w:val="44"/>
          <w:szCs w:val="44"/>
          <w:lang w:val="en-US" w:eastAsia="zh-CN"/>
        </w:rPr>
        <w:t>4</w:t>
      </w:r>
      <w:r>
        <w:rPr>
          <w:rFonts w:hint="eastAsia" w:ascii="方正小标宋简体" w:eastAsia="方正小标宋简体"/>
          <w:color w:val="auto"/>
          <w:kern w:val="0"/>
          <w:sz w:val="44"/>
          <w:szCs w:val="44"/>
        </w:rPr>
        <w:t>年</w:t>
      </w:r>
      <w:r>
        <w:rPr>
          <w:rFonts w:hint="eastAsia" w:ascii="方正小标宋简体" w:eastAsia="方正小标宋简体"/>
          <w:color w:val="auto"/>
          <w:kern w:val="0"/>
          <w:sz w:val="44"/>
          <w:szCs w:val="44"/>
          <w:lang w:eastAsia="zh-CN"/>
        </w:rPr>
        <w:t>安化县现代</w:t>
      </w:r>
      <w:r>
        <w:rPr>
          <w:rFonts w:hint="eastAsia" w:ascii="方正小标宋简体" w:eastAsia="方正小标宋简体"/>
          <w:color w:val="auto"/>
          <w:kern w:val="0"/>
          <w:sz w:val="44"/>
          <w:szCs w:val="44"/>
        </w:rPr>
        <w:t>服务业</w:t>
      </w:r>
      <w:r>
        <w:rPr>
          <w:rFonts w:hint="eastAsia" w:ascii="方正小标宋简体" w:eastAsia="方正小标宋简体"/>
          <w:color w:val="auto"/>
          <w:kern w:val="0"/>
          <w:sz w:val="44"/>
          <w:szCs w:val="44"/>
          <w:lang w:eastAsia="zh-CN"/>
        </w:rPr>
        <w:t>精准提升行动</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eastAsia="方正小标宋简体"/>
          <w:color w:val="auto"/>
          <w:kern w:val="0"/>
          <w:sz w:val="44"/>
          <w:szCs w:val="44"/>
          <w:lang w:eastAsia="zh-CN"/>
        </w:rPr>
      </w:pPr>
      <w:r>
        <w:rPr>
          <w:rFonts w:hint="eastAsia" w:ascii="方正小标宋简体" w:eastAsia="方正小标宋简体"/>
          <w:color w:val="auto"/>
          <w:kern w:val="0"/>
          <w:sz w:val="44"/>
          <w:szCs w:val="44"/>
          <w:lang w:eastAsia="zh-CN"/>
        </w:rPr>
        <w:t>实施方案</w:t>
      </w:r>
    </w:p>
    <w:p>
      <w:pPr>
        <w:kinsoku/>
        <w:wordWrap/>
        <w:topLinePunct w:val="0"/>
        <w:autoSpaceDE/>
        <w:autoSpaceDN/>
        <w:bidi w:val="0"/>
        <w:spacing w:line="560" w:lineRule="exact"/>
        <w:jc w:val="center"/>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(征求意见稿)</w:t>
      </w:r>
    </w:p>
    <w:p>
      <w:pPr>
        <w:pStyle w:val="21"/>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olor w:val="auto"/>
          <w:sz w:val="32"/>
          <w:szCs w:val="32"/>
          <w:shd w:val="clear" w:color="auto" w:fill="auto"/>
          <w:lang w:eastAsia="zh-CN"/>
        </w:rPr>
      </w:pPr>
      <w:r>
        <w:rPr>
          <w:rFonts w:ascii="Times New Roman" w:hAnsi="Times New Roman" w:eastAsia="仿宋_GB2312"/>
          <w:color w:val="auto"/>
          <w:sz w:val="32"/>
          <w:szCs w:val="32"/>
          <w:shd w:val="clear" w:color="auto" w:fill="auto"/>
        </w:rPr>
        <w:t>为</w:t>
      </w:r>
      <w:r>
        <w:rPr>
          <w:rFonts w:hint="eastAsia" w:ascii="Times New Roman" w:hAnsi="Times New Roman" w:eastAsia="仿宋_GB2312"/>
          <w:color w:val="auto"/>
          <w:sz w:val="32"/>
          <w:szCs w:val="32"/>
          <w:shd w:val="clear" w:color="auto" w:fill="auto"/>
          <w:lang w:eastAsia="zh-CN"/>
        </w:rPr>
        <w:t>贯彻落实县委重大工作安排和县政府重点工作任务分解方案，</w:t>
      </w:r>
      <w:r>
        <w:rPr>
          <w:rFonts w:ascii="Times New Roman" w:hAnsi="Times New Roman" w:eastAsia="仿宋_GB2312"/>
          <w:color w:val="auto"/>
          <w:sz w:val="32"/>
          <w:szCs w:val="32"/>
          <w:shd w:val="clear" w:color="auto" w:fill="auto"/>
        </w:rPr>
        <w:t>加快</w:t>
      </w:r>
      <w:r>
        <w:rPr>
          <w:rFonts w:hint="eastAsia" w:ascii="Times New Roman" w:hAnsi="Times New Roman" w:eastAsia="仿宋_GB2312"/>
          <w:color w:val="auto"/>
          <w:sz w:val="32"/>
          <w:szCs w:val="32"/>
          <w:shd w:val="clear" w:color="auto" w:fill="auto"/>
          <w:lang w:eastAsia="zh-CN"/>
        </w:rPr>
        <w:t>推进</w:t>
      </w:r>
      <w:r>
        <w:rPr>
          <w:rFonts w:hint="eastAsia" w:ascii="Times New Roman" w:hAnsi="Times New Roman" w:eastAsia="仿宋_GB2312"/>
          <w:color w:val="auto"/>
          <w:sz w:val="32"/>
          <w:szCs w:val="32"/>
          <w:shd w:val="clear" w:color="auto" w:fill="auto"/>
        </w:rPr>
        <w:t>全</w:t>
      </w:r>
      <w:bookmarkStart w:id="0" w:name="_Hlk125981468"/>
      <w:r>
        <w:rPr>
          <w:rFonts w:hint="eastAsia" w:ascii="Times New Roman" w:hAnsi="Times New Roman" w:eastAsia="仿宋_GB2312"/>
          <w:color w:val="auto"/>
          <w:sz w:val="32"/>
          <w:szCs w:val="32"/>
          <w:shd w:val="clear" w:color="auto" w:fill="auto"/>
          <w:lang w:eastAsia="zh-CN"/>
        </w:rPr>
        <w:t>县</w:t>
      </w:r>
      <w:r>
        <w:rPr>
          <w:rFonts w:ascii="Times New Roman" w:hAnsi="Times New Roman" w:eastAsia="仿宋_GB2312"/>
          <w:color w:val="auto"/>
          <w:sz w:val="32"/>
          <w:szCs w:val="32"/>
          <w:shd w:val="clear" w:color="auto" w:fill="auto"/>
        </w:rPr>
        <w:t>服务业高质量发展，提高服务效率和服务品质</w:t>
      </w:r>
      <w:r>
        <w:rPr>
          <w:rFonts w:hint="eastAsia" w:ascii="Times New Roman" w:hAnsi="Times New Roman" w:eastAsia="仿宋_GB2312"/>
          <w:color w:val="auto"/>
          <w:sz w:val="32"/>
          <w:szCs w:val="32"/>
          <w:shd w:val="clear" w:color="auto" w:fill="auto"/>
          <w:lang w:eastAsia="zh-CN"/>
        </w:rPr>
        <w:t>，结合安化实际，</w:t>
      </w:r>
      <w:bookmarkEnd w:id="0"/>
      <w:r>
        <w:rPr>
          <w:rFonts w:ascii="Times New Roman" w:hAnsi="Times New Roman" w:eastAsia="仿宋_GB2312"/>
          <w:color w:val="auto"/>
          <w:sz w:val="32"/>
          <w:szCs w:val="32"/>
          <w:shd w:val="clear" w:color="auto" w:fill="auto"/>
        </w:rPr>
        <w:t>特</w:t>
      </w:r>
      <w:r>
        <w:rPr>
          <w:rFonts w:hint="eastAsia" w:ascii="Times New Roman" w:hAnsi="Times New Roman" w:eastAsia="仿宋_GB2312"/>
          <w:color w:val="auto"/>
          <w:sz w:val="32"/>
          <w:szCs w:val="32"/>
          <w:shd w:val="clear" w:color="auto" w:fill="auto"/>
          <w:lang w:eastAsia="zh-CN"/>
        </w:rPr>
        <w:t>制定本实施方案。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shd w:val="clear" w:color="auto" w:fill="auto"/>
        </w:rPr>
      </w:pPr>
      <w:r>
        <w:rPr>
          <w:rFonts w:hint="eastAsia" w:ascii="黑体" w:hAnsi="黑体" w:eastAsia="黑体" w:cs="黑体"/>
          <w:color w:val="auto"/>
          <w:sz w:val="32"/>
          <w:szCs w:val="32"/>
          <w:shd w:val="clear" w:color="auto" w:fill="auto"/>
        </w:rPr>
        <w:t>一、</w:t>
      </w:r>
      <w:r>
        <w:rPr>
          <w:rFonts w:hint="eastAsia" w:ascii="黑体" w:hAnsi="黑体" w:eastAsia="黑体" w:cs="黑体"/>
          <w:color w:val="auto"/>
          <w:sz w:val="32"/>
          <w:szCs w:val="32"/>
          <w:shd w:val="clear" w:color="auto" w:fill="auto"/>
          <w:lang w:eastAsia="zh-CN"/>
        </w:rPr>
        <w:t>工</w:t>
      </w:r>
      <w:r>
        <w:rPr>
          <w:rFonts w:hint="eastAsia" w:ascii="黑体" w:hAnsi="黑体" w:eastAsia="黑体" w:cs="黑体"/>
          <w:color w:val="auto"/>
          <w:sz w:val="32"/>
          <w:szCs w:val="32"/>
          <w:shd w:val="clear" w:color="auto" w:fill="auto"/>
        </w:rPr>
        <w:t>作目标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color w:val="auto"/>
          <w:sz w:val="32"/>
          <w:szCs w:val="32"/>
          <w:shd w:val="clear" w:color="auto" w:fill="auto"/>
        </w:rPr>
      </w:pPr>
      <w:r>
        <w:rPr>
          <w:rFonts w:hint="eastAsia" w:ascii="Times New Roman" w:hAnsi="Times New Roman" w:eastAsia="仿宋_GB2312" w:cs="仿宋_GB2312"/>
          <w:color w:val="auto"/>
          <w:sz w:val="32"/>
          <w:szCs w:val="32"/>
          <w:shd w:val="clear" w:color="auto" w:fill="auto"/>
        </w:rPr>
        <w:t>依托我</w:t>
      </w:r>
      <w:r>
        <w:rPr>
          <w:rFonts w:hint="eastAsia" w:ascii="Times New Roman" w:hAnsi="Times New Roman" w:eastAsia="仿宋_GB2312" w:cs="仿宋_GB2312"/>
          <w:color w:val="auto"/>
          <w:sz w:val="32"/>
          <w:szCs w:val="32"/>
          <w:shd w:val="clear" w:color="auto" w:fill="auto"/>
          <w:lang w:eastAsia="zh-CN"/>
        </w:rPr>
        <w:t>县</w:t>
      </w:r>
      <w:r>
        <w:rPr>
          <w:rFonts w:hint="eastAsia" w:ascii="Times New Roman" w:hAnsi="Times New Roman" w:eastAsia="仿宋_GB2312" w:cs="仿宋_GB2312"/>
          <w:color w:val="auto"/>
          <w:sz w:val="32"/>
          <w:szCs w:val="32"/>
          <w:shd w:val="clear" w:color="auto" w:fill="auto"/>
        </w:rPr>
        <w:t>产业优势，建设服务业强</w:t>
      </w:r>
      <w:r>
        <w:rPr>
          <w:rFonts w:hint="eastAsia" w:ascii="Times New Roman" w:hAnsi="Times New Roman" w:eastAsia="仿宋_GB2312" w:cs="仿宋_GB2312"/>
          <w:color w:val="auto"/>
          <w:sz w:val="32"/>
          <w:szCs w:val="32"/>
          <w:shd w:val="clear" w:color="auto" w:fill="auto"/>
          <w:lang w:eastAsia="zh-CN"/>
        </w:rPr>
        <w:t>县</w:t>
      </w:r>
      <w:r>
        <w:rPr>
          <w:rFonts w:hint="eastAsia" w:ascii="Times New Roman" w:hAnsi="Times New Roman" w:eastAsia="仿宋_GB2312" w:cs="仿宋_GB2312"/>
          <w:color w:val="auto"/>
          <w:sz w:val="32"/>
          <w:szCs w:val="32"/>
          <w:shd w:val="clear" w:color="auto" w:fill="auto"/>
        </w:rPr>
        <w:t>，坚持先进制造业和现代服务业深度融合，重点发展生产性服务业，大力培育新兴服务业，全面提升传统服务业，加快形成以服务业为主导的现代化产业体系。202</w:t>
      </w:r>
      <w:r>
        <w:rPr>
          <w:rFonts w:hint="eastAsia" w:ascii="Times New Roman" w:hAnsi="Times New Roman" w:eastAsia="仿宋_GB2312" w:cs="仿宋_GB2312"/>
          <w:color w:val="auto"/>
          <w:sz w:val="32"/>
          <w:szCs w:val="32"/>
          <w:shd w:val="clear" w:color="auto" w:fill="auto"/>
          <w:lang w:val="en-US" w:eastAsia="zh-CN"/>
        </w:rPr>
        <w:t>4</w:t>
      </w:r>
      <w:r>
        <w:rPr>
          <w:rFonts w:hint="eastAsia" w:ascii="Times New Roman" w:hAnsi="Times New Roman" w:eastAsia="仿宋_GB2312" w:cs="仿宋_GB2312"/>
          <w:color w:val="auto"/>
          <w:sz w:val="32"/>
          <w:szCs w:val="32"/>
          <w:shd w:val="clear" w:color="auto" w:fill="auto"/>
        </w:rPr>
        <w:t>年，力争全</w:t>
      </w:r>
      <w:r>
        <w:rPr>
          <w:rFonts w:hint="eastAsia" w:ascii="Times New Roman" w:hAnsi="Times New Roman" w:eastAsia="仿宋_GB2312" w:cs="仿宋_GB2312"/>
          <w:color w:val="auto"/>
          <w:sz w:val="32"/>
          <w:szCs w:val="32"/>
          <w:shd w:val="clear" w:color="auto" w:fill="auto"/>
          <w:lang w:eastAsia="zh-CN"/>
        </w:rPr>
        <w:t>县</w:t>
      </w:r>
      <w:r>
        <w:rPr>
          <w:rFonts w:hint="eastAsia" w:ascii="Times New Roman" w:hAnsi="Times New Roman" w:eastAsia="仿宋_GB2312" w:cs="仿宋_GB2312"/>
          <w:color w:val="auto"/>
          <w:sz w:val="32"/>
          <w:szCs w:val="32"/>
          <w:shd w:val="clear" w:color="auto" w:fill="auto"/>
        </w:rPr>
        <w:t>服务业增加值增长</w:t>
      </w:r>
      <w:r>
        <w:rPr>
          <w:rFonts w:hint="eastAsia" w:ascii="Times New Roman" w:hAnsi="Times New Roman" w:eastAsia="仿宋_GB2312" w:cs="仿宋_GB2312"/>
          <w:color w:val="auto"/>
          <w:sz w:val="32"/>
          <w:szCs w:val="32"/>
          <w:shd w:val="clear" w:color="auto" w:fill="auto"/>
          <w:lang w:val="en-US" w:eastAsia="zh-CN"/>
        </w:rPr>
        <w:t>7</w:t>
      </w:r>
      <w:r>
        <w:rPr>
          <w:rFonts w:hint="eastAsia" w:ascii="Times New Roman" w:hAnsi="Times New Roman" w:eastAsia="仿宋_GB2312" w:cs="仿宋_GB2312"/>
          <w:color w:val="auto"/>
          <w:sz w:val="32"/>
          <w:szCs w:val="32"/>
          <w:shd w:val="clear" w:color="auto" w:fill="auto"/>
        </w:rPr>
        <w:t>%</w:t>
      </w:r>
      <w:r>
        <w:rPr>
          <w:rFonts w:hint="eastAsia" w:ascii="Times New Roman" w:hAnsi="Times New Roman" w:eastAsia="仿宋_GB2312" w:cs="仿宋_GB2312"/>
          <w:color w:val="auto"/>
          <w:sz w:val="32"/>
          <w:szCs w:val="32"/>
          <w:shd w:val="clear" w:color="auto" w:fill="auto"/>
          <w:lang w:eastAsia="zh-CN"/>
        </w:rPr>
        <w:t>以上</w:t>
      </w:r>
      <w:r>
        <w:rPr>
          <w:rFonts w:hint="eastAsia" w:ascii="Times New Roman" w:hAnsi="Times New Roman" w:eastAsia="仿宋_GB2312" w:cs="仿宋_GB2312"/>
          <w:color w:val="auto"/>
          <w:sz w:val="32"/>
          <w:szCs w:val="32"/>
          <w:shd w:val="clear" w:color="auto" w:fill="auto"/>
        </w:rPr>
        <w:t>，</w:t>
      </w:r>
      <w:r>
        <w:rPr>
          <w:rFonts w:hint="eastAsia" w:ascii="Times New Roman" w:hAnsi="Times New Roman" w:eastAsia="仿宋_GB2312" w:cs="仿宋_GB2312"/>
          <w:color w:val="auto"/>
          <w:sz w:val="32"/>
          <w:szCs w:val="32"/>
          <w:shd w:val="clear" w:color="auto" w:fill="auto"/>
          <w:lang w:eastAsia="zh-CN"/>
        </w:rPr>
        <w:t>生产性服务业占服务业比重达</w:t>
      </w:r>
      <w:r>
        <w:rPr>
          <w:rFonts w:hint="eastAsia" w:ascii="Times New Roman" w:hAnsi="Times New Roman" w:eastAsia="仿宋_GB2312" w:cs="仿宋_GB2312"/>
          <w:color w:val="auto"/>
          <w:sz w:val="32"/>
          <w:szCs w:val="32"/>
          <w:shd w:val="clear" w:color="auto" w:fill="auto"/>
          <w:lang w:val="en-US" w:eastAsia="zh-CN"/>
        </w:rPr>
        <w:t>35</w:t>
      </w:r>
      <w:r>
        <w:rPr>
          <w:rFonts w:hint="eastAsia" w:ascii="Times New Roman" w:hAnsi="Times New Roman" w:eastAsia="仿宋_GB2312" w:cs="仿宋_GB2312"/>
          <w:color w:val="auto"/>
          <w:sz w:val="32"/>
          <w:szCs w:val="32"/>
          <w:shd w:val="clear" w:color="auto" w:fill="auto"/>
        </w:rPr>
        <w:t>%</w:t>
      </w:r>
      <w:r>
        <w:rPr>
          <w:rFonts w:hint="eastAsia" w:ascii="Times New Roman" w:hAnsi="Times New Roman" w:eastAsia="仿宋_GB2312" w:cs="仿宋_GB2312"/>
          <w:color w:val="auto"/>
          <w:sz w:val="32"/>
          <w:szCs w:val="32"/>
          <w:shd w:val="clear" w:color="auto" w:fill="auto"/>
          <w:lang w:eastAsia="zh-CN"/>
        </w:rPr>
        <w:t>以上</w:t>
      </w:r>
      <w:r>
        <w:rPr>
          <w:rFonts w:hint="eastAsia" w:ascii="Times New Roman" w:hAnsi="Times New Roman" w:eastAsia="仿宋_GB2312" w:cs="仿宋_GB2312"/>
          <w:color w:val="auto"/>
          <w:sz w:val="32"/>
          <w:szCs w:val="32"/>
          <w:shd w:val="clear" w:color="auto" w:fill="auto"/>
        </w:rPr>
        <w:t>；新增</w:t>
      </w:r>
      <w:r>
        <w:rPr>
          <w:rFonts w:hint="eastAsia" w:ascii="Times New Roman" w:hAnsi="Times New Roman" w:eastAsia="仿宋_GB2312" w:cs="仿宋_GB2312"/>
          <w:color w:val="auto"/>
          <w:sz w:val="32"/>
          <w:szCs w:val="32"/>
          <w:shd w:val="clear" w:color="auto" w:fill="auto"/>
          <w:lang w:eastAsia="zh-CN"/>
        </w:rPr>
        <w:t>规模以上</w:t>
      </w:r>
      <w:r>
        <w:rPr>
          <w:rFonts w:hint="eastAsia" w:ascii="Times New Roman" w:hAnsi="Times New Roman" w:eastAsia="仿宋_GB2312" w:cs="仿宋_GB2312"/>
          <w:color w:val="auto"/>
          <w:sz w:val="32"/>
          <w:szCs w:val="32"/>
          <w:shd w:val="clear" w:color="auto" w:fill="auto"/>
        </w:rPr>
        <w:t>服务业企业</w:t>
      </w:r>
      <w:r>
        <w:rPr>
          <w:rFonts w:hint="eastAsia" w:ascii="Times New Roman" w:hAnsi="Times New Roman" w:eastAsia="仿宋_GB2312" w:cs="仿宋_GB2312"/>
          <w:color w:val="auto"/>
          <w:sz w:val="32"/>
          <w:szCs w:val="32"/>
          <w:shd w:val="clear" w:color="auto" w:fill="auto"/>
          <w:lang w:val="en-US" w:eastAsia="zh-CN"/>
        </w:rPr>
        <w:t>17</w:t>
      </w:r>
      <w:r>
        <w:rPr>
          <w:rFonts w:hint="eastAsia" w:ascii="Times New Roman" w:hAnsi="Times New Roman" w:eastAsia="仿宋_GB2312" w:cs="仿宋_GB2312"/>
          <w:color w:val="auto"/>
          <w:sz w:val="32"/>
          <w:szCs w:val="32"/>
          <w:shd w:val="clear" w:color="auto" w:fill="auto"/>
        </w:rPr>
        <w:t>家；规模以上服务业营业收入实现新突破。</w:t>
      </w:r>
    </w:p>
    <w:p>
      <w:pPr>
        <w:pStyle w:val="21"/>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color w:val="auto"/>
          <w:sz w:val="32"/>
          <w:szCs w:val="32"/>
          <w:shd w:val="clear" w:color="auto" w:fill="auto"/>
          <w:lang w:eastAsia="zh-CN"/>
        </w:rPr>
      </w:pPr>
      <w:r>
        <w:rPr>
          <w:rFonts w:hint="eastAsia" w:ascii="黑体" w:hAnsi="黑体" w:eastAsia="黑体" w:cs="黑体"/>
          <w:color w:val="auto"/>
          <w:sz w:val="32"/>
          <w:szCs w:val="32"/>
          <w:shd w:val="clear" w:color="auto" w:fill="auto"/>
          <w:lang w:eastAsia="zh-CN"/>
        </w:rPr>
        <w:t>二、重点任务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shd w:val="clear" w:color="auto" w:fill="auto"/>
          <w:lang w:eastAsia="zh-CN"/>
        </w:rPr>
      </w:pPr>
      <w:r>
        <w:rPr>
          <w:rFonts w:hint="eastAsia" w:ascii="楷体_GB2312" w:hAnsi="楷体_GB2312" w:eastAsia="楷体_GB2312" w:cs="楷体_GB2312"/>
          <w:b w:val="0"/>
          <w:bCs w:val="0"/>
          <w:color w:val="auto"/>
          <w:sz w:val="32"/>
          <w:lang w:val="en-US" w:eastAsia="zh-CN"/>
        </w:rPr>
        <w:t>（一）</w:t>
      </w:r>
      <w:r>
        <w:rPr>
          <w:rFonts w:hint="eastAsia" w:ascii="楷体_GB2312" w:hAnsi="楷体_GB2312" w:eastAsia="楷体_GB2312" w:cs="楷体_GB2312"/>
          <w:b w:val="0"/>
          <w:bCs w:val="0"/>
          <w:color w:val="auto"/>
          <w:kern w:val="2"/>
          <w:sz w:val="32"/>
          <w:szCs w:val="32"/>
          <w:shd w:val="clear" w:color="auto" w:fill="auto"/>
          <w:lang w:val="en-US" w:eastAsia="zh-CN" w:bidi="ar-SA"/>
        </w:rPr>
        <w:t>刺激消费提升行动。</w:t>
      </w:r>
      <w:r>
        <w:rPr>
          <w:rFonts w:hint="eastAsia" w:ascii="Times New Roman" w:hAnsi="Times New Roman" w:eastAsia="仿宋_GB2312"/>
          <w:color w:val="auto"/>
          <w:sz w:val="32"/>
          <w:szCs w:val="32"/>
          <w:shd w:val="clear" w:color="auto" w:fill="auto"/>
          <w:lang w:eastAsia="zh-CN"/>
        </w:rPr>
        <w:t>把恢复和扩大消费摆在优先位置，实现社会消费品零售总额增长</w:t>
      </w:r>
      <w:r>
        <w:rPr>
          <w:rFonts w:hint="eastAsia" w:ascii="Times New Roman" w:hAnsi="Times New Roman" w:eastAsia="仿宋_GB2312"/>
          <w:color w:val="auto"/>
          <w:sz w:val="32"/>
          <w:szCs w:val="32"/>
          <w:shd w:val="clear" w:color="auto" w:fill="auto"/>
          <w:lang w:val="en-US" w:eastAsia="zh-CN"/>
        </w:rPr>
        <w:t>8.5%以上</w:t>
      </w:r>
      <w:r>
        <w:rPr>
          <w:rFonts w:hint="eastAsia" w:ascii="Times New Roman" w:hAnsi="Times New Roman" w:eastAsia="仿宋_GB2312"/>
          <w:color w:val="auto"/>
          <w:sz w:val="32"/>
          <w:szCs w:val="32"/>
          <w:shd w:val="clear" w:color="auto" w:fill="auto"/>
          <w:lang w:eastAsia="zh-CN"/>
        </w:rPr>
        <w:t>。扎实开展</w:t>
      </w:r>
      <w:r>
        <w:rPr>
          <w:rFonts w:hint="eastAsia" w:ascii="Times New Roman" w:hAnsi="Times New Roman" w:eastAsia="仿宋_GB2312" w:cs="仿宋_GB2312"/>
          <w:b w:val="0"/>
          <w:bCs w:val="0"/>
          <w:color w:val="auto"/>
          <w:sz w:val="32"/>
          <w:szCs w:val="32"/>
          <w:lang w:val="en-US" w:eastAsia="zh-CN"/>
        </w:rPr>
        <w:t>我县茶产业、中药材产业、摩托车行业、建材行业、</w:t>
      </w:r>
      <w:r>
        <w:rPr>
          <w:rFonts w:hint="eastAsia" w:ascii="Times New Roman" w:hAnsi="Times New Roman" w:eastAsia="仿宋_GB2312"/>
          <w:color w:val="auto"/>
          <w:sz w:val="32"/>
          <w:szCs w:val="32"/>
          <w:shd w:val="clear" w:color="auto" w:fill="auto"/>
          <w:lang w:eastAsia="zh-CN"/>
        </w:rPr>
        <w:t>餐饮、</w:t>
      </w:r>
      <w:r>
        <w:rPr>
          <w:rFonts w:hint="eastAsia" w:ascii="Times New Roman" w:hAnsi="Times New Roman" w:eastAsia="仿宋_GB2312" w:cs="仿宋_GB2312"/>
          <w:b w:val="0"/>
          <w:bCs w:val="0"/>
          <w:color w:val="auto"/>
          <w:sz w:val="32"/>
          <w:szCs w:val="32"/>
          <w:lang w:val="en-US" w:eastAsia="zh-CN"/>
        </w:rPr>
        <w:t>商场等商贸企业开展促消费系列活动，以茶旅文体康的融合发展带动流量、促进消费。</w:t>
      </w:r>
      <w:r>
        <w:rPr>
          <w:rFonts w:hint="eastAsia" w:ascii="Times New Roman" w:hAnsi="Times New Roman" w:eastAsia="仿宋_GB2312"/>
          <w:color w:val="auto"/>
          <w:sz w:val="32"/>
          <w:szCs w:val="32"/>
          <w:shd w:val="clear" w:color="auto" w:fill="auto"/>
          <w:lang w:eastAsia="zh-CN"/>
        </w:rPr>
        <w:t>积极繁荣二手车市场，扩大新能源汽车和二手车消费。</w:t>
      </w:r>
      <w:bookmarkStart w:id="1" w:name="_Hlk126611674"/>
      <w:r>
        <w:rPr>
          <w:rFonts w:hint="eastAsia" w:ascii="Times New Roman" w:hAnsi="Times New Roman" w:eastAsia="仿宋_GB2312"/>
          <w:color w:val="auto"/>
          <w:sz w:val="32"/>
          <w:szCs w:val="32"/>
          <w:shd w:val="clear" w:color="auto" w:fill="auto"/>
          <w:lang w:eastAsia="zh-CN"/>
        </w:rPr>
        <w:t>探索城市更新等房地产发展新模式，支持刚性和改善性住房需求。</w:t>
      </w:r>
      <w:bookmarkEnd w:id="1"/>
      <w:r>
        <w:rPr>
          <w:rFonts w:hint="eastAsia" w:ascii="Times New Roman" w:hAnsi="Times New Roman" w:eastAsia="仿宋_GB2312"/>
          <w:color w:val="auto"/>
          <w:sz w:val="32"/>
          <w:szCs w:val="32"/>
          <w:shd w:val="clear" w:color="auto" w:fill="auto"/>
          <w:lang w:eastAsia="zh-CN"/>
        </w:rPr>
        <w:t>积极推进大规模设备更新和消费品以旧换新行动。增加绿色智能家电消费，促进家庭装修消费，推动数字家庭发展。</w:t>
      </w:r>
      <w:r>
        <w:rPr>
          <w:rFonts w:hint="eastAsia" w:ascii="楷体_GB2312" w:hAnsi="楷体_GB2312" w:eastAsia="楷体_GB2312" w:cs="楷体_GB2312"/>
          <w:color w:val="auto"/>
          <w:sz w:val="32"/>
          <w:szCs w:val="32"/>
          <w:shd w:val="clear" w:color="auto" w:fill="auto"/>
          <w:lang w:eastAsia="zh-CN"/>
        </w:rPr>
        <w:t>（责任单位：县商务局、县住建局）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shd w:val="clear" w:color="auto" w:fill="auto"/>
        </w:rPr>
      </w:pPr>
      <w:r>
        <w:rPr>
          <w:rFonts w:hint="eastAsia" w:ascii="楷体_GB2312" w:hAnsi="楷体_GB2312" w:eastAsia="楷体_GB2312" w:cs="楷体_GB2312"/>
          <w:b w:val="0"/>
          <w:bCs w:val="0"/>
          <w:color w:val="auto"/>
          <w:sz w:val="32"/>
          <w:lang w:val="en" w:eastAsia="zh-CN"/>
        </w:rPr>
        <w:t>（二）现代物流提升行动。</w:t>
      </w:r>
      <w:r>
        <w:rPr>
          <w:rFonts w:hint="eastAsia" w:ascii="Times New Roman" w:hAnsi="Times New Roman" w:eastAsia="仿宋_GB2312"/>
          <w:color w:val="auto"/>
          <w:sz w:val="32"/>
          <w:szCs w:val="32"/>
          <w:shd w:val="clear" w:color="auto" w:fill="auto"/>
          <w:lang w:val="en" w:eastAsia="zh-CN"/>
        </w:rPr>
        <w:t>努力构建“通道＋枢纽＋网络＋平台”的现代物流运行体系。</w:t>
      </w:r>
      <w:r>
        <w:rPr>
          <w:rFonts w:ascii="Times New Roman" w:hAnsi="Times New Roman" w:eastAsia="仿宋_GB2312"/>
          <w:color w:val="auto"/>
          <w:sz w:val="32"/>
          <w:szCs w:val="32"/>
          <w:shd w:val="clear" w:color="auto" w:fill="auto"/>
        </w:rPr>
        <w:t>实施物流发展“强基补链”工程，加快发展第三方物流、专业化物流和网络货运平台。积极探索农村客货邮融合发展新模式，争创绿色货运配送示范工程试点，加快建设以数字化为载体的县乡村三级物流配送体系，推动冷链物流服务网络向农村延伸，打造农村物流体系升级版。</w:t>
      </w:r>
      <w:r>
        <w:rPr>
          <w:rFonts w:hint="eastAsia" w:ascii="Times New Roman" w:hAnsi="Times New Roman" w:eastAsia="仿宋_GB2312" w:cs="仿宋_GB2312"/>
          <w:b w:val="0"/>
          <w:bCs w:val="0"/>
          <w:color w:val="auto"/>
          <w:kern w:val="2"/>
          <w:sz w:val="32"/>
          <w:szCs w:val="32"/>
          <w:highlight w:val="none"/>
          <w:lang w:val="en-US" w:eastAsia="zh-CN" w:bidi="ar-SA"/>
        </w:rPr>
        <w:t>持续开展城乡客运一体化示范创建工作。</w:t>
      </w:r>
      <w:r>
        <w:rPr>
          <w:rFonts w:hint="eastAsia" w:ascii="Times New Roman" w:hAnsi="Times New Roman" w:eastAsia="仿宋_GB2312" w:cs="仿宋_GB2312"/>
          <w:b w:val="0"/>
          <w:bCs w:val="0"/>
          <w:color w:val="auto"/>
          <w:sz w:val="32"/>
          <w:szCs w:val="32"/>
          <w:lang w:val="en-US" w:eastAsia="zh-CN"/>
        </w:rPr>
        <w:t>加快发展跨境电商等创新业态，鼓励企业积极参与跨境电商行动。</w:t>
      </w:r>
      <w:r>
        <w:rPr>
          <w:rFonts w:hint="eastAsia" w:ascii="楷体_GB2312" w:hAnsi="楷体_GB2312" w:eastAsia="楷体_GB2312" w:cs="楷体_GB2312"/>
          <w:color w:val="auto"/>
          <w:sz w:val="32"/>
          <w:szCs w:val="32"/>
          <w:shd w:val="clear" w:color="auto" w:fill="auto"/>
        </w:rPr>
        <w:t>（责任单位：</w:t>
      </w:r>
      <w:r>
        <w:rPr>
          <w:rFonts w:hint="eastAsia" w:ascii="楷体_GB2312" w:hAnsi="楷体_GB2312" w:eastAsia="楷体_GB2312" w:cs="楷体_GB2312"/>
          <w:color w:val="auto"/>
          <w:sz w:val="32"/>
          <w:szCs w:val="32"/>
          <w:shd w:val="clear" w:color="auto" w:fill="auto"/>
          <w:lang w:eastAsia="zh-CN"/>
        </w:rPr>
        <w:t>县交通运输局、县商务局、县农业农村局、县供销联社</w:t>
      </w:r>
      <w:r>
        <w:rPr>
          <w:rFonts w:hint="eastAsia" w:ascii="楷体_GB2312" w:hAnsi="楷体_GB2312" w:eastAsia="楷体_GB2312" w:cs="楷体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shd w:val="clear" w:color="auto" w:fill="auto"/>
        </w:rPr>
      </w:pPr>
      <w:r>
        <w:rPr>
          <w:rFonts w:hint="eastAsia" w:ascii="楷体_GB2312" w:hAnsi="楷体_GB2312" w:eastAsia="楷体_GB2312" w:cs="楷体_GB2312"/>
          <w:b w:val="0"/>
          <w:bCs w:val="0"/>
          <w:color w:val="auto"/>
          <w:sz w:val="32"/>
          <w:lang w:val="en-US" w:eastAsia="zh-CN"/>
        </w:rPr>
        <w:t>（三）现代金融提升行动。</w:t>
      </w:r>
      <w:r>
        <w:rPr>
          <w:rFonts w:hint="eastAsia" w:ascii="Times New Roman" w:hAnsi="Times New Roman" w:eastAsia="仿宋_GB2312"/>
          <w:color w:val="auto"/>
          <w:sz w:val="32"/>
          <w:szCs w:val="32"/>
          <w:shd w:val="clear" w:color="auto" w:fill="auto"/>
          <w:lang w:val="en-US" w:eastAsia="zh-CN"/>
        </w:rPr>
        <w:t>围绕科技金融、普惠金融、供应链金融、农村金融、绿色金融发展，鼓励引导金融机构加强创新，加大信贷投放，力争普惠小微贷款增速、绿色贷款增速、涉农贷款增速不低于各项贷款平均增速。</w:t>
      </w:r>
      <w:r>
        <w:rPr>
          <w:rFonts w:hint="eastAsia" w:ascii="Times New Roman" w:hAnsi="Times New Roman" w:eastAsia="仿宋_GB2312" w:cs="仿宋_GB2312"/>
          <w:color w:val="auto"/>
          <w:sz w:val="32"/>
          <w:szCs w:val="32"/>
          <w:lang w:val="en-US" w:eastAsia="zh-CN"/>
        </w:rPr>
        <w:t>持续开展“湘信贷”融资惠企，实现融资信用服务平台授信额度逐年增长。</w:t>
      </w:r>
      <w:r>
        <w:rPr>
          <w:rFonts w:hint="eastAsia" w:ascii="Times New Roman" w:hAnsi="Times New Roman" w:eastAsia="仿宋_GB2312"/>
          <w:color w:val="auto"/>
          <w:sz w:val="32"/>
          <w:szCs w:val="32"/>
          <w:shd w:val="clear" w:color="auto" w:fill="auto"/>
          <w:lang w:val="en-US" w:eastAsia="zh-CN"/>
        </w:rPr>
        <w:t>鼓励支持各保险公司创新保险产品和服务，稳步提升保费收入规模。大力实施企业“金芙蓉”跃升行动，力争上市及过会企业1家以上，</w:t>
      </w:r>
      <w:r>
        <w:rPr>
          <w:rFonts w:ascii="Times New Roman" w:hAnsi="Times New Roman" w:eastAsia="仿宋_GB2312"/>
          <w:color w:val="auto"/>
          <w:spacing w:val="-6"/>
          <w:sz w:val="32"/>
          <w:szCs w:val="21"/>
        </w:rPr>
        <w:t>培育一批重点拟上市后备企业。</w:t>
      </w:r>
      <w:r>
        <w:rPr>
          <w:rFonts w:hint="eastAsia" w:ascii="Times New Roman" w:hAnsi="Times New Roman" w:eastAsia="仿宋_GB2312"/>
          <w:color w:val="auto"/>
          <w:sz w:val="32"/>
          <w:szCs w:val="32"/>
          <w:shd w:val="clear" w:color="auto" w:fill="auto"/>
          <w:lang w:val="en-US" w:eastAsia="zh-CN"/>
        </w:rPr>
        <w:t>加强地方金融组织建设，鼓励支持优质企业设立小额贷款公司、典当公司，支持地方类金融组织总部在安化设立分公司或营业部。</w:t>
      </w:r>
      <w:r>
        <w:rPr>
          <w:rFonts w:hint="eastAsia" w:ascii="楷体_GB2312" w:hAnsi="楷体_GB2312" w:eastAsia="楷体_GB2312" w:cs="楷体_GB2312"/>
          <w:color w:val="auto"/>
          <w:sz w:val="32"/>
          <w:szCs w:val="32"/>
          <w:shd w:val="clear" w:color="auto" w:fill="auto"/>
        </w:rPr>
        <w:t>（责任单位：</w:t>
      </w:r>
      <w:r>
        <w:rPr>
          <w:rFonts w:hint="eastAsia" w:ascii="楷体_GB2312" w:hAnsi="楷体_GB2312" w:eastAsia="楷体_GB2312" w:cs="楷体_GB2312"/>
          <w:color w:val="auto"/>
          <w:sz w:val="32"/>
          <w:szCs w:val="32"/>
          <w:shd w:val="clear" w:color="auto" w:fill="auto"/>
          <w:lang w:eastAsia="zh-CN"/>
        </w:rPr>
        <w:t>县发改局、县财政局、县科工局</w:t>
      </w:r>
      <w:r>
        <w:rPr>
          <w:rFonts w:hint="eastAsia" w:ascii="楷体_GB2312" w:hAnsi="楷体_GB2312" w:eastAsia="楷体_GB2312" w:cs="楷体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olor w:val="auto"/>
          <w:sz w:val="32"/>
          <w:szCs w:val="32"/>
          <w:shd w:val="clear" w:color="auto" w:fill="auto"/>
          <w:lang w:val="en-US" w:eastAsia="zh-CN"/>
        </w:rPr>
      </w:pPr>
      <w:r>
        <w:rPr>
          <w:rFonts w:hint="eastAsia" w:ascii="楷体_GB2312" w:hAnsi="楷体_GB2312" w:eastAsia="楷体_GB2312" w:cs="楷体_GB2312"/>
          <w:b w:val="0"/>
          <w:bCs w:val="0"/>
          <w:color w:val="auto"/>
          <w:sz w:val="32"/>
          <w:lang w:val="en-US" w:eastAsia="zh-CN"/>
        </w:rPr>
        <w:t>（四）文化旅游提升行动。</w:t>
      </w:r>
      <w:r>
        <w:rPr>
          <w:rFonts w:hint="eastAsia" w:ascii="Times New Roman" w:hAnsi="Times New Roman" w:eastAsia="仿宋_GB2312"/>
          <w:color w:val="auto"/>
          <w:sz w:val="32"/>
          <w:szCs w:val="32"/>
          <w:shd w:val="clear" w:color="auto" w:fill="auto"/>
          <w:lang w:val="en-US" w:eastAsia="zh-CN"/>
        </w:rPr>
        <w:t>深入推进文化和旅游深度融合发展。</w:t>
      </w:r>
      <w:r>
        <w:rPr>
          <w:rFonts w:hint="eastAsia" w:ascii="Times New Roman" w:hAnsi="Times New Roman" w:eastAsia="仿宋_GB2312" w:cs="仿宋_GB2312"/>
          <w:color w:val="auto"/>
          <w:sz w:val="32"/>
          <w:szCs w:val="32"/>
          <w:lang w:val="en-US" w:eastAsia="zh-CN"/>
        </w:rPr>
        <w:t>支持百花寨景区申报国家4A级旅游景区，探索组建安化旅游发展集团，结合旅游头部运营企业，整合全县旅游资源，朝全域旅游方向发展，不断完善“游购娱、吃住行”等全产业链配套，打造精品线路。</w:t>
      </w:r>
      <w:r>
        <w:rPr>
          <w:rFonts w:ascii="Times New Roman" w:hAnsi="Times New Roman" w:eastAsia="仿宋_GB2312"/>
          <w:color w:val="auto"/>
          <w:sz w:val="32"/>
          <w:szCs w:val="32"/>
          <w:shd w:val="clear" w:color="auto" w:fill="auto"/>
        </w:rPr>
        <w:t>广泛开展全民健身运动，大力发展节日和夜间赛事经济，激发体育市场活力和消费热情。</w:t>
      </w:r>
      <w:r>
        <w:rPr>
          <w:rFonts w:hint="eastAsia" w:ascii="Times New Roman" w:hAnsi="Times New Roman" w:eastAsia="仿宋_GB2312"/>
          <w:color w:val="auto"/>
          <w:sz w:val="32"/>
          <w:szCs w:val="32"/>
          <w:shd w:val="clear" w:color="auto" w:fill="auto"/>
          <w:lang w:eastAsia="zh-CN"/>
        </w:rPr>
        <w:t>规范有序发展教育培训业，高质量发展职业教育，加快发展老年教育等</w:t>
      </w:r>
      <w:r>
        <w:rPr>
          <w:rFonts w:hint="eastAsia" w:ascii="Times New Roman" w:hAnsi="Times New Roman" w:eastAsia="仿宋_GB2312"/>
          <w:color w:val="auto"/>
          <w:sz w:val="32"/>
          <w:szCs w:val="32"/>
          <w:highlight w:val="none"/>
          <w:shd w:val="clear" w:color="auto" w:fill="auto"/>
          <w:lang w:eastAsia="zh-CN"/>
        </w:rPr>
        <w:t>，</w:t>
      </w:r>
      <w:r>
        <w:rPr>
          <w:rFonts w:ascii="Times New Roman" w:hAnsi="Times New Roman" w:eastAsia="仿宋_GB2312"/>
          <w:color w:val="auto"/>
          <w:sz w:val="32"/>
          <w:szCs w:val="32"/>
          <w:highlight w:val="none"/>
          <w:shd w:val="clear" w:color="auto" w:fill="auto"/>
        </w:rPr>
        <w:t>推进教育服务外包和数字教育资源开发，扩大优质资源供给。</w:t>
      </w:r>
      <w:r>
        <w:rPr>
          <w:rFonts w:ascii="Times New Roman" w:hAnsi="Times New Roman" w:eastAsia="仿宋_GB2312"/>
          <w:color w:val="auto"/>
          <w:sz w:val="32"/>
          <w:szCs w:val="32"/>
          <w:shd w:val="clear" w:color="auto" w:fill="auto"/>
        </w:rPr>
        <w:t>加快图书馆、文化馆数字服务平台建设。</w:t>
      </w:r>
      <w:r>
        <w:rPr>
          <w:rFonts w:hint="eastAsia" w:ascii="Times New Roman" w:hAnsi="Times New Roman" w:eastAsia="仿宋_GB2312" w:cs="仿宋_GB2312"/>
          <w:b w:val="0"/>
          <w:bCs w:val="0"/>
          <w:color w:val="auto"/>
          <w:sz w:val="32"/>
          <w:szCs w:val="32"/>
          <w:lang w:val="en-US" w:eastAsia="zh-CN"/>
        </w:rPr>
        <w:t>积极参加省市组织的“乐享消费 惠购三湘”“家居焕新季”“味道湖南”“锦绣潇湘任你游”“惠购湘车”“湖湘有礼”等主题活动。组织办好2024黑茶交易会暨第六届湖南·（益阳）安化黑茶文化节、第二届“源头好物 云购安化”直播月等活动。</w:t>
      </w:r>
      <w:r>
        <w:rPr>
          <w:rFonts w:hint="eastAsia" w:ascii="Times New Roman" w:hAnsi="Times New Roman" w:eastAsia="仿宋_GB2312"/>
          <w:color w:val="auto"/>
          <w:sz w:val="32"/>
          <w:szCs w:val="32"/>
          <w:shd w:val="clear" w:color="auto" w:fill="auto"/>
          <w:lang w:val="en-US" w:eastAsia="zh-CN"/>
        </w:rPr>
        <w:t>推进“夜市经济”发展，积极打造省级夜间消费集聚示范区。</w:t>
      </w:r>
      <w:r>
        <w:rPr>
          <w:rFonts w:hint="eastAsia" w:ascii="楷体_GB2312" w:hAnsi="楷体_GB2312" w:eastAsia="楷体_GB2312" w:cs="楷体_GB2312"/>
          <w:color w:val="auto"/>
          <w:sz w:val="32"/>
          <w:szCs w:val="32"/>
          <w:shd w:val="clear" w:color="auto" w:fill="auto"/>
        </w:rPr>
        <w:t>（责任单位：</w:t>
      </w:r>
      <w:r>
        <w:rPr>
          <w:rFonts w:hint="eastAsia" w:ascii="楷体_GB2312" w:hAnsi="楷体_GB2312" w:eastAsia="楷体_GB2312" w:cs="楷体_GB2312"/>
          <w:color w:val="auto"/>
          <w:sz w:val="32"/>
          <w:szCs w:val="32"/>
          <w:shd w:val="clear" w:color="auto" w:fill="auto"/>
          <w:lang w:eastAsia="zh-CN"/>
        </w:rPr>
        <w:t>县</w:t>
      </w:r>
      <w:r>
        <w:rPr>
          <w:rFonts w:hint="eastAsia" w:ascii="楷体_GB2312" w:hAnsi="楷体_GB2312" w:eastAsia="楷体_GB2312" w:cs="楷体_GB2312"/>
          <w:color w:val="auto"/>
          <w:sz w:val="32"/>
          <w:szCs w:val="32"/>
          <w:shd w:val="clear" w:color="auto" w:fill="auto"/>
        </w:rPr>
        <w:t>文旅广体局</w:t>
      </w:r>
      <w:r>
        <w:rPr>
          <w:rFonts w:hint="eastAsia" w:ascii="楷体_GB2312" w:hAnsi="楷体_GB2312" w:eastAsia="楷体_GB2312" w:cs="楷体_GB2312"/>
          <w:color w:val="auto"/>
          <w:sz w:val="32"/>
          <w:szCs w:val="32"/>
          <w:shd w:val="clear" w:color="auto" w:fill="auto"/>
          <w:lang w:eastAsia="zh-CN"/>
        </w:rPr>
        <w:t>、县茶旅中心、县商务局、县教育局、县城管执法局</w:t>
      </w:r>
      <w:r>
        <w:rPr>
          <w:rFonts w:hint="eastAsia" w:ascii="楷体_GB2312" w:hAnsi="楷体_GB2312" w:eastAsia="楷体_GB2312" w:cs="楷体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shd w:val="clear" w:color="auto" w:fill="auto"/>
        </w:rPr>
      </w:pPr>
      <w:r>
        <w:rPr>
          <w:rFonts w:hint="eastAsia" w:ascii="楷体_GB2312" w:hAnsi="楷体_GB2312" w:eastAsia="楷体_GB2312" w:cs="楷体_GB2312"/>
          <w:b w:val="0"/>
          <w:bCs w:val="0"/>
          <w:color w:val="auto"/>
          <w:sz w:val="32"/>
          <w:lang w:val="en-US" w:eastAsia="zh-CN"/>
        </w:rPr>
        <w:t>（五）信息服务提升行动。</w:t>
      </w:r>
      <w:r>
        <w:rPr>
          <w:rFonts w:hint="eastAsia" w:ascii="Times New Roman" w:hAnsi="Times New Roman" w:eastAsia="仿宋_GB2312" w:cs="仿宋_GB2312"/>
          <w:b w:val="0"/>
          <w:bCs w:val="0"/>
          <w:color w:val="auto"/>
          <w:sz w:val="32"/>
          <w:szCs w:val="32"/>
          <w:highlight w:val="none"/>
          <w:u w:val="none"/>
          <w:lang w:val="en-US" w:eastAsia="zh-CN"/>
        </w:rPr>
        <w:t>积极推进</w:t>
      </w:r>
      <w:r>
        <w:rPr>
          <w:rFonts w:hint="default" w:ascii="Times New Roman" w:hAnsi="Times New Roman" w:eastAsia="仿宋_GB2312" w:cs="仿宋_GB2312"/>
          <w:b w:val="0"/>
          <w:bCs w:val="0"/>
          <w:color w:val="auto"/>
          <w:sz w:val="32"/>
          <w:szCs w:val="32"/>
          <w:highlight w:val="none"/>
          <w:u w:val="none"/>
          <w:lang w:eastAsia="zh-CN"/>
        </w:rPr>
        <w:t>通信基础设施建设，新建5G基站220个以上，大力扶植企业5G典型应用场景创建</w:t>
      </w:r>
      <w:r>
        <w:rPr>
          <w:rFonts w:hint="eastAsia" w:ascii="Times New Roman" w:hAnsi="Times New Roman" w:eastAsia="仿宋_GB2312" w:cs="仿宋_GB2312"/>
          <w:b w:val="0"/>
          <w:bCs w:val="0"/>
          <w:color w:val="auto"/>
          <w:sz w:val="32"/>
          <w:szCs w:val="32"/>
          <w:highlight w:val="none"/>
          <w:u w:val="none"/>
          <w:lang w:eastAsia="zh-CN"/>
        </w:rPr>
        <w:t>。</w:t>
      </w:r>
      <w:r>
        <w:rPr>
          <w:rFonts w:hint="default" w:ascii="Times New Roman" w:hAnsi="Times New Roman" w:eastAsia="仿宋_GB2312" w:cs="仿宋_GB2312"/>
          <w:b w:val="0"/>
          <w:bCs w:val="0"/>
          <w:color w:val="auto"/>
          <w:sz w:val="32"/>
          <w:szCs w:val="32"/>
          <w:highlight w:val="none"/>
          <w:u w:val="none"/>
          <w:lang w:eastAsia="zh-CN"/>
        </w:rPr>
        <w:t>着力推动新型数字化基础建设，提高企业上云上平台普及率，打造智能车间、智能工位，赋能企业提质增效、转型升级，</w:t>
      </w:r>
      <w:r>
        <w:rPr>
          <w:rFonts w:hint="eastAsia" w:ascii="Times New Roman" w:hAnsi="Times New Roman" w:eastAsia="仿宋_GB2312"/>
          <w:color w:val="auto"/>
          <w:sz w:val="32"/>
          <w:szCs w:val="32"/>
          <w:shd w:val="clear" w:color="auto" w:fill="auto"/>
        </w:rPr>
        <w:t>持续推动产业数字化和数字产业化。支持制造业服务化转型</w:t>
      </w:r>
      <w:r>
        <w:rPr>
          <w:rFonts w:hint="eastAsia" w:ascii="Times New Roman" w:hAnsi="Times New Roman" w:eastAsia="仿宋_GB2312"/>
          <w:color w:val="auto"/>
          <w:sz w:val="32"/>
          <w:szCs w:val="32"/>
          <w:shd w:val="clear" w:color="auto" w:fill="auto"/>
          <w:lang w:eastAsia="zh-CN"/>
        </w:rPr>
        <w:t>，</w:t>
      </w:r>
      <w:r>
        <w:rPr>
          <w:rFonts w:hint="eastAsia" w:ascii="Times New Roman" w:hAnsi="Times New Roman" w:eastAsia="仿宋_GB2312"/>
          <w:color w:val="auto"/>
          <w:sz w:val="32"/>
          <w:szCs w:val="32"/>
          <w:shd w:val="clear" w:color="auto" w:fill="auto"/>
        </w:rPr>
        <w:t>推动信息服务、生产性支持服务、研发设计与其他技术服务等生产性服务业向专业化和价值链高端延伸</w:t>
      </w:r>
      <w:r>
        <w:rPr>
          <w:rFonts w:hint="eastAsia" w:ascii="Times New Roman" w:hAnsi="Times New Roman" w:eastAsia="仿宋_GB2312" w:cs="仿宋_GB2312"/>
          <w:color w:val="auto"/>
          <w:sz w:val="32"/>
          <w:szCs w:val="32"/>
          <w:lang w:val="en-US" w:eastAsia="zh-CN"/>
        </w:rPr>
        <w:t>。</w:t>
      </w:r>
      <w:r>
        <w:rPr>
          <w:rFonts w:ascii="Times New Roman" w:hAnsi="Times New Roman" w:eastAsia="仿宋_GB2312"/>
          <w:color w:val="auto"/>
          <w:sz w:val="32"/>
          <w:szCs w:val="32"/>
          <w:shd w:val="clear" w:color="auto" w:fill="auto"/>
        </w:rPr>
        <w:t>大力发展体验式、参与式、沉浸式等消费新模式，推动“无人产业”发展，探索发展智慧超市、智慧商店、智慧餐厅等“新零售”，支持</w:t>
      </w:r>
      <w:r>
        <w:rPr>
          <w:rFonts w:hint="eastAsia" w:ascii="Times New Roman" w:hAnsi="Times New Roman" w:eastAsia="仿宋_GB2312"/>
          <w:color w:val="auto"/>
          <w:sz w:val="32"/>
          <w:szCs w:val="32"/>
          <w:shd w:val="clear" w:color="auto" w:fill="auto"/>
          <w:lang w:eastAsia="zh-CN"/>
        </w:rPr>
        <w:t>预制菜、</w:t>
      </w:r>
      <w:r>
        <w:rPr>
          <w:rFonts w:ascii="Times New Roman" w:hAnsi="Times New Roman" w:eastAsia="仿宋_GB2312"/>
          <w:color w:val="auto"/>
          <w:sz w:val="32"/>
          <w:szCs w:val="32"/>
          <w:shd w:val="clear" w:color="auto" w:fill="auto"/>
        </w:rPr>
        <w:t>生鲜、医药品及其他零售品融合电商发展。</w:t>
      </w:r>
      <w:r>
        <w:rPr>
          <w:rFonts w:hint="eastAsia" w:ascii="Times New Roman" w:hAnsi="Times New Roman" w:eastAsia="仿宋_GB2312" w:cs="仿宋_GB2312"/>
          <w:b w:val="0"/>
          <w:bCs w:val="0"/>
          <w:color w:val="auto"/>
          <w:sz w:val="32"/>
          <w:szCs w:val="32"/>
          <w:lang w:val="en-US" w:eastAsia="zh-CN"/>
        </w:rPr>
        <w:t>发挥抖音直播基地平台作用，加强直播电商人才培训，持续打造直播大县。</w:t>
      </w:r>
      <w:r>
        <w:rPr>
          <w:rFonts w:hint="eastAsia" w:ascii="楷体_GB2312" w:hAnsi="楷体_GB2312" w:eastAsia="楷体_GB2312" w:cs="楷体_GB2312"/>
          <w:color w:val="auto"/>
          <w:sz w:val="32"/>
          <w:szCs w:val="32"/>
          <w:shd w:val="clear" w:color="auto" w:fill="auto"/>
        </w:rPr>
        <w:t>（责任单位：</w:t>
      </w:r>
      <w:r>
        <w:rPr>
          <w:rFonts w:hint="eastAsia" w:ascii="楷体_GB2312" w:hAnsi="楷体_GB2312" w:eastAsia="楷体_GB2312" w:cs="楷体_GB2312"/>
          <w:color w:val="auto"/>
          <w:sz w:val="32"/>
          <w:szCs w:val="32"/>
          <w:shd w:val="clear" w:color="auto" w:fill="auto"/>
          <w:lang w:eastAsia="zh-CN"/>
        </w:rPr>
        <w:t>县科工</w:t>
      </w:r>
      <w:r>
        <w:rPr>
          <w:rFonts w:hint="eastAsia" w:ascii="楷体_GB2312" w:hAnsi="楷体_GB2312" w:eastAsia="楷体_GB2312" w:cs="楷体_GB2312"/>
          <w:color w:val="auto"/>
          <w:sz w:val="32"/>
          <w:szCs w:val="32"/>
          <w:shd w:val="clear" w:color="auto" w:fill="auto"/>
        </w:rPr>
        <w:t>局</w:t>
      </w:r>
      <w:r>
        <w:rPr>
          <w:rFonts w:hint="eastAsia" w:ascii="楷体_GB2312" w:hAnsi="楷体_GB2312" w:eastAsia="楷体_GB2312" w:cs="楷体_GB2312"/>
          <w:color w:val="auto"/>
          <w:sz w:val="32"/>
          <w:szCs w:val="32"/>
          <w:shd w:val="clear" w:color="auto" w:fill="auto"/>
          <w:lang w:eastAsia="zh-CN"/>
        </w:rPr>
        <w:t>、县商务局</w:t>
      </w:r>
      <w:r>
        <w:rPr>
          <w:rFonts w:hint="eastAsia" w:ascii="楷体_GB2312" w:hAnsi="楷体_GB2312" w:eastAsia="楷体_GB2312" w:cs="楷体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shd w:val="clear" w:color="auto" w:fill="auto"/>
        </w:rPr>
      </w:pPr>
      <w:r>
        <w:rPr>
          <w:rFonts w:hint="eastAsia" w:ascii="楷体_GB2312" w:hAnsi="楷体_GB2312" w:eastAsia="楷体_GB2312" w:cs="楷体_GB2312"/>
          <w:b w:val="0"/>
          <w:bCs w:val="0"/>
          <w:color w:val="auto"/>
          <w:sz w:val="32"/>
          <w:lang w:val="en-US" w:eastAsia="zh-CN"/>
        </w:rPr>
        <w:t>（六）科技服务提升行动。</w:t>
      </w:r>
      <w:r>
        <w:rPr>
          <w:rFonts w:hint="eastAsia" w:ascii="Times New Roman" w:hAnsi="Times New Roman" w:eastAsia="仿宋_GB2312"/>
          <w:color w:val="auto"/>
          <w:sz w:val="32"/>
          <w:szCs w:val="32"/>
          <w:shd w:val="clear" w:color="auto" w:fill="auto"/>
        </w:rPr>
        <w:t>落实好企业研发分类奖补政策，以及国产“首台套、首批次、首版次、首轮次、首套件”产品奖励政策。</w:t>
      </w:r>
      <w:r>
        <w:rPr>
          <w:rFonts w:hint="eastAsia" w:ascii="Times New Roman" w:hAnsi="Times New Roman" w:eastAsia="仿宋_GB2312" w:cs="仿宋_GB2312"/>
          <w:color w:val="auto"/>
          <w:sz w:val="32"/>
          <w:szCs w:val="32"/>
          <w:lang w:val="en-US" w:eastAsia="zh-CN"/>
        </w:rPr>
        <w:t>加强科技企业孵化器、众创空间等建设布局，提升以科技为支撑的创业载体专业化能力，加快高新技术企业和科技型中小企业成长。</w:t>
      </w:r>
      <w:r>
        <w:rPr>
          <w:rFonts w:ascii="Times New Roman" w:hAnsi="Times New Roman" w:eastAsia="仿宋_GB2312"/>
          <w:color w:val="auto"/>
          <w:sz w:val="32"/>
          <w:szCs w:val="32"/>
          <w:shd w:val="clear" w:color="auto" w:fill="auto"/>
        </w:rPr>
        <w:t>培育壮大科技服务型企业，高水平建设</w:t>
      </w:r>
      <w:r>
        <w:rPr>
          <w:rFonts w:hint="eastAsia" w:ascii="Times New Roman" w:hAnsi="Times New Roman" w:eastAsia="仿宋_GB2312" w:cs="仿宋_GB2312"/>
          <w:color w:val="auto"/>
          <w:sz w:val="32"/>
          <w:szCs w:val="32"/>
        </w:rPr>
        <w:t>省级工程技术研究中心</w:t>
      </w:r>
      <w:r>
        <w:rPr>
          <w:rFonts w:hint="eastAsia" w:ascii="Times New Roman" w:hAnsi="Times New Roman" w:eastAsia="仿宋_GB2312" w:cs="仿宋_GB2312"/>
          <w:color w:val="auto"/>
          <w:sz w:val="32"/>
          <w:szCs w:val="32"/>
          <w:lang w:val="en-US" w:eastAsia="zh-CN"/>
        </w:rPr>
        <w:t>1</w:t>
      </w:r>
      <w:r>
        <w:rPr>
          <w:rFonts w:hint="eastAsia" w:ascii="Times New Roman" w:hAnsi="Times New Roman" w:eastAsia="仿宋_GB2312" w:cs="仿宋_GB2312"/>
          <w:color w:val="auto"/>
          <w:sz w:val="32"/>
          <w:szCs w:val="32"/>
        </w:rPr>
        <w:t>家以上、省级企业技术中心和工程研究中心</w:t>
      </w:r>
      <w:r>
        <w:rPr>
          <w:rFonts w:hint="eastAsia" w:ascii="Times New Roman" w:hAnsi="Times New Roman" w:eastAsia="仿宋_GB2312" w:cs="仿宋_GB2312"/>
          <w:color w:val="auto"/>
          <w:sz w:val="32"/>
          <w:szCs w:val="32"/>
          <w:lang w:val="en-US" w:eastAsia="zh-CN"/>
        </w:rPr>
        <w:t>2</w:t>
      </w:r>
      <w:r>
        <w:rPr>
          <w:rFonts w:hint="eastAsia" w:ascii="Times New Roman" w:hAnsi="Times New Roman" w:eastAsia="仿宋_GB2312" w:cs="仿宋_GB2312"/>
          <w:color w:val="auto"/>
          <w:sz w:val="32"/>
          <w:szCs w:val="32"/>
        </w:rPr>
        <w:t>家以上</w:t>
      </w:r>
      <w:r>
        <w:rPr>
          <w:rFonts w:ascii="Times New Roman" w:hAnsi="Times New Roman" w:eastAsia="仿宋_GB2312"/>
          <w:color w:val="auto"/>
          <w:sz w:val="32"/>
          <w:szCs w:val="32"/>
          <w:shd w:val="clear" w:color="auto" w:fill="auto"/>
        </w:rPr>
        <w:t>。</w:t>
      </w:r>
      <w:r>
        <w:rPr>
          <w:rFonts w:hint="eastAsia" w:ascii="Times New Roman" w:hAnsi="Times New Roman" w:eastAsia="仿宋_GB2312" w:cs="仿宋_GB2312"/>
          <w:color w:val="auto"/>
          <w:sz w:val="32"/>
          <w:szCs w:val="32"/>
          <w:lang w:val="en-US" w:eastAsia="zh-CN"/>
        </w:rPr>
        <w:t>大力推进知识产权促进行动，加强知识产权保护支撑体系、国家知识产权强县试点县建设。</w:t>
      </w:r>
      <w:r>
        <w:rPr>
          <w:rFonts w:hint="eastAsia" w:ascii="楷体_GB2312" w:hAnsi="楷体_GB2312" w:eastAsia="楷体_GB2312" w:cs="楷体_GB2312"/>
          <w:color w:val="auto"/>
          <w:sz w:val="32"/>
          <w:szCs w:val="32"/>
          <w:shd w:val="clear" w:color="auto" w:fill="auto"/>
        </w:rPr>
        <w:t>（责任单位：</w:t>
      </w:r>
      <w:r>
        <w:rPr>
          <w:rFonts w:hint="eastAsia" w:ascii="楷体_GB2312" w:hAnsi="楷体_GB2312" w:eastAsia="楷体_GB2312" w:cs="楷体_GB2312"/>
          <w:color w:val="auto"/>
          <w:sz w:val="32"/>
          <w:szCs w:val="32"/>
          <w:shd w:val="clear" w:color="auto" w:fill="auto"/>
          <w:lang w:eastAsia="zh-CN"/>
        </w:rPr>
        <w:t>县科工</w:t>
      </w:r>
      <w:r>
        <w:rPr>
          <w:rFonts w:hint="eastAsia" w:ascii="楷体_GB2312" w:hAnsi="楷体_GB2312" w:eastAsia="楷体_GB2312" w:cs="楷体_GB2312"/>
          <w:color w:val="auto"/>
          <w:sz w:val="32"/>
          <w:szCs w:val="32"/>
          <w:shd w:val="clear" w:color="auto" w:fill="auto"/>
        </w:rPr>
        <w:t>局</w:t>
      </w:r>
      <w:r>
        <w:rPr>
          <w:rFonts w:hint="eastAsia" w:ascii="楷体_GB2312" w:hAnsi="楷体_GB2312" w:eastAsia="楷体_GB2312" w:cs="楷体_GB2312"/>
          <w:color w:val="auto"/>
          <w:sz w:val="32"/>
          <w:szCs w:val="32"/>
          <w:shd w:val="clear" w:color="auto" w:fill="auto"/>
          <w:lang w:eastAsia="zh-CN"/>
        </w:rPr>
        <w:t>、县发改局、县市监局</w:t>
      </w:r>
      <w:r>
        <w:rPr>
          <w:rFonts w:hint="eastAsia" w:ascii="楷体_GB2312" w:hAnsi="楷体_GB2312" w:eastAsia="楷体_GB2312" w:cs="楷体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shd w:val="clear" w:color="auto" w:fill="auto"/>
        </w:rPr>
      </w:pPr>
      <w:r>
        <w:rPr>
          <w:rFonts w:hint="eastAsia" w:ascii="楷体_GB2312" w:hAnsi="楷体_GB2312" w:eastAsia="楷体_GB2312" w:cs="楷体_GB2312"/>
          <w:b w:val="0"/>
          <w:bCs w:val="0"/>
          <w:color w:val="auto"/>
          <w:sz w:val="32"/>
          <w:lang w:val="en-US" w:eastAsia="zh-CN"/>
        </w:rPr>
        <w:t>（七）医疗健康提升行动。</w:t>
      </w:r>
      <w:r>
        <w:rPr>
          <w:rFonts w:ascii="Times New Roman" w:hAnsi="Times New Roman" w:eastAsia="仿宋_GB2312"/>
          <w:color w:val="auto"/>
          <w:sz w:val="32"/>
          <w:szCs w:val="32"/>
          <w:shd w:val="clear" w:color="auto" w:fill="auto"/>
        </w:rPr>
        <w:t>深化医药卫生体制改革，</w:t>
      </w:r>
      <w:r>
        <w:rPr>
          <w:rFonts w:hint="eastAsia" w:ascii="Times New Roman" w:hAnsi="Times New Roman" w:eastAsia="仿宋_GB2312" w:cs="仿宋_GB2312"/>
          <w:b w:val="0"/>
          <w:bCs w:val="0"/>
          <w:color w:val="auto"/>
          <w:sz w:val="32"/>
          <w:szCs w:val="32"/>
          <w:highlight w:val="none"/>
          <w:u w:val="none"/>
          <w:lang w:val="en-US" w:eastAsia="zh-CN"/>
        </w:rPr>
        <w:t>推进紧密型县域医共体建设，提升乡镇卫生院医疗服务管理水平，规范乡村医生管理。</w:t>
      </w:r>
      <w:r>
        <w:rPr>
          <w:rFonts w:ascii="Times New Roman" w:hAnsi="Times New Roman" w:eastAsia="仿宋_GB2312"/>
          <w:color w:val="auto"/>
          <w:sz w:val="32"/>
          <w:szCs w:val="32"/>
          <w:shd w:val="clear" w:color="auto" w:fill="auto"/>
        </w:rPr>
        <w:t>健全分级诊疗体系，提升基层医疗卫生机构服务能力。</w:t>
      </w:r>
      <w:r>
        <w:rPr>
          <w:rFonts w:hint="eastAsia" w:ascii="Times New Roman" w:hAnsi="Times New Roman" w:eastAsia="仿宋_GB2312"/>
          <w:color w:val="auto"/>
          <w:sz w:val="32"/>
          <w:szCs w:val="32"/>
          <w:shd w:val="clear" w:color="auto" w:fill="auto"/>
          <w:lang w:eastAsia="zh-CN"/>
        </w:rPr>
        <w:t>促进中医药传承与创新，实施“中医药强县”战略，</w:t>
      </w:r>
      <w:r>
        <w:rPr>
          <w:rFonts w:hint="eastAsia" w:ascii="Times New Roman" w:hAnsi="Times New Roman" w:eastAsia="仿宋_GB2312" w:cs="仿宋_GB2312"/>
          <w:color w:val="auto"/>
          <w:sz w:val="32"/>
          <w:szCs w:val="32"/>
          <w:lang w:val="en-US" w:eastAsia="zh-CN"/>
        </w:rPr>
        <w:t>加快推进安化中医药健康产业园健康发展。</w:t>
      </w:r>
      <w:r>
        <w:rPr>
          <w:rFonts w:ascii="Times New Roman" w:hAnsi="Times New Roman" w:eastAsia="仿宋_GB2312"/>
          <w:color w:val="auto"/>
          <w:sz w:val="32"/>
          <w:szCs w:val="32"/>
          <w:shd w:val="clear" w:color="auto" w:fill="auto"/>
        </w:rPr>
        <w:t>健全县乡村三级养老服务网络，发展居家和社区养老服务</w:t>
      </w:r>
      <w:r>
        <w:rPr>
          <w:rFonts w:hint="eastAsia" w:ascii="Times New Roman" w:hAnsi="Times New Roman" w:eastAsia="仿宋_GB2312"/>
          <w:color w:val="auto"/>
          <w:sz w:val="32"/>
          <w:szCs w:val="32"/>
          <w:shd w:val="clear" w:color="auto" w:fill="auto"/>
          <w:lang w:eastAsia="zh-CN"/>
        </w:rPr>
        <w:t>，</w:t>
      </w:r>
      <w:r>
        <w:rPr>
          <w:rFonts w:hint="eastAsia" w:ascii="Times New Roman" w:hAnsi="Times New Roman" w:eastAsia="仿宋_GB2312" w:cs="仿宋_GB2312"/>
          <w:color w:val="auto"/>
          <w:sz w:val="32"/>
          <w:szCs w:val="32"/>
          <w:lang w:val="en-US" w:eastAsia="zh-CN"/>
        </w:rPr>
        <w:t>改造和增设老年食堂等老年助餐服务设施，建设老年助餐服务点</w:t>
      </w:r>
      <w:r>
        <w:rPr>
          <w:rFonts w:hint="eastAsia" w:ascii="Times New Roman" w:hAnsi="Times New Roman" w:eastAsia="仿宋_GB2312" w:cs="仿宋_GB2312"/>
          <w:color w:val="auto"/>
          <w:sz w:val="32"/>
          <w:szCs w:val="32"/>
          <w:highlight w:val="none"/>
          <w:lang w:val="en-US" w:eastAsia="zh-CN"/>
        </w:rPr>
        <w:t>6</w:t>
      </w:r>
      <w:r>
        <w:rPr>
          <w:rFonts w:hint="eastAsia" w:ascii="Times New Roman" w:hAnsi="Times New Roman" w:eastAsia="仿宋_GB2312" w:cs="仿宋_GB2312"/>
          <w:color w:val="auto"/>
          <w:sz w:val="32"/>
          <w:szCs w:val="32"/>
          <w:lang w:val="en-US" w:eastAsia="zh-CN"/>
        </w:rPr>
        <w:t>个，</w:t>
      </w:r>
      <w:r>
        <w:rPr>
          <w:rFonts w:hint="eastAsia" w:ascii="Times New Roman" w:hAnsi="Times New Roman" w:eastAsia="仿宋_GB2312" w:cs="仿宋_GB2312"/>
          <w:color w:val="auto"/>
          <w:sz w:val="32"/>
          <w:szCs w:val="32"/>
          <w:highlight w:val="none"/>
        </w:rPr>
        <w:t>按照“一户一策”原则</w:t>
      </w:r>
      <w:r>
        <w:rPr>
          <w:rFonts w:hint="eastAsia" w:ascii="Times New Roman" w:hAnsi="Times New Roman" w:eastAsia="仿宋_GB2312" w:cs="仿宋_GB2312"/>
          <w:color w:val="auto"/>
          <w:sz w:val="32"/>
          <w:szCs w:val="32"/>
          <w:highlight w:val="none"/>
          <w:lang w:eastAsia="zh-CN"/>
        </w:rPr>
        <w:t>和</w:t>
      </w:r>
      <w:r>
        <w:rPr>
          <w:rFonts w:hint="eastAsia" w:ascii="Times New Roman" w:hAnsi="Times New Roman" w:eastAsia="仿宋_GB2312" w:cs="仿宋_GB2312"/>
          <w:color w:val="auto"/>
          <w:sz w:val="32"/>
          <w:szCs w:val="32"/>
          <w:highlight w:val="none"/>
        </w:rPr>
        <w:t>3000元/户的改造标准</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实施特殊困难老年人家庭适老化改造</w:t>
      </w:r>
      <w:r>
        <w:rPr>
          <w:rFonts w:hint="eastAsia" w:ascii="Times New Roman" w:hAnsi="Times New Roman" w:eastAsia="仿宋_GB2312" w:cs="仿宋_GB2312"/>
          <w:color w:val="auto"/>
          <w:sz w:val="32"/>
          <w:szCs w:val="32"/>
          <w:highlight w:val="none"/>
          <w:lang w:val="en-US" w:eastAsia="zh-CN"/>
        </w:rPr>
        <w:t>579</w:t>
      </w:r>
      <w:r>
        <w:rPr>
          <w:rFonts w:hint="eastAsia" w:ascii="Times New Roman" w:hAnsi="Times New Roman" w:eastAsia="仿宋_GB2312" w:cs="仿宋_GB2312"/>
          <w:bCs/>
          <w:color w:val="auto"/>
          <w:sz w:val="32"/>
          <w:szCs w:val="32"/>
          <w:highlight w:val="none"/>
        </w:rPr>
        <w:t>户</w:t>
      </w:r>
      <w:r>
        <w:rPr>
          <w:rFonts w:hint="eastAsia" w:ascii="Times New Roman" w:hAnsi="Times New Roman" w:eastAsia="仿宋_GB2312" w:cs="仿宋_GB2312"/>
          <w:color w:val="auto"/>
          <w:sz w:val="32"/>
          <w:szCs w:val="32"/>
          <w:highlight w:val="none"/>
        </w:rPr>
        <w:t>。</w:t>
      </w:r>
      <w:r>
        <w:rPr>
          <w:rFonts w:hint="eastAsia" w:ascii="楷体_GB2312" w:hAnsi="楷体_GB2312" w:eastAsia="楷体_GB2312" w:cs="楷体_GB2312"/>
          <w:color w:val="auto"/>
          <w:sz w:val="32"/>
          <w:szCs w:val="32"/>
          <w:shd w:val="clear" w:color="auto" w:fill="auto"/>
        </w:rPr>
        <w:t>（责任单位：</w:t>
      </w:r>
      <w:r>
        <w:rPr>
          <w:rFonts w:hint="eastAsia" w:ascii="楷体_GB2312" w:hAnsi="楷体_GB2312" w:eastAsia="楷体_GB2312" w:cs="楷体_GB2312"/>
          <w:color w:val="auto"/>
          <w:sz w:val="32"/>
          <w:szCs w:val="32"/>
          <w:shd w:val="clear" w:color="auto" w:fill="auto"/>
          <w:lang w:eastAsia="zh-CN"/>
        </w:rPr>
        <w:t>县卫健</w:t>
      </w:r>
      <w:r>
        <w:rPr>
          <w:rFonts w:hint="eastAsia" w:ascii="楷体_GB2312" w:hAnsi="楷体_GB2312" w:eastAsia="楷体_GB2312" w:cs="楷体_GB2312"/>
          <w:color w:val="auto"/>
          <w:sz w:val="32"/>
          <w:szCs w:val="32"/>
          <w:shd w:val="clear" w:color="auto" w:fill="auto"/>
        </w:rPr>
        <w:t>局</w:t>
      </w:r>
      <w:r>
        <w:rPr>
          <w:rFonts w:hint="eastAsia" w:ascii="楷体_GB2312" w:hAnsi="楷体_GB2312" w:eastAsia="楷体_GB2312" w:cs="楷体_GB2312"/>
          <w:color w:val="auto"/>
          <w:sz w:val="32"/>
          <w:szCs w:val="32"/>
          <w:shd w:val="clear" w:color="auto" w:fill="auto"/>
          <w:lang w:eastAsia="zh-CN"/>
        </w:rPr>
        <w:t>、县民政局、</w:t>
      </w:r>
      <w:r>
        <w:rPr>
          <w:rFonts w:hint="eastAsia" w:ascii="楷体_GB2312" w:hAnsi="楷体_GB2312" w:eastAsia="楷体_GB2312" w:cs="楷体_GB2312"/>
          <w:color w:val="auto"/>
          <w:sz w:val="32"/>
          <w:szCs w:val="32"/>
          <w:shd w:val="clear" w:color="auto" w:fill="auto"/>
          <w:lang w:val="en-US" w:eastAsia="zh-CN"/>
        </w:rPr>
        <w:t>县中医药健康产业中心</w:t>
      </w:r>
      <w:r>
        <w:rPr>
          <w:rFonts w:hint="eastAsia" w:ascii="楷体_GB2312" w:hAnsi="楷体_GB2312" w:eastAsia="楷体_GB2312" w:cs="楷体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olor w:val="auto"/>
          <w:sz w:val="32"/>
          <w:lang w:val="en-US" w:eastAsia="zh-CN"/>
        </w:rPr>
      </w:pPr>
      <w:r>
        <w:rPr>
          <w:rFonts w:hint="eastAsia" w:ascii="楷体_GB2312" w:hAnsi="楷体_GB2312" w:eastAsia="楷体_GB2312" w:cs="楷体_GB2312"/>
          <w:b w:val="0"/>
          <w:bCs w:val="0"/>
          <w:color w:val="auto"/>
          <w:sz w:val="32"/>
          <w:lang w:val="en-US" w:eastAsia="zh-CN"/>
        </w:rPr>
        <w:t>（八）</w:t>
      </w:r>
      <w:r>
        <w:rPr>
          <w:rFonts w:hint="default" w:ascii="楷体_GB2312" w:hAnsi="楷体_GB2312" w:eastAsia="楷体_GB2312" w:cs="楷体_GB2312"/>
          <w:b w:val="0"/>
          <w:bCs w:val="0"/>
          <w:color w:val="auto"/>
          <w:sz w:val="32"/>
          <w:lang w:val="en-US" w:eastAsia="zh-CN"/>
        </w:rPr>
        <w:t>主体</w:t>
      </w:r>
      <w:r>
        <w:rPr>
          <w:rFonts w:hint="eastAsia" w:ascii="楷体_GB2312" w:hAnsi="楷体_GB2312" w:eastAsia="楷体_GB2312" w:cs="楷体_GB2312"/>
          <w:b w:val="0"/>
          <w:bCs w:val="0"/>
          <w:color w:val="auto"/>
          <w:sz w:val="32"/>
          <w:lang w:val="en-US" w:eastAsia="zh-CN"/>
        </w:rPr>
        <w:t>培育提升行动。</w:t>
      </w:r>
      <w:r>
        <w:rPr>
          <w:rFonts w:hint="eastAsia" w:ascii="Times New Roman" w:hAnsi="Times New Roman" w:eastAsia="仿宋_GB2312"/>
          <w:color w:val="auto"/>
          <w:sz w:val="32"/>
          <w:lang w:val="en-US" w:eastAsia="zh-CN"/>
        </w:rPr>
        <w:t>壮大骨干企业，围绕服务业重点领域，筛选一批营业收入高、税收贡献大、就业人数多的服务业企业，在资金安排、金融信贷、技术创新等方面获得更多政策支持。力争培育一批细分领域市场占有率高的单项冠军企业。</w:t>
      </w:r>
      <w:r>
        <w:rPr>
          <w:rFonts w:hint="eastAsia" w:ascii="Times New Roman" w:hAnsi="Times New Roman" w:eastAsia="仿宋_GB2312" w:cs="仿宋_GB2312"/>
          <w:sz w:val="32"/>
          <w:szCs w:val="32"/>
          <w:lang w:val="en-US" w:eastAsia="zh-CN"/>
        </w:rPr>
        <w:t>结合湘商回归和招商引资竞赛，大力推进服务业招商，推进完善县域现代服务体系</w:t>
      </w:r>
      <w:r>
        <w:rPr>
          <w:rFonts w:hint="eastAsia" w:ascii="Times New Roman" w:hAnsi="Times New Roman" w:eastAsia="仿宋_GB2312"/>
          <w:color w:val="auto"/>
          <w:sz w:val="32"/>
          <w:lang w:val="en-US" w:eastAsia="zh-CN"/>
        </w:rPr>
        <w:t>。</w:t>
      </w:r>
      <w:r>
        <w:rPr>
          <w:rFonts w:hint="eastAsia" w:ascii="楷体_GB2312" w:hAnsi="楷体_GB2312" w:eastAsia="楷体_GB2312" w:cs="楷体_GB2312"/>
          <w:color w:val="auto"/>
          <w:sz w:val="32"/>
          <w:szCs w:val="32"/>
          <w:shd w:val="clear" w:color="auto" w:fill="auto"/>
        </w:rPr>
        <w:t>（责任单位：</w:t>
      </w:r>
      <w:r>
        <w:rPr>
          <w:rFonts w:hint="eastAsia" w:ascii="楷体_GB2312" w:hAnsi="楷体_GB2312" w:eastAsia="楷体_GB2312" w:cs="楷体_GB2312"/>
          <w:color w:val="auto"/>
          <w:sz w:val="32"/>
          <w:szCs w:val="32"/>
          <w:shd w:val="clear" w:color="auto" w:fill="auto"/>
          <w:lang w:eastAsia="zh-CN"/>
        </w:rPr>
        <w:t>县科工</w:t>
      </w:r>
      <w:r>
        <w:rPr>
          <w:rFonts w:hint="eastAsia" w:ascii="楷体_GB2312" w:hAnsi="楷体_GB2312" w:eastAsia="楷体_GB2312" w:cs="楷体_GB2312"/>
          <w:color w:val="auto"/>
          <w:sz w:val="32"/>
          <w:szCs w:val="32"/>
          <w:shd w:val="clear" w:color="auto" w:fill="auto"/>
        </w:rPr>
        <w:t>局</w:t>
      </w:r>
      <w:r>
        <w:rPr>
          <w:rFonts w:hint="eastAsia" w:ascii="楷体_GB2312" w:hAnsi="楷体_GB2312" w:eastAsia="楷体_GB2312" w:cs="楷体_GB2312"/>
          <w:color w:val="auto"/>
          <w:sz w:val="32"/>
          <w:szCs w:val="32"/>
          <w:shd w:val="clear" w:color="auto" w:fill="auto"/>
          <w:lang w:eastAsia="zh-CN"/>
        </w:rPr>
        <w:t>、县商务局</w:t>
      </w:r>
      <w:r>
        <w:rPr>
          <w:rFonts w:hint="eastAsia" w:ascii="楷体_GB2312" w:hAnsi="楷体_GB2312" w:eastAsia="楷体_GB2312" w:cs="楷体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lang w:val="en-US" w:eastAsia="zh-CN"/>
        </w:rPr>
      </w:pPr>
      <w:r>
        <w:rPr>
          <w:rFonts w:hint="eastAsia" w:ascii="楷体_GB2312" w:hAnsi="楷体_GB2312" w:eastAsia="楷体_GB2312" w:cs="楷体_GB2312"/>
          <w:b w:val="0"/>
          <w:bCs w:val="0"/>
          <w:color w:val="auto"/>
          <w:sz w:val="32"/>
          <w:szCs w:val="32"/>
          <w:lang w:val="en-US" w:eastAsia="zh-CN"/>
        </w:rPr>
        <w:t>（九）项目建设提升行动。</w:t>
      </w:r>
      <w:r>
        <w:rPr>
          <w:rFonts w:hint="eastAsia" w:ascii="Times New Roman" w:hAnsi="Times New Roman" w:eastAsia="仿宋_GB2312" w:cs="仿宋_GB2312"/>
          <w:color w:val="auto"/>
          <w:sz w:val="32"/>
          <w:szCs w:val="32"/>
          <w:lang w:val="en-US" w:eastAsia="zh-CN"/>
        </w:rPr>
        <w:t>按照“谋划一批、开工一批、实施一批、竣工一批”原则，实行分级分类、动态管理，每年筛选10个左右示范效应突出的服务业重大项目，纳入县“十大产业项目”予以重点推进。对服务业重大项目，优先推荐申报国家项目、安排省服务业相关专项资金。建立服务业重大项目绿色通道，优化项目用地、规划、环评等审批手续，建立健全帮办代办制度，对重大项目实行全程帮办、代办，协助企业办理项目建设手续。</w:t>
      </w:r>
      <w:r>
        <w:rPr>
          <w:rFonts w:hint="eastAsia" w:ascii="楷体_GB2312" w:hAnsi="楷体_GB2312" w:eastAsia="楷体_GB2312" w:cs="楷体_GB2312"/>
          <w:color w:val="auto"/>
          <w:sz w:val="32"/>
          <w:szCs w:val="32"/>
          <w:shd w:val="clear" w:color="auto" w:fill="auto"/>
        </w:rPr>
        <w:t>（责任单位：</w:t>
      </w:r>
      <w:r>
        <w:rPr>
          <w:rFonts w:hint="eastAsia" w:ascii="楷体_GB2312" w:hAnsi="楷体_GB2312" w:eastAsia="楷体_GB2312" w:cs="楷体_GB2312"/>
          <w:color w:val="auto"/>
          <w:sz w:val="32"/>
          <w:szCs w:val="32"/>
          <w:shd w:val="clear" w:color="auto" w:fill="auto"/>
          <w:lang w:eastAsia="zh-CN"/>
        </w:rPr>
        <w:t>县发改</w:t>
      </w:r>
      <w:r>
        <w:rPr>
          <w:rFonts w:hint="eastAsia" w:ascii="楷体_GB2312" w:hAnsi="楷体_GB2312" w:eastAsia="楷体_GB2312" w:cs="楷体_GB2312"/>
          <w:color w:val="auto"/>
          <w:sz w:val="32"/>
          <w:szCs w:val="32"/>
          <w:shd w:val="clear" w:color="auto" w:fill="auto"/>
        </w:rPr>
        <w:t>局</w:t>
      </w:r>
      <w:r>
        <w:rPr>
          <w:rFonts w:hint="eastAsia" w:ascii="楷体_GB2312" w:hAnsi="楷体_GB2312" w:eastAsia="楷体_GB2312" w:cs="楷体_GB2312"/>
          <w:color w:val="auto"/>
          <w:sz w:val="32"/>
          <w:szCs w:val="32"/>
          <w:shd w:val="clear" w:color="auto" w:fill="auto"/>
          <w:lang w:eastAsia="zh-CN"/>
        </w:rPr>
        <w:t>、县自然资源局、市生态环境局安化分局、县重点建设项目事务中心</w:t>
      </w:r>
      <w:r>
        <w:rPr>
          <w:rFonts w:hint="eastAsia" w:ascii="楷体_GB2312" w:hAnsi="楷体_GB2312" w:eastAsia="楷体_GB2312" w:cs="楷体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olor w:val="auto"/>
          <w:sz w:val="32"/>
          <w:szCs w:val="21"/>
        </w:rPr>
      </w:pPr>
      <w:r>
        <w:rPr>
          <w:rFonts w:hint="eastAsia" w:ascii="楷体_GB2312" w:hAnsi="楷体_GB2312" w:eastAsia="楷体_GB2312" w:cs="楷体_GB2312"/>
          <w:b w:val="0"/>
          <w:bCs w:val="0"/>
          <w:color w:val="auto"/>
          <w:sz w:val="32"/>
          <w:szCs w:val="32"/>
          <w:lang w:val="en-US" w:eastAsia="zh-CN"/>
        </w:rPr>
        <w:t>（十）服务质量提升行动。</w:t>
      </w:r>
      <w:r>
        <w:rPr>
          <w:rFonts w:ascii="Times New Roman" w:hAnsi="Times New Roman" w:eastAsia="仿宋_GB2312"/>
          <w:color w:val="auto"/>
          <w:sz w:val="32"/>
          <w:szCs w:val="21"/>
        </w:rPr>
        <w:t>实施服务业质量、标准、品牌建设行动。</w:t>
      </w:r>
      <w:r>
        <w:rPr>
          <w:rFonts w:hint="eastAsia" w:ascii="Times New Roman" w:hAnsi="Times New Roman" w:eastAsia="仿宋_GB2312" w:cs="仿宋_GB2312"/>
          <w:color w:val="auto"/>
          <w:sz w:val="32"/>
          <w:szCs w:val="32"/>
          <w:lang w:val="en-US" w:eastAsia="zh-CN"/>
        </w:rPr>
        <w:t>强化品牌建设，实施安化品牌建设工程，持续培育“安”字号品牌和“两品一标”产品，推动“安化产品”向“安化品牌”转变、“质量强县”向“品牌强县”跃升。</w:t>
      </w:r>
      <w:r>
        <w:rPr>
          <w:rFonts w:ascii="Times New Roman" w:hAnsi="Times New Roman" w:eastAsia="仿宋_GB2312"/>
          <w:color w:val="auto"/>
          <w:sz w:val="32"/>
          <w:szCs w:val="21"/>
        </w:rPr>
        <w:t>加大品牌保护力度，依法打击品牌侵权行为。推动服务行业标准体系建设，针对健康养老、中医诊疗、现代物流等服务领域，鼓励企业自主制定、实施企业标准，提高服务领域标准化水平。</w:t>
      </w:r>
      <w:r>
        <w:rPr>
          <w:rFonts w:hint="eastAsia" w:ascii="Times New Roman" w:hAnsi="Times New Roman" w:eastAsia="仿宋_GB2312"/>
          <w:color w:val="auto"/>
          <w:sz w:val="32"/>
          <w:szCs w:val="21"/>
          <w:lang w:eastAsia="zh-CN"/>
        </w:rPr>
        <w:t>关注律师事务所、公证处、会计事务所等商务服务领域，进一步完善服务体系质量质效。对</w:t>
      </w:r>
      <w:r>
        <w:rPr>
          <w:rFonts w:ascii="Times New Roman" w:hAnsi="Times New Roman" w:eastAsia="仿宋_GB2312"/>
          <w:color w:val="auto"/>
          <w:sz w:val="32"/>
          <w:szCs w:val="21"/>
        </w:rPr>
        <w:t>我</w:t>
      </w:r>
      <w:r>
        <w:rPr>
          <w:rFonts w:hint="eastAsia" w:ascii="Times New Roman" w:hAnsi="Times New Roman" w:eastAsia="仿宋_GB2312"/>
          <w:color w:val="auto"/>
          <w:sz w:val="32"/>
          <w:szCs w:val="21"/>
          <w:lang w:eastAsia="zh-CN"/>
        </w:rPr>
        <w:t>县</w:t>
      </w:r>
      <w:r>
        <w:rPr>
          <w:rFonts w:ascii="Times New Roman" w:hAnsi="Times New Roman" w:eastAsia="仿宋_GB2312"/>
          <w:color w:val="auto"/>
          <w:sz w:val="32"/>
          <w:szCs w:val="21"/>
        </w:rPr>
        <w:t>服务业质量提升</w:t>
      </w:r>
      <w:r>
        <w:rPr>
          <w:rFonts w:hint="eastAsia" w:ascii="Times New Roman" w:hAnsi="Times New Roman" w:eastAsia="仿宋_GB2312"/>
          <w:color w:val="auto"/>
          <w:sz w:val="32"/>
          <w:szCs w:val="21"/>
          <w:lang w:eastAsia="zh-CN"/>
        </w:rPr>
        <w:t>取得明显成效的企业</w:t>
      </w:r>
      <w:r>
        <w:rPr>
          <w:rFonts w:ascii="Times New Roman" w:hAnsi="Times New Roman" w:eastAsia="仿宋_GB2312"/>
          <w:color w:val="auto"/>
          <w:sz w:val="32"/>
          <w:szCs w:val="21"/>
        </w:rPr>
        <w:t>，由</w:t>
      </w:r>
      <w:r>
        <w:rPr>
          <w:rFonts w:hint="eastAsia" w:ascii="Times New Roman" w:hAnsi="Times New Roman" w:eastAsia="仿宋_GB2312"/>
          <w:color w:val="auto"/>
          <w:sz w:val="32"/>
          <w:szCs w:val="21"/>
          <w:lang w:eastAsia="zh-CN"/>
        </w:rPr>
        <w:t>县</w:t>
      </w:r>
      <w:r>
        <w:rPr>
          <w:rFonts w:ascii="Times New Roman" w:hAnsi="Times New Roman" w:eastAsia="仿宋_GB2312"/>
          <w:color w:val="auto"/>
          <w:sz w:val="32"/>
          <w:szCs w:val="21"/>
        </w:rPr>
        <w:t>财政</w:t>
      </w:r>
      <w:r>
        <w:rPr>
          <w:rFonts w:hint="eastAsia" w:ascii="Times New Roman" w:hAnsi="Times New Roman" w:eastAsia="仿宋_GB2312"/>
          <w:color w:val="auto"/>
          <w:sz w:val="32"/>
          <w:szCs w:val="21"/>
          <w:lang w:eastAsia="zh-CN"/>
        </w:rPr>
        <w:t>统筹省市专项资金</w:t>
      </w:r>
      <w:r>
        <w:rPr>
          <w:rFonts w:ascii="Times New Roman" w:hAnsi="Times New Roman" w:eastAsia="仿宋_GB2312"/>
          <w:color w:val="auto"/>
          <w:sz w:val="32"/>
          <w:szCs w:val="21"/>
        </w:rPr>
        <w:t>给予奖励。</w:t>
      </w:r>
      <w:r>
        <w:rPr>
          <w:rFonts w:hint="eastAsia" w:ascii="楷体_GB2312" w:hAnsi="楷体_GB2312" w:eastAsia="楷体_GB2312" w:cs="楷体_GB2312"/>
          <w:color w:val="auto"/>
          <w:sz w:val="32"/>
          <w:szCs w:val="32"/>
          <w:shd w:val="clear" w:color="auto" w:fill="auto"/>
        </w:rPr>
        <w:t>（责任单位：</w:t>
      </w:r>
      <w:r>
        <w:rPr>
          <w:rFonts w:hint="eastAsia" w:ascii="楷体_GB2312" w:hAnsi="楷体_GB2312" w:eastAsia="楷体_GB2312" w:cs="楷体_GB2312"/>
          <w:color w:val="auto"/>
          <w:sz w:val="32"/>
          <w:szCs w:val="32"/>
          <w:shd w:val="clear" w:color="auto" w:fill="auto"/>
          <w:lang w:eastAsia="zh-CN"/>
        </w:rPr>
        <w:t>县市监</w:t>
      </w:r>
      <w:r>
        <w:rPr>
          <w:rFonts w:hint="eastAsia" w:ascii="楷体_GB2312" w:hAnsi="楷体_GB2312" w:eastAsia="楷体_GB2312" w:cs="楷体_GB2312"/>
          <w:color w:val="auto"/>
          <w:sz w:val="32"/>
          <w:szCs w:val="32"/>
          <w:shd w:val="clear" w:color="auto" w:fill="auto"/>
        </w:rPr>
        <w:t>局</w:t>
      </w:r>
      <w:r>
        <w:rPr>
          <w:rFonts w:hint="eastAsia" w:ascii="楷体_GB2312" w:hAnsi="楷体_GB2312" w:eastAsia="楷体_GB2312" w:cs="楷体_GB2312"/>
          <w:color w:val="auto"/>
          <w:sz w:val="32"/>
          <w:szCs w:val="32"/>
          <w:shd w:val="clear" w:color="auto" w:fill="auto"/>
          <w:lang w:eastAsia="zh-CN"/>
        </w:rPr>
        <w:t>、县司法局、县民政局、县卫健局、县发改局、县财政局</w:t>
      </w:r>
      <w:r>
        <w:rPr>
          <w:rFonts w:hint="eastAsia" w:ascii="楷体_GB2312" w:hAnsi="楷体_GB2312" w:eastAsia="楷体_GB2312" w:cs="楷体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三、保障措施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olor w:val="auto"/>
          <w:sz w:val="32"/>
          <w:szCs w:val="32"/>
          <w:shd w:val="clear" w:color="auto" w:fill="auto"/>
        </w:rPr>
      </w:pPr>
      <w:r>
        <w:rPr>
          <w:rFonts w:hint="eastAsia" w:ascii="楷体_GB2312" w:hAnsi="楷体_GB2312" w:eastAsia="楷体_GB2312" w:cs="楷体_GB2312"/>
          <w:b w:val="0"/>
          <w:bCs w:val="0"/>
          <w:color w:val="auto"/>
          <w:sz w:val="32"/>
          <w:szCs w:val="32"/>
          <w:lang w:val="en-US" w:eastAsia="zh-CN"/>
        </w:rPr>
        <w:t>（一）健全推进机制。</w:t>
      </w:r>
      <w:r>
        <w:rPr>
          <w:rFonts w:hint="eastAsia" w:ascii="Times New Roman" w:hAnsi="Times New Roman" w:eastAsia="仿宋_GB2312" w:cs="仿宋_GB2312"/>
          <w:color w:val="auto"/>
          <w:sz w:val="32"/>
          <w:szCs w:val="32"/>
          <w:lang w:val="en-US" w:eastAsia="zh-CN"/>
        </w:rPr>
        <w:t>成立安化县服务业发展联席会议，由县政府办副主任喻江滔担任召集人，县发改局局长谭军为副召集人，县财政局、县统计局、县司法局、县科工局、县民政局、县交通运输局、县自然资源局、市生态环境局安化分局、县住建局、县文旅广体局、县商务局、县卫健局、县教育局、县城管执法局、县市监局、县行政审批服务局、县重点建设项目事务中心、县供销联社主要负责人及县发改局分管负责人为成员。联席会议负责统筹推进全县服务业发展工作，定期协调解决方案推进实施中的重大问题。联席会议办公室设县发改局，承担联席会议日常工作。各提升行动牵头部门按分工制定具体实施方案，细化工作措施，按季度调度分析行业发展情况。</w:t>
      </w:r>
      <w:r>
        <w:rPr>
          <w:rFonts w:hint="eastAsia" w:ascii="楷体_GB2312" w:hAnsi="楷体_GB2312" w:eastAsia="楷体_GB2312" w:cs="楷体_GB2312"/>
          <w:color w:val="auto"/>
          <w:sz w:val="32"/>
          <w:szCs w:val="32"/>
          <w:shd w:val="clear" w:color="auto" w:fill="auto"/>
        </w:rPr>
        <w:t>（责任单位：</w:t>
      </w:r>
      <w:r>
        <w:rPr>
          <w:rFonts w:hint="eastAsia" w:ascii="楷体_GB2312" w:hAnsi="楷体_GB2312" w:eastAsia="楷体_GB2312" w:cs="楷体_GB2312"/>
          <w:color w:val="auto"/>
          <w:sz w:val="32"/>
          <w:szCs w:val="32"/>
          <w:shd w:val="clear" w:color="auto" w:fill="auto"/>
          <w:lang w:eastAsia="zh-CN"/>
        </w:rPr>
        <w:t>县发改</w:t>
      </w:r>
      <w:r>
        <w:rPr>
          <w:rFonts w:hint="eastAsia" w:ascii="楷体_GB2312" w:hAnsi="楷体_GB2312" w:eastAsia="楷体_GB2312" w:cs="楷体_GB2312"/>
          <w:color w:val="auto"/>
          <w:sz w:val="32"/>
          <w:szCs w:val="32"/>
          <w:shd w:val="clear" w:color="auto" w:fill="auto"/>
        </w:rPr>
        <w:t>局</w:t>
      </w:r>
      <w:r>
        <w:rPr>
          <w:rFonts w:hint="eastAsia" w:ascii="楷体_GB2312" w:hAnsi="楷体_GB2312" w:eastAsia="楷体_GB2312" w:cs="楷体_GB2312"/>
          <w:color w:val="auto"/>
          <w:sz w:val="32"/>
          <w:szCs w:val="32"/>
          <w:shd w:val="clear" w:color="auto" w:fill="auto"/>
          <w:lang w:eastAsia="zh-CN"/>
        </w:rPr>
        <w:t>、县商务局、县交通运输局、县</w:t>
      </w:r>
      <w:r>
        <w:rPr>
          <w:rFonts w:hint="eastAsia" w:ascii="楷体_GB2312" w:hAnsi="楷体_GB2312" w:eastAsia="楷体_GB2312" w:cs="楷体_GB2312"/>
          <w:color w:val="auto"/>
          <w:sz w:val="32"/>
          <w:szCs w:val="32"/>
          <w:shd w:val="clear" w:color="auto" w:fill="auto"/>
        </w:rPr>
        <w:t>文旅广体局</w:t>
      </w:r>
      <w:r>
        <w:rPr>
          <w:rFonts w:hint="eastAsia" w:ascii="楷体_GB2312" w:hAnsi="楷体_GB2312" w:eastAsia="楷体_GB2312" w:cs="楷体_GB2312"/>
          <w:color w:val="auto"/>
          <w:sz w:val="32"/>
          <w:szCs w:val="32"/>
          <w:shd w:val="clear" w:color="auto" w:fill="auto"/>
          <w:lang w:eastAsia="zh-CN"/>
        </w:rPr>
        <w:t>、县科工局、县卫健局、县市监局</w:t>
      </w:r>
      <w:r>
        <w:rPr>
          <w:rFonts w:hint="eastAsia" w:ascii="楷体_GB2312" w:hAnsi="楷体_GB2312" w:eastAsia="楷体_GB2312" w:cs="楷体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lang w:val="en-US" w:eastAsia="zh-CN"/>
        </w:rPr>
      </w:pPr>
      <w:r>
        <w:rPr>
          <w:rFonts w:hint="eastAsia" w:ascii="楷体_GB2312" w:hAnsi="楷体_GB2312" w:eastAsia="楷体_GB2312" w:cs="楷体_GB2312"/>
          <w:b w:val="0"/>
          <w:bCs w:val="0"/>
          <w:color w:val="auto"/>
          <w:sz w:val="32"/>
          <w:szCs w:val="32"/>
          <w:lang w:val="en-US" w:eastAsia="zh-CN"/>
        </w:rPr>
        <w:t>（二）强化政策扶持。</w:t>
      </w:r>
      <w:r>
        <w:rPr>
          <w:rFonts w:hint="eastAsia" w:ascii="Times New Roman" w:hAnsi="Times New Roman" w:eastAsia="仿宋_GB2312"/>
          <w:color w:val="auto"/>
          <w:sz w:val="32"/>
          <w:lang w:val="en-US" w:eastAsia="zh-CN"/>
        </w:rPr>
        <w:t>整合电商产业发展基金、文旅基金及上级相关产业资金，设立现代服务业发展引导基金。配套制定促进现代服务业发展扶持办法，重点用于扶持现代服务业项目和企业。在符合土地利用总体规划和城乡建设规划情况下，对服务业重大项目、领军企业和集聚区，在建设用地计划指标、耕地占补平衡指标等方面予以倾斜。</w:t>
      </w:r>
      <w:r>
        <w:rPr>
          <w:rFonts w:hint="eastAsia" w:ascii="楷体_GB2312" w:hAnsi="楷体_GB2312" w:eastAsia="楷体_GB2312" w:cs="楷体_GB2312"/>
          <w:color w:val="auto"/>
          <w:sz w:val="32"/>
          <w:szCs w:val="32"/>
          <w:shd w:val="clear" w:color="auto" w:fill="auto"/>
        </w:rPr>
        <w:t>（责任单位：</w:t>
      </w:r>
      <w:r>
        <w:rPr>
          <w:rFonts w:hint="eastAsia" w:ascii="楷体_GB2312" w:hAnsi="楷体_GB2312" w:eastAsia="楷体_GB2312" w:cs="楷体_GB2312"/>
          <w:color w:val="auto"/>
          <w:sz w:val="32"/>
          <w:szCs w:val="32"/>
          <w:shd w:val="clear" w:color="auto" w:fill="auto"/>
          <w:lang w:eastAsia="zh-CN"/>
        </w:rPr>
        <w:t>县</w:t>
      </w:r>
      <w:r>
        <w:rPr>
          <w:rFonts w:hint="eastAsia" w:ascii="楷体_GB2312" w:hAnsi="楷体_GB2312" w:eastAsia="楷体_GB2312" w:cs="楷体_GB2312"/>
          <w:color w:val="auto"/>
          <w:sz w:val="32"/>
          <w:szCs w:val="32"/>
          <w:shd w:val="clear" w:color="auto" w:fill="auto"/>
        </w:rPr>
        <w:t>文旅广体局</w:t>
      </w:r>
      <w:r>
        <w:rPr>
          <w:rFonts w:hint="eastAsia" w:ascii="楷体_GB2312" w:hAnsi="楷体_GB2312" w:eastAsia="楷体_GB2312" w:cs="楷体_GB2312"/>
          <w:color w:val="auto"/>
          <w:sz w:val="32"/>
          <w:szCs w:val="32"/>
          <w:shd w:val="clear" w:color="auto" w:fill="auto"/>
          <w:lang w:eastAsia="zh-CN"/>
        </w:rPr>
        <w:t>、县发改</w:t>
      </w:r>
      <w:r>
        <w:rPr>
          <w:rFonts w:hint="eastAsia" w:ascii="楷体_GB2312" w:hAnsi="楷体_GB2312" w:eastAsia="楷体_GB2312" w:cs="楷体_GB2312"/>
          <w:color w:val="auto"/>
          <w:sz w:val="32"/>
          <w:szCs w:val="32"/>
          <w:shd w:val="clear" w:color="auto" w:fill="auto"/>
        </w:rPr>
        <w:t>局</w:t>
      </w:r>
      <w:r>
        <w:rPr>
          <w:rFonts w:hint="eastAsia" w:ascii="楷体_GB2312" w:hAnsi="楷体_GB2312" w:eastAsia="楷体_GB2312" w:cs="楷体_GB2312"/>
          <w:color w:val="auto"/>
          <w:sz w:val="32"/>
          <w:szCs w:val="32"/>
          <w:shd w:val="clear" w:color="auto" w:fill="auto"/>
          <w:lang w:eastAsia="zh-CN"/>
        </w:rPr>
        <w:t>、县自然资源局</w:t>
      </w:r>
      <w:r>
        <w:rPr>
          <w:rFonts w:hint="eastAsia" w:ascii="楷体_GB2312" w:hAnsi="楷体_GB2312" w:eastAsia="楷体_GB2312" w:cs="楷体_GB2312"/>
          <w:color w:val="auto"/>
          <w:sz w:val="32"/>
          <w:szCs w:val="32"/>
          <w:shd w:val="clear" w:color="auto" w:fill="auto"/>
        </w:rPr>
        <w:t>）</w:t>
      </w:r>
      <w:r>
        <w:rPr>
          <w:rFonts w:hint="eastAsia" w:ascii="楷体_GB2312" w:hAnsi="楷体_GB2312" w:eastAsia="楷体_GB2312" w:cs="楷体_GB2312"/>
          <w:color w:val="auto"/>
          <w:sz w:val="32"/>
          <w:lang w:val="en-US" w:eastAsia="zh-CN"/>
        </w:rPr>
        <w:t>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lang w:val="en-US" w:eastAsia="zh-CN"/>
        </w:rPr>
      </w:pPr>
      <w:r>
        <w:rPr>
          <w:rFonts w:hint="eastAsia" w:ascii="楷体_GB2312" w:hAnsi="楷体_GB2312" w:eastAsia="楷体_GB2312" w:cs="楷体_GB2312"/>
          <w:b w:val="0"/>
          <w:bCs w:val="0"/>
          <w:color w:val="auto"/>
          <w:sz w:val="32"/>
          <w:szCs w:val="21"/>
          <w:lang w:val="en-US" w:eastAsia="zh-CN"/>
        </w:rPr>
        <w:t>（三）完善统计监测。</w:t>
      </w:r>
      <w:r>
        <w:rPr>
          <w:rFonts w:hint="eastAsia" w:ascii="Times New Roman" w:hAnsi="Times New Roman" w:eastAsia="仿宋_GB2312"/>
          <w:color w:val="auto"/>
          <w:sz w:val="32"/>
          <w:lang w:val="en-US" w:eastAsia="zh-CN"/>
        </w:rPr>
        <w:t>全面整合服务业各部门的统计资源，探索建立服务业监测统计报表制度，推进服务业全行业统计，实现部门信息共享，加强服务业运行情况分析，定期发布相关统计信息和监测分析报告，抓实会商调度，狠抓交办落实。申请现代服务业项目和资金支持的企业原则上必须为“四上”企业或确保接受政策扶持后2年内入规，否则不得再申请政策扶持。</w:t>
      </w:r>
      <w:r>
        <w:rPr>
          <w:rFonts w:hint="eastAsia" w:ascii="楷体_GB2312" w:hAnsi="楷体_GB2312" w:eastAsia="楷体_GB2312" w:cs="楷体_GB2312"/>
          <w:color w:val="auto"/>
          <w:sz w:val="32"/>
          <w:szCs w:val="32"/>
          <w:shd w:val="clear" w:color="auto" w:fill="auto"/>
        </w:rPr>
        <w:t>（责任单位：</w:t>
      </w:r>
      <w:r>
        <w:rPr>
          <w:rFonts w:hint="eastAsia" w:ascii="楷体_GB2312" w:hAnsi="楷体_GB2312" w:eastAsia="楷体_GB2312" w:cs="楷体_GB2312"/>
          <w:color w:val="auto"/>
          <w:sz w:val="32"/>
          <w:szCs w:val="32"/>
          <w:shd w:val="clear" w:color="auto" w:fill="auto"/>
          <w:lang w:eastAsia="zh-CN"/>
        </w:rPr>
        <w:t>县统计</w:t>
      </w:r>
      <w:r>
        <w:rPr>
          <w:rFonts w:hint="eastAsia" w:ascii="楷体_GB2312" w:hAnsi="楷体_GB2312" w:eastAsia="楷体_GB2312" w:cs="楷体_GB2312"/>
          <w:color w:val="auto"/>
          <w:sz w:val="32"/>
          <w:szCs w:val="32"/>
          <w:shd w:val="clear" w:color="auto" w:fill="auto"/>
        </w:rPr>
        <w:t>局</w:t>
      </w:r>
      <w:r>
        <w:rPr>
          <w:rFonts w:hint="eastAsia" w:ascii="楷体_GB2312" w:hAnsi="楷体_GB2312" w:eastAsia="楷体_GB2312" w:cs="楷体_GB2312"/>
          <w:color w:val="auto"/>
          <w:sz w:val="32"/>
          <w:szCs w:val="32"/>
          <w:shd w:val="clear" w:color="auto" w:fill="auto"/>
          <w:lang w:eastAsia="zh-CN"/>
        </w:rPr>
        <w:t>、县发改</w:t>
      </w:r>
      <w:r>
        <w:rPr>
          <w:rFonts w:hint="eastAsia" w:ascii="楷体_GB2312" w:hAnsi="楷体_GB2312" w:eastAsia="楷体_GB2312" w:cs="楷体_GB2312"/>
          <w:color w:val="auto"/>
          <w:sz w:val="32"/>
          <w:szCs w:val="32"/>
          <w:shd w:val="clear" w:color="auto" w:fill="auto"/>
        </w:rPr>
        <w:t>局</w:t>
      </w:r>
      <w:r>
        <w:rPr>
          <w:rFonts w:hint="eastAsia" w:ascii="楷体_GB2312" w:hAnsi="楷体_GB2312" w:eastAsia="楷体_GB2312" w:cs="楷体_GB2312"/>
          <w:color w:val="auto"/>
          <w:sz w:val="32"/>
          <w:szCs w:val="32"/>
          <w:shd w:val="clear" w:color="auto" w:fill="auto"/>
          <w:lang w:eastAsia="zh-CN"/>
        </w:rPr>
        <w:t>、县科工局、县商务局、县文旅广体局、县财政局</w:t>
      </w:r>
      <w:r>
        <w:rPr>
          <w:rFonts w:hint="eastAsia" w:ascii="楷体_GB2312" w:hAnsi="楷体_GB2312" w:eastAsia="楷体_GB2312" w:cs="楷体_GB2312"/>
          <w:color w:val="auto"/>
          <w:sz w:val="32"/>
          <w:szCs w:val="32"/>
          <w:shd w:val="clear" w:color="auto" w:fill="auto"/>
        </w:rPr>
        <w:t>）</w:t>
      </w:r>
      <w:r>
        <w:rPr>
          <w:rFonts w:hint="eastAsia" w:ascii="楷体_GB2312" w:hAnsi="楷体_GB2312" w:eastAsia="楷体_GB2312" w:cs="楷体_GB2312"/>
          <w:color w:val="auto"/>
          <w:sz w:val="32"/>
          <w:lang w:val="en-US" w:eastAsia="zh-CN"/>
        </w:rPr>
        <w:t>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lang w:val="en-US" w:eastAsia="zh-CN"/>
        </w:rPr>
        <w:sectPr>
          <w:footerReference r:id="rId3" w:type="default"/>
          <w:pgSz w:w="11906" w:h="16838"/>
          <w:pgMar w:top="1440" w:right="1531" w:bottom="1440" w:left="1531" w:header="851" w:footer="992" w:gutter="0"/>
          <w:pgNumType w:fmt="numberInDash"/>
          <w:cols w:space="425" w:num="1"/>
          <w:docGrid w:type="lines" w:linePitch="312" w:charSpace="0"/>
        </w:sectPr>
      </w:pPr>
      <w:r>
        <w:rPr>
          <w:rFonts w:hint="eastAsia" w:ascii="楷体_GB2312" w:hAnsi="楷体_GB2312" w:eastAsia="楷体_GB2312" w:cs="楷体_GB2312"/>
          <w:b w:val="0"/>
          <w:bCs w:val="0"/>
          <w:color w:val="auto"/>
          <w:sz w:val="32"/>
          <w:szCs w:val="21"/>
          <w:lang w:val="en-US" w:eastAsia="zh-CN"/>
        </w:rPr>
        <w:t>（四）优化发展环境。</w:t>
      </w:r>
      <w:r>
        <w:rPr>
          <w:rFonts w:hint="eastAsia" w:ascii="Times New Roman" w:hAnsi="Times New Roman" w:eastAsia="仿宋_GB2312"/>
          <w:color w:val="auto"/>
          <w:sz w:val="32"/>
          <w:lang w:val="en-US" w:eastAsia="zh-CN"/>
        </w:rPr>
        <w:t>紧密结合“一件事改革”，推进服务业相关企业的注册、登记等手续办理提速，压减办理时间，简化办理流程，推进行政审批中介服务标准化建设，开展全程电子化商事登记。探索推进综合行政执法改革，建立健全跨部门、跨区域执法协作机制。完善服务市场信用体系建设，加强对失信行为的联合惩戒。</w:t>
      </w:r>
      <w:r>
        <w:rPr>
          <w:rFonts w:hint="eastAsia" w:ascii="楷体_GB2312" w:hAnsi="楷体_GB2312" w:eastAsia="楷体_GB2312" w:cs="楷体_GB2312"/>
          <w:color w:val="auto"/>
          <w:sz w:val="32"/>
          <w:szCs w:val="32"/>
          <w:shd w:val="clear" w:color="auto" w:fill="auto"/>
        </w:rPr>
        <w:t>（责任单位：</w:t>
      </w:r>
      <w:r>
        <w:rPr>
          <w:rFonts w:hint="eastAsia" w:ascii="楷体_GB2312" w:hAnsi="楷体_GB2312" w:eastAsia="楷体_GB2312" w:cs="楷体_GB2312"/>
          <w:color w:val="auto"/>
          <w:sz w:val="32"/>
          <w:szCs w:val="32"/>
          <w:shd w:val="clear" w:color="auto" w:fill="auto"/>
          <w:lang w:eastAsia="zh-CN"/>
        </w:rPr>
        <w:t>县行政审批服务局、县市监局、县发改</w:t>
      </w:r>
      <w:r>
        <w:rPr>
          <w:rFonts w:hint="eastAsia" w:ascii="楷体_GB2312" w:hAnsi="楷体_GB2312" w:eastAsia="楷体_GB2312" w:cs="楷体_GB2312"/>
          <w:color w:val="auto"/>
          <w:sz w:val="32"/>
          <w:szCs w:val="32"/>
          <w:shd w:val="clear" w:color="auto" w:fill="auto"/>
        </w:rPr>
        <w:t>局）</w:t>
      </w:r>
    </w:p>
    <w:p>
      <w:pPr>
        <w:spacing w:line="580" w:lineRule="exact"/>
        <w:rPr>
          <w:rFonts w:hint="default" w:ascii="仿宋_GB2312" w:hAnsi="仿宋_GB2312" w:cs="仿宋_GB2312"/>
          <w:color w:val="auto"/>
          <w:sz w:val="32"/>
          <w:szCs w:val="32"/>
          <w:shd w:val="clear" w:color="auto" w:fill="auto"/>
          <w:lang w:val="en"/>
        </w:rPr>
      </w:pPr>
      <w:r>
        <w:rPr>
          <w:rFonts w:hint="eastAsia" w:ascii="仿宋_GB2312" w:hAnsi="仿宋_GB2312" w:eastAsia="仿宋_GB2312" w:cs="仿宋_GB2312"/>
          <w:color w:val="auto"/>
          <w:sz w:val="32"/>
          <w:szCs w:val="32"/>
          <w:shd w:val="clear" w:color="auto" w:fill="auto"/>
        </w:rPr>
        <w:t>附件</w:t>
      </w:r>
      <w:r>
        <w:rPr>
          <w:rFonts w:hint="eastAsia" w:ascii="仿宋_GB2312" w:hAnsi="仿宋_GB2312" w:cs="仿宋_GB2312"/>
          <w:color w:val="auto"/>
          <w:sz w:val="32"/>
          <w:szCs w:val="32"/>
          <w:shd w:val="clear" w:color="auto" w:fill="auto"/>
          <w:lang w:val="en-US" w:eastAsia="zh-CN"/>
        </w:rPr>
        <w:t>1</w:t>
      </w:r>
      <w:r>
        <w:rPr>
          <w:rFonts w:hint="default" w:ascii="仿宋_GB2312" w:hAnsi="仿宋_GB2312" w:cs="仿宋_GB2312"/>
          <w:color w:val="auto"/>
          <w:sz w:val="32"/>
          <w:szCs w:val="32"/>
          <w:shd w:val="clear" w:color="auto" w:fill="auto"/>
          <w:lang w:val="en"/>
        </w:rPr>
        <w:t>:</w:t>
      </w:r>
    </w:p>
    <w:p>
      <w:pPr>
        <w:pStyle w:val="21"/>
        <w:rPr>
          <w:rFonts w:hint="eastAsia"/>
          <w:lang w:val="en-US" w:eastAsia="zh-CN"/>
        </w:rPr>
      </w:pPr>
    </w:p>
    <w:p>
      <w:pPr>
        <w:widowControl/>
        <w:spacing w:line="700" w:lineRule="exact"/>
        <w:jc w:val="center"/>
        <w:rPr>
          <w:rFonts w:hint="eastAsia" w:ascii="方正小标宋简体" w:hAnsi="方正小标宋简体" w:eastAsia="方正小标宋简体" w:cs="方正小标宋简体"/>
          <w:bCs/>
          <w:color w:val="auto"/>
          <w:kern w:val="0"/>
          <w:sz w:val="44"/>
          <w:szCs w:val="44"/>
          <w:shd w:val="clear" w:color="auto" w:fill="auto"/>
          <w:lang w:val="en-US" w:eastAsia="zh-CN"/>
        </w:rPr>
      </w:pPr>
      <w:r>
        <w:rPr>
          <w:rFonts w:hint="eastAsia" w:ascii="方正小标宋简体" w:hAnsi="方正小标宋简体" w:eastAsia="方正小标宋简体" w:cs="方正小标宋简体"/>
          <w:bCs/>
          <w:color w:val="auto"/>
          <w:kern w:val="0"/>
          <w:sz w:val="44"/>
          <w:szCs w:val="44"/>
          <w:shd w:val="clear" w:color="auto" w:fill="auto"/>
          <w:lang w:val="en-US" w:eastAsia="zh-CN"/>
        </w:rPr>
        <w:t>截止2024年3月在库规上服务业企业统计表</w:t>
      </w:r>
    </w:p>
    <w:tbl>
      <w:tblPr>
        <w:tblStyle w:val="14"/>
        <w:tblpPr w:leftFromText="180" w:rightFromText="180" w:vertAnchor="text" w:horzAnchor="page" w:tblpX="1660" w:tblpY="749"/>
        <w:tblOverlap w:val="never"/>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5640"/>
        <w:gridCol w:w="2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exact"/>
          <w:tblHeader/>
        </w:trPr>
        <w:tc>
          <w:tcPr>
            <w:tcW w:w="960"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color w:val="auto"/>
                <w:vertAlign w:val="baseline"/>
                <w:lang w:val="en-US" w:eastAsia="zh-CN"/>
              </w:rPr>
            </w:pPr>
            <w:r>
              <w:rPr>
                <w:rFonts w:hint="eastAsia" w:ascii="仿宋_GB2312" w:hAnsi="仿宋_GB2312" w:cs="仿宋_GB2312"/>
                <w:b/>
                <w:bCs/>
                <w:color w:val="auto"/>
                <w:kern w:val="0"/>
                <w:sz w:val="28"/>
                <w:szCs w:val="28"/>
                <w:lang w:eastAsia="zh-CN"/>
              </w:rPr>
              <w:t>序号</w:t>
            </w:r>
          </w:p>
        </w:tc>
        <w:tc>
          <w:tcPr>
            <w:tcW w:w="5640"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color w:val="auto"/>
                <w:vertAlign w:val="baseline"/>
                <w:lang w:val="en-US" w:eastAsia="zh-CN"/>
              </w:rPr>
            </w:pPr>
            <w:r>
              <w:rPr>
                <w:rFonts w:hint="eastAsia" w:ascii="仿宋_GB2312" w:hAnsi="仿宋_GB2312" w:cs="仿宋_GB2312"/>
                <w:b/>
                <w:bCs/>
                <w:color w:val="auto"/>
                <w:kern w:val="0"/>
                <w:sz w:val="28"/>
                <w:szCs w:val="28"/>
                <w:lang w:eastAsia="zh-CN"/>
              </w:rPr>
              <w:t>服务业企业</w:t>
            </w:r>
          </w:p>
        </w:tc>
        <w:tc>
          <w:tcPr>
            <w:tcW w:w="2280"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color w:val="auto"/>
                <w:vertAlign w:val="baseline"/>
                <w:lang w:val="en-US" w:eastAsia="zh-CN"/>
              </w:rPr>
            </w:pPr>
            <w:r>
              <w:rPr>
                <w:rFonts w:hint="eastAsia" w:ascii="仿宋_GB2312" w:hAnsi="仿宋_GB2312" w:cs="仿宋_GB2312"/>
                <w:b/>
                <w:bCs/>
                <w:color w:val="auto"/>
                <w:kern w:val="0"/>
                <w:sz w:val="28"/>
                <w:szCs w:val="28"/>
                <w:lang w:val="en-US" w:eastAsia="zh-CN"/>
              </w:rPr>
              <w:t>主管单位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960"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bottom"/>
              <w:rPr>
                <w:rFonts w:hint="eastAsia"/>
                <w:color w:val="auto"/>
                <w:vertAlign w:val="baseline"/>
                <w:lang w:val="en-US" w:eastAsia="zh-CN"/>
              </w:rPr>
            </w:pPr>
            <w:r>
              <w:rPr>
                <w:rFonts w:hint="eastAsia" w:ascii="宋体" w:hAnsi="宋体" w:eastAsia="宋体" w:cs="宋体"/>
                <w:i w:val="0"/>
                <w:iCs w:val="0"/>
                <w:color w:val="auto"/>
                <w:kern w:val="0"/>
                <w:sz w:val="28"/>
                <w:szCs w:val="28"/>
                <w:u w:val="none"/>
                <w:lang w:val="en-US" w:eastAsia="zh-CN" w:bidi="ar"/>
              </w:rPr>
              <w:t>1</w:t>
            </w:r>
          </w:p>
        </w:tc>
        <w:tc>
          <w:tcPr>
            <w:tcW w:w="5640" w:type="dxa"/>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bottom"/>
              <w:rPr>
                <w:rFonts w:hint="eastAsia"/>
                <w:color w:val="auto"/>
                <w:vertAlign w:val="baseline"/>
                <w:lang w:val="en-US" w:eastAsia="zh-CN"/>
              </w:rPr>
            </w:pPr>
            <w:r>
              <w:rPr>
                <w:rFonts w:hint="eastAsia" w:ascii="宋体" w:hAnsi="宋体" w:eastAsia="宋体" w:cs="宋体"/>
                <w:i w:val="0"/>
                <w:iCs w:val="0"/>
                <w:color w:val="auto"/>
                <w:kern w:val="0"/>
                <w:sz w:val="28"/>
                <w:szCs w:val="28"/>
                <w:u w:val="none"/>
                <w:lang w:val="en-US" w:eastAsia="zh-CN" w:bidi="ar"/>
              </w:rPr>
              <w:t>安化梅山文化生态园旅游开发有限责任公司</w:t>
            </w:r>
          </w:p>
        </w:tc>
        <w:tc>
          <w:tcPr>
            <w:tcW w:w="2280"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color w:val="auto"/>
                <w:vertAlign w:val="baseline"/>
                <w:lang w:val="en-US" w:eastAsia="zh-CN"/>
              </w:rPr>
            </w:pPr>
            <w:r>
              <w:rPr>
                <w:rFonts w:hint="eastAsia" w:ascii="仿宋_GB2312" w:hAnsi="仿宋_GB2312" w:cs="仿宋_GB2312"/>
                <w:color w:val="auto"/>
                <w:kern w:val="0"/>
                <w:sz w:val="28"/>
                <w:szCs w:val="28"/>
                <w:lang w:eastAsia="zh-CN"/>
              </w:rPr>
              <w:t>县文旅广体局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960"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bottom"/>
              <w:rPr>
                <w:rFonts w:hint="eastAsia"/>
                <w:color w:val="auto"/>
                <w:vertAlign w:val="baseline"/>
                <w:lang w:val="en-US" w:eastAsia="zh-CN"/>
              </w:rPr>
            </w:pPr>
            <w:r>
              <w:rPr>
                <w:rFonts w:hint="eastAsia" w:ascii="宋体" w:hAnsi="宋体" w:eastAsia="宋体" w:cs="宋体"/>
                <w:i w:val="0"/>
                <w:iCs w:val="0"/>
                <w:color w:val="auto"/>
                <w:kern w:val="0"/>
                <w:sz w:val="28"/>
                <w:szCs w:val="28"/>
                <w:u w:val="none"/>
                <w:lang w:val="en-US" w:eastAsia="zh-CN" w:bidi="ar"/>
              </w:rPr>
              <w:t>2</w:t>
            </w:r>
          </w:p>
        </w:tc>
        <w:tc>
          <w:tcPr>
            <w:tcW w:w="5640" w:type="dxa"/>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bottom"/>
              <w:rPr>
                <w:rFonts w:hint="eastAsia"/>
                <w:color w:val="auto"/>
                <w:vertAlign w:val="baseline"/>
                <w:lang w:val="en-US" w:eastAsia="zh-CN"/>
              </w:rPr>
            </w:pPr>
            <w:r>
              <w:rPr>
                <w:rFonts w:hint="eastAsia" w:ascii="宋体" w:hAnsi="宋体" w:eastAsia="宋体" w:cs="宋体"/>
                <w:i w:val="0"/>
                <w:iCs w:val="0"/>
                <w:color w:val="auto"/>
                <w:kern w:val="0"/>
                <w:sz w:val="28"/>
                <w:szCs w:val="28"/>
                <w:u w:val="none"/>
                <w:lang w:val="en-US" w:eastAsia="zh-CN" w:bidi="ar"/>
              </w:rPr>
              <w:t>安化万福山旅游开发有限公司</w:t>
            </w:r>
          </w:p>
        </w:tc>
        <w:tc>
          <w:tcPr>
            <w:tcW w:w="2280"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color w:val="auto"/>
                <w:vertAlign w:val="baseline"/>
                <w:lang w:val="en-US" w:eastAsia="zh-CN"/>
              </w:rPr>
            </w:pPr>
            <w:r>
              <w:rPr>
                <w:rFonts w:hint="eastAsia" w:ascii="仿宋_GB2312" w:hAnsi="仿宋_GB2312" w:cs="仿宋_GB2312"/>
                <w:color w:val="auto"/>
                <w:kern w:val="0"/>
                <w:sz w:val="28"/>
                <w:szCs w:val="28"/>
                <w:lang w:eastAsia="zh-CN"/>
              </w:rPr>
              <w:t>县文旅广体局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960"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bottom"/>
              <w:rPr>
                <w:rFonts w:hint="eastAsia"/>
                <w:color w:val="auto"/>
                <w:vertAlign w:val="baseline"/>
                <w:lang w:val="en-US" w:eastAsia="zh-CN"/>
              </w:rPr>
            </w:pPr>
            <w:r>
              <w:rPr>
                <w:rFonts w:hint="eastAsia" w:ascii="宋体" w:hAnsi="宋体" w:eastAsia="宋体" w:cs="宋体"/>
                <w:i w:val="0"/>
                <w:iCs w:val="0"/>
                <w:color w:val="auto"/>
                <w:kern w:val="0"/>
                <w:sz w:val="28"/>
                <w:szCs w:val="28"/>
                <w:u w:val="none"/>
                <w:lang w:val="en-US" w:eastAsia="zh-CN" w:bidi="ar"/>
              </w:rPr>
              <w:t>3</w:t>
            </w:r>
          </w:p>
        </w:tc>
        <w:tc>
          <w:tcPr>
            <w:tcW w:w="5640" w:type="dxa"/>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bottom"/>
              <w:rPr>
                <w:rFonts w:hint="eastAsia"/>
                <w:color w:val="auto"/>
                <w:vertAlign w:val="baseline"/>
                <w:lang w:val="en-US" w:eastAsia="zh-CN"/>
              </w:rPr>
            </w:pPr>
            <w:r>
              <w:rPr>
                <w:rFonts w:hint="eastAsia" w:ascii="宋体" w:hAnsi="宋体" w:eastAsia="宋体" w:cs="宋体"/>
                <w:i w:val="0"/>
                <w:iCs w:val="0"/>
                <w:color w:val="auto"/>
                <w:kern w:val="0"/>
                <w:sz w:val="28"/>
                <w:szCs w:val="28"/>
                <w:u w:val="none"/>
                <w:lang w:val="en-US" w:eastAsia="zh-CN" w:bidi="ar"/>
              </w:rPr>
              <w:t>安化云台崖茶文化传播有限公司</w:t>
            </w:r>
          </w:p>
        </w:tc>
        <w:tc>
          <w:tcPr>
            <w:tcW w:w="2280"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color w:val="auto"/>
                <w:vertAlign w:val="baseline"/>
                <w:lang w:val="en-US" w:eastAsia="zh-CN"/>
              </w:rPr>
            </w:pPr>
            <w:r>
              <w:rPr>
                <w:rFonts w:hint="eastAsia" w:ascii="仿宋_GB2312" w:hAnsi="仿宋_GB2312" w:cs="仿宋_GB2312"/>
                <w:color w:val="auto"/>
                <w:kern w:val="0"/>
                <w:sz w:val="28"/>
                <w:szCs w:val="28"/>
                <w:lang w:eastAsia="zh-CN"/>
              </w:rPr>
              <w:t>县文旅广体局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960"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bottom"/>
              <w:rPr>
                <w:rFonts w:hint="eastAsia"/>
                <w:color w:val="auto"/>
                <w:vertAlign w:val="baseline"/>
                <w:lang w:val="en-US" w:eastAsia="zh-CN"/>
              </w:rPr>
            </w:pPr>
            <w:r>
              <w:rPr>
                <w:rFonts w:hint="eastAsia" w:ascii="宋体" w:hAnsi="宋体" w:eastAsia="宋体" w:cs="宋体"/>
                <w:i w:val="0"/>
                <w:iCs w:val="0"/>
                <w:color w:val="auto"/>
                <w:kern w:val="0"/>
                <w:sz w:val="28"/>
                <w:szCs w:val="28"/>
                <w:u w:val="none"/>
                <w:lang w:val="en-US" w:eastAsia="zh-CN" w:bidi="ar"/>
              </w:rPr>
              <w:t>4</w:t>
            </w:r>
          </w:p>
        </w:tc>
        <w:tc>
          <w:tcPr>
            <w:tcW w:w="5640" w:type="dxa"/>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bottom"/>
              <w:rPr>
                <w:rFonts w:hint="eastAsia"/>
                <w:color w:val="auto"/>
                <w:vertAlign w:val="baseline"/>
                <w:lang w:val="en-US" w:eastAsia="zh-CN"/>
              </w:rPr>
            </w:pPr>
            <w:r>
              <w:rPr>
                <w:rFonts w:hint="eastAsia" w:ascii="宋体" w:hAnsi="宋体" w:eastAsia="宋体" w:cs="宋体"/>
                <w:i w:val="0"/>
                <w:iCs w:val="0"/>
                <w:color w:val="auto"/>
                <w:kern w:val="0"/>
                <w:sz w:val="28"/>
                <w:szCs w:val="28"/>
                <w:u w:val="none"/>
                <w:lang w:val="en-US" w:eastAsia="zh-CN" w:bidi="ar"/>
              </w:rPr>
              <w:t>安化县祖师界生态文化旅游开发有限公司</w:t>
            </w:r>
          </w:p>
        </w:tc>
        <w:tc>
          <w:tcPr>
            <w:tcW w:w="2280"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color w:val="auto"/>
                <w:vertAlign w:val="baseline"/>
                <w:lang w:val="en-US" w:eastAsia="zh-CN"/>
              </w:rPr>
            </w:pPr>
            <w:r>
              <w:rPr>
                <w:rFonts w:hint="eastAsia" w:ascii="仿宋_GB2312" w:hAnsi="仿宋_GB2312" w:cs="仿宋_GB2312"/>
                <w:color w:val="auto"/>
                <w:kern w:val="0"/>
                <w:sz w:val="28"/>
                <w:szCs w:val="28"/>
                <w:lang w:eastAsia="zh-CN"/>
              </w:rPr>
              <w:t>县文旅广体局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960"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bottom"/>
              <w:rPr>
                <w:rFonts w:hint="eastAsia"/>
                <w:color w:val="auto"/>
                <w:vertAlign w:val="baseline"/>
                <w:lang w:val="en-US" w:eastAsia="zh-CN"/>
              </w:rPr>
            </w:pPr>
            <w:r>
              <w:rPr>
                <w:rFonts w:hint="eastAsia" w:ascii="宋体" w:hAnsi="宋体" w:eastAsia="宋体" w:cs="宋体"/>
                <w:i w:val="0"/>
                <w:iCs w:val="0"/>
                <w:color w:val="auto"/>
                <w:kern w:val="0"/>
                <w:sz w:val="28"/>
                <w:szCs w:val="28"/>
                <w:u w:val="none"/>
                <w:lang w:val="en-US" w:eastAsia="zh-CN" w:bidi="ar"/>
              </w:rPr>
              <w:t>5</w:t>
            </w:r>
          </w:p>
        </w:tc>
        <w:tc>
          <w:tcPr>
            <w:tcW w:w="5640" w:type="dxa"/>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bottom"/>
              <w:rPr>
                <w:rFonts w:hint="eastAsia"/>
                <w:color w:val="auto"/>
                <w:vertAlign w:val="baseline"/>
                <w:lang w:val="en-US" w:eastAsia="zh-CN"/>
              </w:rPr>
            </w:pPr>
            <w:r>
              <w:rPr>
                <w:rFonts w:hint="eastAsia" w:ascii="宋体" w:hAnsi="宋体" w:eastAsia="宋体" w:cs="宋体"/>
                <w:i w:val="0"/>
                <w:iCs w:val="0"/>
                <w:color w:val="auto"/>
                <w:kern w:val="0"/>
                <w:sz w:val="28"/>
                <w:szCs w:val="28"/>
                <w:u w:val="none"/>
                <w:lang w:val="en-US" w:eastAsia="zh-CN" w:bidi="ar"/>
              </w:rPr>
              <w:t>安化县广播电视网络有限公司</w:t>
            </w:r>
          </w:p>
        </w:tc>
        <w:tc>
          <w:tcPr>
            <w:tcW w:w="2280"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color w:val="auto"/>
                <w:vertAlign w:val="baseline"/>
                <w:lang w:val="en-US" w:eastAsia="zh-CN"/>
              </w:rPr>
            </w:pPr>
            <w:r>
              <w:rPr>
                <w:rFonts w:hint="eastAsia" w:ascii="仿宋_GB2312" w:hAnsi="仿宋_GB2312" w:cs="仿宋_GB2312"/>
                <w:color w:val="auto"/>
                <w:kern w:val="0"/>
                <w:sz w:val="28"/>
                <w:szCs w:val="28"/>
                <w:lang w:eastAsia="zh-CN"/>
              </w:rPr>
              <w:t>县文旅广体局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960"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bottom"/>
              <w:rPr>
                <w:rFonts w:hint="eastAsia"/>
                <w:color w:val="auto"/>
                <w:vertAlign w:val="baseline"/>
                <w:lang w:val="en-US" w:eastAsia="zh-CN"/>
              </w:rPr>
            </w:pPr>
            <w:r>
              <w:rPr>
                <w:rFonts w:hint="eastAsia" w:ascii="宋体" w:hAnsi="宋体" w:eastAsia="宋体" w:cs="宋体"/>
                <w:i w:val="0"/>
                <w:iCs w:val="0"/>
                <w:color w:val="auto"/>
                <w:kern w:val="0"/>
                <w:sz w:val="28"/>
                <w:szCs w:val="28"/>
                <w:u w:val="none"/>
                <w:lang w:val="en-US" w:eastAsia="zh-CN" w:bidi="ar"/>
              </w:rPr>
              <w:t>6</w:t>
            </w:r>
          </w:p>
        </w:tc>
        <w:tc>
          <w:tcPr>
            <w:tcW w:w="5640" w:type="dxa"/>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bottom"/>
              <w:rPr>
                <w:rFonts w:hint="eastAsia"/>
                <w:color w:val="auto"/>
                <w:vertAlign w:val="baseline"/>
                <w:lang w:val="en-US" w:eastAsia="zh-CN"/>
              </w:rPr>
            </w:pPr>
            <w:r>
              <w:rPr>
                <w:rFonts w:hint="eastAsia" w:ascii="宋体" w:hAnsi="宋体" w:eastAsia="宋体" w:cs="宋体"/>
                <w:i w:val="0"/>
                <w:iCs w:val="0"/>
                <w:color w:val="auto"/>
                <w:kern w:val="0"/>
                <w:sz w:val="28"/>
                <w:szCs w:val="28"/>
                <w:u w:val="none"/>
                <w:lang w:val="en-US" w:eastAsia="zh-CN" w:bidi="ar"/>
              </w:rPr>
              <w:t>安化县广电传媒有限责任公司</w:t>
            </w:r>
          </w:p>
        </w:tc>
        <w:tc>
          <w:tcPr>
            <w:tcW w:w="2280"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color w:val="auto"/>
                <w:vertAlign w:val="baseline"/>
                <w:lang w:val="en-US" w:eastAsia="zh-CN"/>
              </w:rPr>
            </w:pPr>
            <w:r>
              <w:rPr>
                <w:rFonts w:hint="eastAsia" w:ascii="仿宋_GB2312" w:hAnsi="仿宋_GB2312" w:cs="仿宋_GB2312"/>
                <w:color w:val="auto"/>
                <w:kern w:val="0"/>
                <w:sz w:val="28"/>
                <w:szCs w:val="28"/>
                <w:lang w:eastAsia="zh-CN"/>
              </w:rPr>
              <w:t>县文旅广体局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960"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bottom"/>
              <w:rPr>
                <w:rFonts w:hint="eastAsia"/>
                <w:color w:val="auto"/>
                <w:vertAlign w:val="baseline"/>
                <w:lang w:val="en-US" w:eastAsia="zh-CN"/>
              </w:rPr>
            </w:pPr>
            <w:r>
              <w:rPr>
                <w:rFonts w:hint="eastAsia" w:ascii="宋体" w:hAnsi="宋体" w:eastAsia="宋体" w:cs="宋体"/>
                <w:i w:val="0"/>
                <w:iCs w:val="0"/>
                <w:color w:val="auto"/>
                <w:kern w:val="0"/>
                <w:sz w:val="28"/>
                <w:szCs w:val="28"/>
                <w:u w:val="none"/>
                <w:lang w:val="en-US" w:eastAsia="zh-CN" w:bidi="ar"/>
              </w:rPr>
              <w:t>7</w:t>
            </w:r>
          </w:p>
        </w:tc>
        <w:tc>
          <w:tcPr>
            <w:tcW w:w="5640" w:type="dxa"/>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bottom"/>
              <w:rPr>
                <w:rFonts w:hint="eastAsia"/>
                <w:color w:val="auto"/>
                <w:vertAlign w:val="baseline"/>
                <w:lang w:val="en-US" w:eastAsia="zh-CN"/>
              </w:rPr>
            </w:pPr>
            <w:r>
              <w:rPr>
                <w:rFonts w:hint="eastAsia" w:ascii="宋体" w:hAnsi="宋体" w:eastAsia="宋体" w:cs="宋体"/>
                <w:i w:val="0"/>
                <w:iCs w:val="0"/>
                <w:color w:val="auto"/>
                <w:kern w:val="0"/>
                <w:sz w:val="28"/>
                <w:szCs w:val="28"/>
                <w:u w:val="none"/>
                <w:lang w:val="en-US" w:eastAsia="zh-CN" w:bidi="ar"/>
              </w:rPr>
              <w:t>安化县电影发行放映公司</w:t>
            </w:r>
          </w:p>
        </w:tc>
        <w:tc>
          <w:tcPr>
            <w:tcW w:w="2280"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color w:val="auto"/>
                <w:vertAlign w:val="baseline"/>
                <w:lang w:val="en-US" w:eastAsia="zh-CN"/>
              </w:rPr>
            </w:pPr>
            <w:r>
              <w:rPr>
                <w:rFonts w:hint="eastAsia" w:ascii="仿宋_GB2312" w:hAnsi="仿宋_GB2312" w:cs="仿宋_GB2312"/>
                <w:color w:val="auto"/>
                <w:kern w:val="0"/>
                <w:sz w:val="28"/>
                <w:szCs w:val="28"/>
                <w:lang w:eastAsia="zh-CN"/>
              </w:rPr>
              <w:t>县文旅广体局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960"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bottom"/>
              <w:rPr>
                <w:rFonts w:hint="eastAsia"/>
                <w:color w:val="auto"/>
                <w:vertAlign w:val="baseline"/>
                <w:lang w:val="en-US" w:eastAsia="zh-CN"/>
              </w:rPr>
            </w:pPr>
            <w:r>
              <w:rPr>
                <w:rFonts w:hint="eastAsia" w:ascii="宋体" w:hAnsi="宋体" w:eastAsia="宋体" w:cs="宋体"/>
                <w:i w:val="0"/>
                <w:iCs w:val="0"/>
                <w:color w:val="auto"/>
                <w:kern w:val="0"/>
                <w:sz w:val="28"/>
                <w:szCs w:val="28"/>
                <w:u w:val="none"/>
                <w:lang w:val="en-US" w:eastAsia="zh-CN" w:bidi="ar"/>
              </w:rPr>
              <w:t>8</w:t>
            </w:r>
          </w:p>
        </w:tc>
        <w:tc>
          <w:tcPr>
            <w:tcW w:w="5640" w:type="dxa"/>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bottom"/>
              <w:rPr>
                <w:rFonts w:hint="eastAsia"/>
                <w:color w:val="auto"/>
                <w:vertAlign w:val="baseline"/>
                <w:lang w:val="en-US" w:eastAsia="zh-CN"/>
              </w:rPr>
            </w:pPr>
            <w:r>
              <w:rPr>
                <w:rFonts w:hint="eastAsia" w:ascii="宋体" w:hAnsi="宋体" w:eastAsia="宋体" w:cs="宋体"/>
                <w:i w:val="0"/>
                <w:iCs w:val="0"/>
                <w:color w:val="auto"/>
                <w:kern w:val="0"/>
                <w:sz w:val="28"/>
                <w:szCs w:val="28"/>
                <w:u w:val="none"/>
                <w:lang w:val="en-US" w:eastAsia="zh-CN" w:bidi="ar"/>
              </w:rPr>
              <w:t>湖南有线安化网络有限公司</w:t>
            </w:r>
          </w:p>
        </w:tc>
        <w:tc>
          <w:tcPr>
            <w:tcW w:w="2280"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color w:val="auto"/>
                <w:vertAlign w:val="baseline"/>
                <w:lang w:val="en-US" w:eastAsia="zh-CN"/>
              </w:rPr>
            </w:pPr>
            <w:r>
              <w:rPr>
                <w:rFonts w:hint="eastAsia" w:ascii="仿宋_GB2312" w:hAnsi="仿宋_GB2312" w:cs="仿宋_GB2312"/>
                <w:color w:val="auto"/>
                <w:kern w:val="0"/>
                <w:sz w:val="28"/>
                <w:szCs w:val="28"/>
                <w:lang w:eastAsia="zh-CN"/>
              </w:rPr>
              <w:t>县文旅广体局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960"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bottom"/>
              <w:rPr>
                <w:rFonts w:hint="eastAsia"/>
                <w:color w:val="auto"/>
                <w:vertAlign w:val="baseline"/>
                <w:lang w:val="en-US" w:eastAsia="zh-CN"/>
              </w:rPr>
            </w:pPr>
            <w:r>
              <w:rPr>
                <w:rFonts w:hint="eastAsia" w:ascii="宋体" w:hAnsi="宋体" w:eastAsia="宋体" w:cs="宋体"/>
                <w:i w:val="0"/>
                <w:iCs w:val="0"/>
                <w:color w:val="auto"/>
                <w:kern w:val="0"/>
                <w:sz w:val="28"/>
                <w:szCs w:val="28"/>
                <w:u w:val="none"/>
                <w:lang w:val="en-US" w:eastAsia="zh-CN" w:bidi="ar"/>
              </w:rPr>
              <w:t>9</w:t>
            </w:r>
          </w:p>
        </w:tc>
        <w:tc>
          <w:tcPr>
            <w:tcW w:w="5640" w:type="dxa"/>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bottom"/>
              <w:rPr>
                <w:rFonts w:hint="eastAsia"/>
                <w:color w:val="auto"/>
                <w:vertAlign w:val="baseline"/>
                <w:lang w:val="en-US" w:eastAsia="zh-CN"/>
              </w:rPr>
            </w:pPr>
            <w:r>
              <w:rPr>
                <w:rFonts w:hint="eastAsia" w:ascii="宋体" w:hAnsi="宋体" w:eastAsia="宋体" w:cs="宋体"/>
                <w:i w:val="0"/>
                <w:iCs w:val="0"/>
                <w:color w:val="auto"/>
                <w:kern w:val="0"/>
                <w:sz w:val="28"/>
                <w:szCs w:val="28"/>
                <w:u w:val="none"/>
                <w:lang w:val="en-US" w:eastAsia="zh-CN" w:bidi="ar"/>
              </w:rPr>
              <w:t>安化县茶乡花海生态文化体验园有限公司</w:t>
            </w:r>
          </w:p>
        </w:tc>
        <w:tc>
          <w:tcPr>
            <w:tcW w:w="2280"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color w:val="auto"/>
                <w:vertAlign w:val="baseline"/>
                <w:lang w:val="en-US" w:eastAsia="zh-CN"/>
              </w:rPr>
            </w:pPr>
            <w:r>
              <w:rPr>
                <w:rFonts w:hint="eastAsia" w:ascii="仿宋_GB2312" w:hAnsi="仿宋_GB2312" w:cs="仿宋_GB2312"/>
                <w:color w:val="auto"/>
                <w:kern w:val="0"/>
                <w:sz w:val="28"/>
                <w:szCs w:val="28"/>
                <w:lang w:eastAsia="zh-CN"/>
              </w:rPr>
              <w:t>县文旅广体局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960"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bottom"/>
              <w:rPr>
                <w:rFonts w:hint="eastAsia"/>
                <w:color w:val="auto"/>
                <w:vertAlign w:val="baseline"/>
                <w:lang w:val="en-US" w:eastAsia="zh-CN"/>
              </w:rPr>
            </w:pPr>
            <w:r>
              <w:rPr>
                <w:rFonts w:hint="eastAsia" w:ascii="宋体" w:hAnsi="宋体" w:eastAsia="宋体" w:cs="宋体"/>
                <w:i w:val="0"/>
                <w:iCs w:val="0"/>
                <w:color w:val="auto"/>
                <w:kern w:val="0"/>
                <w:sz w:val="28"/>
                <w:szCs w:val="28"/>
                <w:u w:val="none"/>
                <w:lang w:val="en-US" w:eastAsia="zh-CN" w:bidi="ar"/>
              </w:rPr>
              <w:t>10</w:t>
            </w:r>
          </w:p>
        </w:tc>
        <w:tc>
          <w:tcPr>
            <w:tcW w:w="5640" w:type="dxa"/>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bottom"/>
              <w:rPr>
                <w:rFonts w:hint="eastAsia"/>
                <w:color w:val="auto"/>
                <w:vertAlign w:val="baseline"/>
                <w:lang w:val="en-US" w:eastAsia="zh-CN"/>
              </w:rPr>
            </w:pPr>
            <w:r>
              <w:rPr>
                <w:rFonts w:hint="eastAsia" w:ascii="宋体" w:hAnsi="宋体" w:eastAsia="宋体" w:cs="宋体"/>
                <w:i w:val="0"/>
                <w:iCs w:val="0"/>
                <w:color w:val="auto"/>
                <w:kern w:val="0"/>
                <w:sz w:val="28"/>
                <w:szCs w:val="28"/>
                <w:u w:val="none"/>
                <w:lang w:val="en-US" w:eastAsia="zh-CN" w:bidi="ar"/>
              </w:rPr>
              <w:t>湖南省艺林广告装饰有限公司</w:t>
            </w:r>
          </w:p>
        </w:tc>
        <w:tc>
          <w:tcPr>
            <w:tcW w:w="2280"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color w:val="auto"/>
                <w:vertAlign w:val="baseline"/>
                <w:lang w:val="en-US" w:eastAsia="zh-CN"/>
              </w:rPr>
            </w:pPr>
            <w:r>
              <w:rPr>
                <w:rFonts w:hint="eastAsia" w:ascii="仿宋_GB2312" w:hAnsi="仿宋_GB2312" w:cs="仿宋_GB2312"/>
                <w:color w:val="auto"/>
                <w:kern w:val="0"/>
                <w:sz w:val="28"/>
                <w:szCs w:val="28"/>
                <w:lang w:eastAsia="zh-CN"/>
              </w:rPr>
              <w:t>县文旅广体局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960"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bottom"/>
              <w:rPr>
                <w:rFonts w:hint="eastAsia"/>
                <w:color w:val="auto"/>
                <w:vertAlign w:val="baseline"/>
                <w:lang w:val="en-US" w:eastAsia="zh-CN"/>
              </w:rPr>
            </w:pPr>
            <w:r>
              <w:rPr>
                <w:rFonts w:hint="eastAsia" w:ascii="宋体" w:hAnsi="宋体" w:eastAsia="宋体" w:cs="宋体"/>
                <w:i w:val="0"/>
                <w:iCs w:val="0"/>
                <w:color w:val="auto"/>
                <w:kern w:val="0"/>
                <w:sz w:val="28"/>
                <w:szCs w:val="28"/>
                <w:u w:val="none"/>
                <w:lang w:val="en-US" w:eastAsia="zh-CN" w:bidi="ar"/>
              </w:rPr>
              <w:t>11</w:t>
            </w:r>
          </w:p>
        </w:tc>
        <w:tc>
          <w:tcPr>
            <w:tcW w:w="5640" w:type="dxa"/>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bottom"/>
              <w:rPr>
                <w:rFonts w:hint="eastAsia"/>
                <w:color w:val="auto"/>
                <w:vertAlign w:val="baseline"/>
                <w:lang w:val="en-US" w:eastAsia="zh-CN"/>
              </w:rPr>
            </w:pPr>
            <w:r>
              <w:rPr>
                <w:rFonts w:hint="eastAsia" w:ascii="宋体" w:hAnsi="宋体" w:eastAsia="宋体" w:cs="宋体"/>
                <w:i w:val="0"/>
                <w:iCs w:val="0"/>
                <w:color w:val="auto"/>
                <w:kern w:val="0"/>
                <w:sz w:val="28"/>
                <w:szCs w:val="28"/>
                <w:u w:val="none"/>
                <w:lang w:val="en-US" w:eastAsia="zh-CN" w:bidi="ar"/>
              </w:rPr>
              <w:t>安化全域旅游开发有限责任公司</w:t>
            </w:r>
          </w:p>
        </w:tc>
        <w:tc>
          <w:tcPr>
            <w:tcW w:w="2280"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color w:val="auto"/>
                <w:vertAlign w:val="baseline"/>
                <w:lang w:val="en-US" w:eastAsia="zh-CN"/>
              </w:rPr>
            </w:pPr>
            <w:r>
              <w:rPr>
                <w:rFonts w:hint="eastAsia" w:ascii="仿宋_GB2312" w:hAnsi="仿宋_GB2312" w:cs="仿宋_GB2312"/>
                <w:color w:val="auto"/>
                <w:kern w:val="0"/>
                <w:sz w:val="28"/>
                <w:szCs w:val="28"/>
                <w:lang w:eastAsia="zh-CN"/>
              </w:rPr>
              <w:t>县文旅广体局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960"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bottom"/>
              <w:rPr>
                <w:rFonts w:hint="eastAsia"/>
                <w:color w:val="auto"/>
                <w:vertAlign w:val="baseline"/>
                <w:lang w:val="en-US" w:eastAsia="zh-CN"/>
              </w:rPr>
            </w:pPr>
            <w:r>
              <w:rPr>
                <w:rFonts w:hint="eastAsia" w:ascii="宋体" w:hAnsi="宋体" w:eastAsia="宋体" w:cs="宋体"/>
                <w:i w:val="0"/>
                <w:iCs w:val="0"/>
                <w:color w:val="auto"/>
                <w:kern w:val="0"/>
                <w:sz w:val="28"/>
                <w:szCs w:val="28"/>
                <w:u w:val="none"/>
                <w:lang w:val="en-US" w:eastAsia="zh-CN" w:bidi="ar"/>
              </w:rPr>
              <w:t>12</w:t>
            </w:r>
          </w:p>
        </w:tc>
        <w:tc>
          <w:tcPr>
            <w:tcW w:w="5640" w:type="dxa"/>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bottom"/>
              <w:rPr>
                <w:rFonts w:hint="eastAsia"/>
                <w:color w:val="auto"/>
                <w:vertAlign w:val="baseline"/>
                <w:lang w:val="en-US" w:eastAsia="zh-CN"/>
              </w:rPr>
            </w:pPr>
            <w:r>
              <w:rPr>
                <w:rFonts w:hint="eastAsia" w:ascii="宋体" w:hAnsi="宋体" w:eastAsia="宋体" w:cs="宋体"/>
                <w:i w:val="0"/>
                <w:iCs w:val="0"/>
                <w:color w:val="auto"/>
                <w:kern w:val="0"/>
                <w:sz w:val="28"/>
                <w:szCs w:val="28"/>
                <w:u w:val="none"/>
                <w:lang w:val="en-US" w:eastAsia="zh-CN" w:bidi="ar"/>
              </w:rPr>
              <w:t>湖南省日月轩文化有限公司</w:t>
            </w:r>
          </w:p>
        </w:tc>
        <w:tc>
          <w:tcPr>
            <w:tcW w:w="2280"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color w:val="auto"/>
                <w:vertAlign w:val="baseline"/>
                <w:lang w:val="en-US" w:eastAsia="zh-CN"/>
              </w:rPr>
            </w:pPr>
            <w:r>
              <w:rPr>
                <w:rFonts w:hint="eastAsia" w:ascii="仿宋_GB2312" w:hAnsi="仿宋_GB2312" w:cs="仿宋_GB2312"/>
                <w:color w:val="auto"/>
                <w:kern w:val="0"/>
                <w:sz w:val="28"/>
                <w:szCs w:val="28"/>
                <w:lang w:eastAsia="zh-CN"/>
              </w:rPr>
              <w:t>县文旅广体局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960"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bottom"/>
              <w:rPr>
                <w:rFonts w:hint="eastAsia"/>
                <w:color w:val="auto"/>
                <w:vertAlign w:val="baseline"/>
                <w:lang w:val="en-US" w:eastAsia="zh-CN"/>
              </w:rPr>
            </w:pPr>
            <w:r>
              <w:rPr>
                <w:rFonts w:hint="eastAsia" w:ascii="宋体" w:hAnsi="宋体" w:eastAsia="宋体" w:cs="宋体"/>
                <w:i w:val="0"/>
                <w:iCs w:val="0"/>
                <w:color w:val="auto"/>
                <w:kern w:val="0"/>
                <w:sz w:val="28"/>
                <w:szCs w:val="28"/>
                <w:u w:val="none"/>
                <w:lang w:val="en-US" w:eastAsia="zh-CN" w:bidi="ar"/>
              </w:rPr>
              <w:t>13</w:t>
            </w:r>
          </w:p>
        </w:tc>
        <w:tc>
          <w:tcPr>
            <w:tcW w:w="5640" w:type="dxa"/>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bottom"/>
              <w:rPr>
                <w:rFonts w:hint="eastAsia"/>
                <w:color w:val="auto"/>
                <w:vertAlign w:val="baseline"/>
                <w:lang w:val="en-US" w:eastAsia="zh-CN"/>
              </w:rPr>
            </w:pPr>
            <w:r>
              <w:rPr>
                <w:rFonts w:hint="eastAsia" w:ascii="宋体" w:hAnsi="宋体" w:eastAsia="宋体" w:cs="宋体"/>
                <w:i w:val="0"/>
                <w:iCs w:val="0"/>
                <w:color w:val="auto"/>
                <w:kern w:val="0"/>
                <w:sz w:val="28"/>
                <w:szCs w:val="28"/>
                <w:u w:val="none"/>
                <w:lang w:val="en-US" w:eastAsia="zh-CN" w:bidi="ar"/>
              </w:rPr>
              <w:t>安化县点金网络传媒有限公司</w:t>
            </w:r>
          </w:p>
        </w:tc>
        <w:tc>
          <w:tcPr>
            <w:tcW w:w="2280"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color w:val="auto"/>
                <w:vertAlign w:val="baseline"/>
                <w:lang w:val="en-US" w:eastAsia="zh-CN"/>
              </w:rPr>
            </w:pPr>
            <w:r>
              <w:rPr>
                <w:rFonts w:hint="eastAsia" w:ascii="仿宋_GB2312" w:hAnsi="仿宋_GB2312" w:cs="仿宋_GB2312"/>
                <w:color w:val="auto"/>
                <w:kern w:val="0"/>
                <w:sz w:val="28"/>
                <w:szCs w:val="28"/>
                <w:lang w:eastAsia="zh-CN"/>
              </w:rPr>
              <w:t>县文旅广体局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960"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bottom"/>
              <w:rPr>
                <w:rFonts w:hint="eastAsia"/>
                <w:color w:val="auto"/>
                <w:vertAlign w:val="baseline"/>
                <w:lang w:val="en-US" w:eastAsia="zh-CN"/>
              </w:rPr>
            </w:pPr>
            <w:r>
              <w:rPr>
                <w:rFonts w:hint="eastAsia" w:ascii="宋体" w:hAnsi="宋体" w:eastAsia="宋体" w:cs="宋体"/>
                <w:i w:val="0"/>
                <w:iCs w:val="0"/>
                <w:color w:val="auto"/>
                <w:kern w:val="0"/>
                <w:sz w:val="28"/>
                <w:szCs w:val="28"/>
                <w:u w:val="none"/>
                <w:lang w:val="en-US" w:eastAsia="zh-CN" w:bidi="ar"/>
              </w:rPr>
              <w:t>14</w:t>
            </w:r>
          </w:p>
        </w:tc>
        <w:tc>
          <w:tcPr>
            <w:tcW w:w="5640" w:type="dxa"/>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bottom"/>
              <w:rPr>
                <w:rFonts w:hint="eastAsia"/>
                <w:color w:val="auto"/>
                <w:vertAlign w:val="baseline"/>
                <w:lang w:val="en-US" w:eastAsia="zh-CN"/>
              </w:rPr>
            </w:pPr>
            <w:r>
              <w:rPr>
                <w:rFonts w:hint="eastAsia" w:ascii="宋体" w:hAnsi="宋体" w:eastAsia="宋体" w:cs="宋体"/>
                <w:i w:val="0"/>
                <w:iCs w:val="0"/>
                <w:color w:val="auto"/>
                <w:kern w:val="0"/>
                <w:sz w:val="28"/>
                <w:szCs w:val="28"/>
                <w:u w:val="none"/>
                <w:lang w:val="en-US" w:eastAsia="zh-CN" w:bidi="ar"/>
              </w:rPr>
              <w:t>湖南黑茶印象文化有限公司</w:t>
            </w:r>
          </w:p>
        </w:tc>
        <w:tc>
          <w:tcPr>
            <w:tcW w:w="2280"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color w:val="auto"/>
                <w:vertAlign w:val="baseline"/>
                <w:lang w:val="en-US" w:eastAsia="zh-CN"/>
              </w:rPr>
            </w:pPr>
            <w:r>
              <w:rPr>
                <w:rFonts w:hint="eastAsia" w:ascii="仿宋_GB2312" w:hAnsi="仿宋_GB2312" w:cs="仿宋_GB2312"/>
                <w:color w:val="auto"/>
                <w:kern w:val="0"/>
                <w:sz w:val="28"/>
                <w:szCs w:val="28"/>
                <w:lang w:eastAsia="zh-CN"/>
              </w:rPr>
              <w:t>县文旅广体局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960"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bottom"/>
              <w:rPr>
                <w:rFonts w:hint="eastAsia"/>
                <w:color w:val="auto"/>
                <w:vertAlign w:val="baseline"/>
                <w:lang w:val="en-US" w:eastAsia="zh-CN"/>
              </w:rPr>
            </w:pPr>
            <w:r>
              <w:rPr>
                <w:rFonts w:hint="eastAsia" w:ascii="宋体" w:hAnsi="宋体" w:eastAsia="宋体" w:cs="宋体"/>
                <w:i w:val="0"/>
                <w:iCs w:val="0"/>
                <w:color w:val="auto"/>
                <w:kern w:val="0"/>
                <w:sz w:val="28"/>
                <w:szCs w:val="28"/>
                <w:u w:val="none"/>
                <w:lang w:val="en-US" w:eastAsia="zh-CN" w:bidi="ar"/>
              </w:rPr>
              <w:t>15</w:t>
            </w:r>
          </w:p>
        </w:tc>
        <w:tc>
          <w:tcPr>
            <w:tcW w:w="5640" w:type="dxa"/>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bottom"/>
              <w:rPr>
                <w:rFonts w:hint="eastAsia"/>
                <w:color w:val="auto"/>
                <w:vertAlign w:val="baseline"/>
                <w:lang w:val="en-US" w:eastAsia="zh-CN"/>
              </w:rPr>
            </w:pPr>
            <w:r>
              <w:rPr>
                <w:rFonts w:hint="eastAsia" w:ascii="宋体" w:hAnsi="宋体" w:eastAsia="宋体" w:cs="宋体"/>
                <w:i w:val="0"/>
                <w:iCs w:val="0"/>
                <w:color w:val="auto"/>
                <w:kern w:val="0"/>
                <w:sz w:val="28"/>
                <w:szCs w:val="28"/>
                <w:u w:val="none"/>
                <w:lang w:val="en-US" w:eastAsia="zh-CN" w:bidi="ar"/>
              </w:rPr>
              <w:t>湖南高马山文化旅游有限公司</w:t>
            </w:r>
          </w:p>
        </w:tc>
        <w:tc>
          <w:tcPr>
            <w:tcW w:w="2280"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color w:val="auto"/>
                <w:vertAlign w:val="baseline"/>
                <w:lang w:val="en-US" w:eastAsia="zh-CN"/>
              </w:rPr>
            </w:pPr>
            <w:r>
              <w:rPr>
                <w:rFonts w:hint="eastAsia" w:ascii="仿宋_GB2312" w:hAnsi="仿宋_GB2312" w:cs="仿宋_GB2312"/>
                <w:color w:val="auto"/>
                <w:kern w:val="0"/>
                <w:sz w:val="28"/>
                <w:szCs w:val="28"/>
                <w:lang w:eastAsia="zh-CN"/>
              </w:rPr>
              <w:t>县文旅广体局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960"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bottom"/>
              <w:rPr>
                <w:rFonts w:hint="eastAsia"/>
                <w:color w:val="auto"/>
                <w:vertAlign w:val="baseline"/>
                <w:lang w:val="en-US" w:eastAsia="zh-CN"/>
              </w:rPr>
            </w:pPr>
            <w:r>
              <w:rPr>
                <w:rFonts w:hint="eastAsia" w:ascii="宋体" w:hAnsi="宋体" w:eastAsia="宋体" w:cs="宋体"/>
                <w:i w:val="0"/>
                <w:iCs w:val="0"/>
                <w:color w:val="auto"/>
                <w:kern w:val="0"/>
                <w:sz w:val="28"/>
                <w:szCs w:val="28"/>
                <w:u w:val="none"/>
                <w:lang w:val="en-US" w:eastAsia="zh-CN" w:bidi="ar"/>
              </w:rPr>
              <w:t>16</w:t>
            </w:r>
          </w:p>
        </w:tc>
        <w:tc>
          <w:tcPr>
            <w:tcW w:w="5640" w:type="dxa"/>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bottom"/>
              <w:rPr>
                <w:rFonts w:hint="eastAsia"/>
                <w:color w:val="auto"/>
                <w:vertAlign w:val="baseline"/>
                <w:lang w:val="en-US" w:eastAsia="zh-CN"/>
              </w:rPr>
            </w:pPr>
            <w:r>
              <w:rPr>
                <w:rFonts w:hint="eastAsia" w:ascii="宋体" w:hAnsi="宋体" w:eastAsia="宋体" w:cs="宋体"/>
                <w:i w:val="0"/>
                <w:iCs w:val="0"/>
                <w:color w:val="auto"/>
                <w:kern w:val="0"/>
                <w:sz w:val="28"/>
                <w:szCs w:val="28"/>
                <w:u w:val="none"/>
                <w:lang w:val="en-US" w:eastAsia="zh-CN" w:bidi="ar"/>
              </w:rPr>
              <w:t>安化县东宙殡葬有限公司</w:t>
            </w:r>
          </w:p>
        </w:tc>
        <w:tc>
          <w:tcPr>
            <w:tcW w:w="2280"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color w:val="auto"/>
                <w:sz w:val="28"/>
                <w:szCs w:val="28"/>
                <w:vertAlign w:val="baseline"/>
                <w:lang w:val="en-US" w:eastAsia="zh-CN"/>
              </w:rPr>
            </w:pPr>
            <w:r>
              <w:rPr>
                <w:rFonts w:hint="eastAsia" w:ascii="仿宋_GB2312" w:hAnsi="仿宋_GB2312" w:cs="仿宋_GB2312"/>
                <w:color w:val="auto"/>
                <w:kern w:val="0"/>
                <w:sz w:val="28"/>
                <w:szCs w:val="28"/>
                <w:lang w:eastAsia="zh-CN"/>
              </w:rPr>
              <w:t>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960"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bottom"/>
              <w:rPr>
                <w:rFonts w:hint="eastAsia"/>
                <w:color w:val="auto"/>
                <w:vertAlign w:val="baseline"/>
                <w:lang w:val="en-US" w:eastAsia="zh-CN"/>
              </w:rPr>
            </w:pPr>
            <w:r>
              <w:rPr>
                <w:rFonts w:hint="eastAsia" w:ascii="宋体" w:hAnsi="宋体" w:eastAsia="宋体" w:cs="宋体"/>
                <w:i w:val="0"/>
                <w:iCs w:val="0"/>
                <w:color w:val="auto"/>
                <w:kern w:val="0"/>
                <w:sz w:val="28"/>
                <w:szCs w:val="28"/>
                <w:u w:val="none"/>
                <w:lang w:val="en-US" w:eastAsia="zh-CN" w:bidi="ar"/>
              </w:rPr>
              <w:t>17</w:t>
            </w:r>
          </w:p>
        </w:tc>
        <w:tc>
          <w:tcPr>
            <w:tcW w:w="5640" w:type="dxa"/>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bottom"/>
              <w:rPr>
                <w:rFonts w:hint="eastAsia"/>
                <w:color w:val="auto"/>
                <w:vertAlign w:val="baseline"/>
                <w:lang w:val="en-US" w:eastAsia="zh-CN"/>
              </w:rPr>
            </w:pPr>
            <w:r>
              <w:rPr>
                <w:rFonts w:hint="eastAsia" w:ascii="宋体" w:hAnsi="宋体" w:eastAsia="宋体" w:cs="宋体"/>
                <w:i w:val="0"/>
                <w:iCs w:val="0"/>
                <w:color w:val="auto"/>
                <w:kern w:val="0"/>
                <w:sz w:val="28"/>
                <w:szCs w:val="28"/>
                <w:u w:val="none"/>
                <w:lang w:val="en-US" w:eastAsia="zh-CN" w:bidi="ar"/>
              </w:rPr>
              <w:t>安化县江英高级中学有限公司</w:t>
            </w:r>
          </w:p>
        </w:tc>
        <w:tc>
          <w:tcPr>
            <w:tcW w:w="2280"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color w:val="auto"/>
                <w:sz w:val="28"/>
                <w:szCs w:val="28"/>
                <w:vertAlign w:val="baseline"/>
                <w:lang w:val="en-US" w:eastAsia="zh-CN"/>
              </w:rPr>
            </w:pPr>
            <w:r>
              <w:rPr>
                <w:rFonts w:hint="eastAsia"/>
                <w:color w:val="auto"/>
                <w:sz w:val="28"/>
                <w:szCs w:val="28"/>
                <w:vertAlign w:val="baseline"/>
                <w:lang w:val="en-US" w:eastAsia="zh-CN"/>
              </w:rPr>
              <w:t>县教育局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960"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bottom"/>
              <w:rPr>
                <w:rFonts w:hint="eastAsia"/>
                <w:color w:val="auto"/>
                <w:vertAlign w:val="baseline"/>
                <w:lang w:val="en-US" w:eastAsia="zh-CN"/>
              </w:rPr>
            </w:pPr>
            <w:r>
              <w:rPr>
                <w:rFonts w:hint="eastAsia" w:ascii="宋体" w:hAnsi="宋体" w:eastAsia="宋体" w:cs="宋体"/>
                <w:i w:val="0"/>
                <w:iCs w:val="0"/>
                <w:color w:val="auto"/>
                <w:kern w:val="0"/>
                <w:sz w:val="28"/>
                <w:szCs w:val="28"/>
                <w:u w:val="none"/>
                <w:lang w:val="en-US" w:eastAsia="zh-CN" w:bidi="ar"/>
              </w:rPr>
              <w:t>18</w:t>
            </w:r>
          </w:p>
        </w:tc>
        <w:tc>
          <w:tcPr>
            <w:tcW w:w="5640" w:type="dxa"/>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bottom"/>
              <w:rPr>
                <w:rFonts w:hint="eastAsia"/>
                <w:color w:val="auto"/>
                <w:vertAlign w:val="baseline"/>
                <w:lang w:val="en-US" w:eastAsia="zh-CN"/>
              </w:rPr>
            </w:pPr>
            <w:r>
              <w:rPr>
                <w:rFonts w:hint="eastAsia" w:ascii="宋体" w:hAnsi="宋体" w:eastAsia="宋体" w:cs="宋体"/>
                <w:i w:val="0"/>
                <w:iCs w:val="0"/>
                <w:color w:val="auto"/>
                <w:kern w:val="0"/>
                <w:sz w:val="28"/>
                <w:szCs w:val="28"/>
                <w:u w:val="none"/>
                <w:lang w:val="en-US" w:eastAsia="zh-CN" w:bidi="ar"/>
              </w:rPr>
              <w:t>安化圣力骨科医院有限公司</w:t>
            </w:r>
          </w:p>
        </w:tc>
        <w:tc>
          <w:tcPr>
            <w:tcW w:w="2280"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color w:val="auto"/>
                <w:sz w:val="28"/>
                <w:szCs w:val="28"/>
                <w:vertAlign w:val="baseline"/>
                <w:lang w:val="en-US" w:eastAsia="zh-CN"/>
              </w:rPr>
            </w:pPr>
            <w:r>
              <w:rPr>
                <w:rFonts w:hint="eastAsia"/>
                <w:color w:val="auto"/>
                <w:sz w:val="28"/>
                <w:szCs w:val="28"/>
                <w:vertAlign w:val="baseline"/>
                <w:lang w:val="en-US" w:eastAsia="zh-CN"/>
              </w:rPr>
              <w:t>县卫健局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960"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bottom"/>
              <w:rPr>
                <w:rFonts w:hint="eastAsia"/>
                <w:color w:val="auto"/>
                <w:vertAlign w:val="baseline"/>
                <w:lang w:val="en-US" w:eastAsia="zh-CN"/>
              </w:rPr>
            </w:pPr>
            <w:r>
              <w:rPr>
                <w:rFonts w:hint="eastAsia" w:ascii="宋体" w:hAnsi="宋体" w:eastAsia="宋体" w:cs="宋体"/>
                <w:i w:val="0"/>
                <w:iCs w:val="0"/>
                <w:color w:val="auto"/>
                <w:kern w:val="0"/>
                <w:sz w:val="28"/>
                <w:szCs w:val="28"/>
                <w:u w:val="none"/>
                <w:lang w:val="en-US" w:eastAsia="zh-CN" w:bidi="ar"/>
              </w:rPr>
              <w:t>19</w:t>
            </w:r>
          </w:p>
        </w:tc>
        <w:tc>
          <w:tcPr>
            <w:tcW w:w="5640" w:type="dxa"/>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bottom"/>
              <w:rPr>
                <w:rFonts w:hint="eastAsia"/>
                <w:color w:val="auto"/>
                <w:vertAlign w:val="baseline"/>
                <w:lang w:val="en-US" w:eastAsia="zh-CN"/>
              </w:rPr>
            </w:pPr>
            <w:r>
              <w:rPr>
                <w:rFonts w:hint="eastAsia" w:ascii="宋体" w:hAnsi="宋体" w:eastAsia="宋体" w:cs="宋体"/>
                <w:i w:val="0"/>
                <w:iCs w:val="0"/>
                <w:color w:val="auto"/>
                <w:kern w:val="0"/>
                <w:sz w:val="28"/>
                <w:szCs w:val="28"/>
                <w:u w:val="none"/>
                <w:lang w:val="en-US" w:eastAsia="zh-CN" w:bidi="ar"/>
              </w:rPr>
              <w:t>安化益汉医院</w:t>
            </w:r>
          </w:p>
        </w:tc>
        <w:tc>
          <w:tcPr>
            <w:tcW w:w="2280"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color w:val="auto"/>
                <w:sz w:val="28"/>
                <w:szCs w:val="28"/>
                <w:vertAlign w:val="baseline"/>
                <w:lang w:val="en-US" w:eastAsia="zh-CN"/>
              </w:rPr>
            </w:pPr>
            <w:r>
              <w:rPr>
                <w:rFonts w:hint="eastAsia"/>
                <w:color w:val="auto"/>
                <w:sz w:val="28"/>
                <w:szCs w:val="28"/>
                <w:vertAlign w:val="baseline"/>
                <w:lang w:val="en-US" w:eastAsia="zh-CN"/>
              </w:rPr>
              <w:t>县卫健局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960"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bottom"/>
              <w:rPr>
                <w:rFonts w:hint="eastAsia"/>
                <w:color w:val="auto"/>
                <w:vertAlign w:val="baseline"/>
                <w:lang w:val="en-US" w:eastAsia="zh-CN"/>
              </w:rPr>
            </w:pPr>
            <w:r>
              <w:rPr>
                <w:rFonts w:hint="eastAsia" w:ascii="宋体" w:hAnsi="宋体" w:eastAsia="宋体" w:cs="宋体"/>
                <w:i w:val="0"/>
                <w:iCs w:val="0"/>
                <w:color w:val="auto"/>
                <w:kern w:val="0"/>
                <w:sz w:val="28"/>
                <w:szCs w:val="28"/>
                <w:u w:val="none"/>
                <w:lang w:val="en-US" w:eastAsia="zh-CN" w:bidi="ar"/>
              </w:rPr>
              <w:t>20</w:t>
            </w:r>
          </w:p>
        </w:tc>
        <w:tc>
          <w:tcPr>
            <w:tcW w:w="5640" w:type="dxa"/>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bottom"/>
              <w:rPr>
                <w:rFonts w:hint="eastAsia"/>
                <w:color w:val="auto"/>
                <w:vertAlign w:val="baseline"/>
                <w:lang w:val="en-US" w:eastAsia="zh-CN"/>
              </w:rPr>
            </w:pPr>
            <w:r>
              <w:rPr>
                <w:rFonts w:hint="eastAsia" w:ascii="宋体" w:hAnsi="宋体" w:eastAsia="宋体" w:cs="宋体"/>
                <w:i w:val="0"/>
                <w:iCs w:val="0"/>
                <w:color w:val="auto"/>
                <w:kern w:val="0"/>
                <w:sz w:val="28"/>
                <w:szCs w:val="28"/>
                <w:u w:val="none"/>
                <w:lang w:val="en-US" w:eastAsia="zh-CN" w:bidi="ar"/>
              </w:rPr>
              <w:t>安化县友畅物业管理有限公司</w:t>
            </w:r>
          </w:p>
        </w:tc>
        <w:tc>
          <w:tcPr>
            <w:tcW w:w="2280"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color w:val="auto"/>
                <w:sz w:val="28"/>
                <w:szCs w:val="28"/>
                <w:vertAlign w:val="baseline"/>
                <w:lang w:val="en-US" w:eastAsia="zh-CN"/>
              </w:rPr>
            </w:pPr>
            <w:r>
              <w:rPr>
                <w:rFonts w:hint="eastAsia"/>
                <w:color w:val="auto"/>
                <w:sz w:val="28"/>
                <w:szCs w:val="28"/>
                <w:vertAlign w:val="baseline"/>
                <w:lang w:val="en-US" w:eastAsia="zh-CN"/>
              </w:rPr>
              <w:t>县住建局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960" w:type="dxa"/>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bottom"/>
              <w:rPr>
                <w:rFonts w:hint="eastAsia"/>
                <w:color w:val="auto"/>
                <w:vertAlign w:val="baseline"/>
                <w:lang w:val="en-US" w:eastAsia="zh-CN"/>
              </w:rPr>
            </w:pPr>
            <w:r>
              <w:rPr>
                <w:rFonts w:hint="eastAsia" w:ascii="宋体" w:hAnsi="宋体" w:eastAsia="宋体" w:cs="宋体"/>
                <w:i w:val="0"/>
                <w:iCs w:val="0"/>
                <w:color w:val="auto"/>
                <w:kern w:val="0"/>
                <w:sz w:val="28"/>
                <w:szCs w:val="28"/>
                <w:u w:val="none"/>
                <w:lang w:val="en-US" w:eastAsia="zh-CN" w:bidi="ar"/>
              </w:rPr>
              <w:t>21</w:t>
            </w:r>
          </w:p>
        </w:tc>
        <w:tc>
          <w:tcPr>
            <w:tcW w:w="5640" w:type="dxa"/>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bottom"/>
              <w:rPr>
                <w:rFonts w:hint="eastAsia"/>
                <w:color w:val="auto"/>
                <w:vertAlign w:val="baseline"/>
                <w:lang w:val="en-US" w:eastAsia="zh-CN"/>
              </w:rPr>
            </w:pPr>
            <w:r>
              <w:rPr>
                <w:rFonts w:hint="eastAsia" w:ascii="宋体" w:hAnsi="宋体" w:eastAsia="宋体" w:cs="宋体"/>
                <w:i w:val="0"/>
                <w:iCs w:val="0"/>
                <w:color w:val="auto"/>
                <w:kern w:val="0"/>
                <w:sz w:val="28"/>
                <w:szCs w:val="28"/>
                <w:u w:val="none"/>
                <w:lang w:val="en-US" w:eastAsia="zh-CN" w:bidi="ar"/>
              </w:rPr>
              <w:t>安化县中联环境产业有限公司</w:t>
            </w:r>
          </w:p>
        </w:tc>
        <w:tc>
          <w:tcPr>
            <w:tcW w:w="2280"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color w:val="auto"/>
                <w:sz w:val="28"/>
                <w:szCs w:val="28"/>
                <w:vertAlign w:val="baseline"/>
                <w:lang w:val="en-US" w:eastAsia="zh-CN"/>
              </w:rPr>
            </w:pPr>
            <w:r>
              <w:rPr>
                <w:rFonts w:hint="eastAsia"/>
                <w:color w:val="auto"/>
                <w:sz w:val="28"/>
                <w:szCs w:val="28"/>
                <w:vertAlign w:val="baseline"/>
                <w:lang w:val="en-US" w:eastAsia="zh-CN"/>
              </w:rPr>
              <w:t>县城管局</w:t>
            </w:r>
          </w:p>
        </w:tc>
      </w:tr>
    </w:tbl>
    <w:p>
      <w:pPr>
        <w:rPr>
          <w:rFonts w:hint="eastAsia"/>
          <w:lang w:eastAsia="zh-CN"/>
        </w:rPr>
        <w:sectPr>
          <w:pgSz w:w="11906" w:h="16838"/>
          <w:pgMar w:top="1440" w:right="1463" w:bottom="1141" w:left="1519" w:header="851" w:footer="992" w:gutter="0"/>
          <w:pgNumType w:fmt="numberInDash"/>
          <w:cols w:space="425" w:num="1"/>
          <w:docGrid w:type="lines" w:linePitch="312" w:charSpace="0"/>
        </w:sectPr>
      </w:pPr>
    </w:p>
    <w:p>
      <w:pPr>
        <w:spacing w:line="580" w:lineRule="exact"/>
        <w:rPr>
          <w:rFonts w:hint="default" w:ascii="仿宋_GB2312" w:hAnsi="仿宋_GB2312" w:cs="仿宋_GB2312"/>
          <w:color w:val="auto"/>
          <w:sz w:val="32"/>
          <w:szCs w:val="32"/>
          <w:shd w:val="clear" w:color="auto" w:fill="auto"/>
          <w:lang w:val="en"/>
        </w:rPr>
      </w:pPr>
      <w:r>
        <w:rPr>
          <w:rFonts w:hint="eastAsia" w:ascii="仿宋_GB2312" w:hAnsi="仿宋_GB2312" w:eastAsia="仿宋_GB2312" w:cs="仿宋_GB2312"/>
          <w:color w:val="auto"/>
          <w:sz w:val="32"/>
          <w:szCs w:val="32"/>
          <w:shd w:val="clear" w:color="auto" w:fill="auto"/>
        </w:rPr>
        <w:t>附件</w:t>
      </w:r>
      <w:r>
        <w:rPr>
          <w:rFonts w:hint="eastAsia" w:ascii="仿宋_GB2312" w:hAnsi="仿宋_GB2312" w:cs="仿宋_GB2312"/>
          <w:color w:val="auto"/>
          <w:sz w:val="32"/>
          <w:szCs w:val="32"/>
          <w:shd w:val="clear" w:color="auto" w:fill="auto"/>
          <w:lang w:val="en-US" w:eastAsia="zh-CN"/>
        </w:rPr>
        <w:t>2</w:t>
      </w:r>
      <w:r>
        <w:rPr>
          <w:rFonts w:hint="default" w:ascii="仿宋_GB2312" w:hAnsi="仿宋_GB2312" w:cs="仿宋_GB2312"/>
          <w:color w:val="auto"/>
          <w:sz w:val="32"/>
          <w:szCs w:val="32"/>
          <w:shd w:val="clear" w:color="auto" w:fill="auto"/>
          <w:lang w:val="en"/>
        </w:rPr>
        <w:t>:</w:t>
      </w:r>
    </w:p>
    <w:p>
      <w:pPr>
        <w:pStyle w:val="21"/>
        <w:rPr>
          <w:rFonts w:hint="eastAsia"/>
          <w:lang w:val="en-US" w:eastAsia="zh-CN"/>
        </w:rPr>
      </w:pPr>
    </w:p>
    <w:p>
      <w:pPr>
        <w:widowControl/>
        <w:spacing w:line="700" w:lineRule="exact"/>
        <w:jc w:val="center"/>
        <w:rPr>
          <w:rFonts w:hint="eastAsia" w:ascii="方正小标宋简体" w:hAnsi="方正小标宋简体" w:eastAsia="方正小标宋简体" w:cs="方正小标宋简体"/>
          <w:bCs/>
          <w:color w:val="auto"/>
          <w:kern w:val="0"/>
          <w:sz w:val="44"/>
          <w:szCs w:val="44"/>
          <w:shd w:val="clear" w:color="auto" w:fill="auto"/>
          <w:lang w:eastAsia="zh-CN"/>
        </w:rPr>
      </w:pPr>
      <w:r>
        <w:rPr>
          <w:rFonts w:hint="eastAsia" w:ascii="方正小标宋简体" w:hAnsi="方正小标宋简体" w:eastAsia="方正小标宋简体" w:cs="方正小标宋简体"/>
          <w:bCs/>
          <w:color w:val="auto"/>
          <w:kern w:val="0"/>
          <w:sz w:val="44"/>
          <w:szCs w:val="44"/>
          <w:shd w:val="clear" w:color="auto" w:fill="auto"/>
        </w:rPr>
        <w:t>202</w:t>
      </w:r>
      <w:r>
        <w:rPr>
          <w:rFonts w:hint="eastAsia" w:ascii="方正小标宋简体" w:hAnsi="方正小标宋简体" w:eastAsia="方正小标宋简体" w:cs="方正小标宋简体"/>
          <w:bCs/>
          <w:color w:val="auto"/>
          <w:kern w:val="0"/>
          <w:sz w:val="44"/>
          <w:szCs w:val="44"/>
          <w:shd w:val="clear" w:color="auto" w:fill="auto"/>
          <w:lang w:val="en-US" w:eastAsia="zh-CN"/>
        </w:rPr>
        <w:t>4</w:t>
      </w:r>
      <w:r>
        <w:rPr>
          <w:rFonts w:hint="eastAsia" w:ascii="方正小标宋简体" w:hAnsi="方正小标宋简体" w:eastAsia="方正小标宋简体" w:cs="方正小标宋简体"/>
          <w:bCs/>
          <w:color w:val="auto"/>
          <w:kern w:val="0"/>
          <w:sz w:val="44"/>
          <w:szCs w:val="44"/>
          <w:shd w:val="clear" w:color="auto" w:fill="auto"/>
        </w:rPr>
        <w:t>年</w:t>
      </w:r>
      <w:r>
        <w:rPr>
          <w:rFonts w:hint="eastAsia" w:ascii="方正小标宋简体" w:hAnsi="方正小标宋简体" w:eastAsia="方正小标宋简体" w:cs="方正小标宋简体"/>
          <w:bCs/>
          <w:color w:val="auto"/>
          <w:kern w:val="0"/>
          <w:sz w:val="44"/>
          <w:szCs w:val="44"/>
          <w:shd w:val="clear" w:color="auto" w:fill="auto"/>
          <w:lang w:eastAsia="zh-CN"/>
        </w:rPr>
        <w:t>服务业</w:t>
      </w:r>
      <w:r>
        <w:rPr>
          <w:rFonts w:hint="eastAsia" w:ascii="方正小标宋简体" w:hAnsi="方正小标宋简体" w:eastAsia="方正小标宋简体" w:cs="方正小标宋简体"/>
          <w:bCs/>
          <w:color w:val="auto"/>
          <w:kern w:val="0"/>
          <w:sz w:val="44"/>
          <w:szCs w:val="44"/>
          <w:shd w:val="clear" w:color="auto" w:fill="auto"/>
        </w:rPr>
        <w:t>企业</w:t>
      </w:r>
      <w:r>
        <w:rPr>
          <w:rFonts w:hint="eastAsia" w:ascii="方正小标宋简体" w:hAnsi="方正小标宋简体" w:eastAsia="方正小标宋简体" w:cs="方正小标宋简体"/>
          <w:bCs/>
          <w:color w:val="auto"/>
          <w:kern w:val="0"/>
          <w:sz w:val="44"/>
          <w:szCs w:val="44"/>
          <w:shd w:val="clear" w:color="auto" w:fill="auto"/>
          <w:lang w:eastAsia="zh-CN"/>
        </w:rPr>
        <w:t>入规任务清单</w:t>
      </w:r>
    </w:p>
    <w:p>
      <w:pPr>
        <w:pStyle w:val="21"/>
        <w:rPr>
          <w:rFonts w:hint="eastAsia"/>
          <w:lang w:eastAsia="zh-CN"/>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5"/>
        <w:gridCol w:w="2285"/>
        <w:gridCol w:w="2285"/>
        <w:gridCol w:w="2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2285" w:type="dxa"/>
            <w:vAlign w:val="center"/>
          </w:tcPr>
          <w:p>
            <w:pPr>
              <w:widowControl/>
              <w:adjustRightInd w:val="0"/>
              <w:snapToGrid w:val="0"/>
              <w:spacing w:line="180" w:lineRule="atLeast"/>
              <w:jc w:val="center"/>
              <w:rPr>
                <w:rFonts w:eastAsia="方正小标宋_GBK"/>
                <w:bCs/>
                <w:color w:val="auto"/>
                <w:kern w:val="0"/>
                <w:sz w:val="44"/>
                <w:szCs w:val="44"/>
                <w:shd w:val="clear" w:color="auto" w:fill="auto"/>
                <w:vertAlign w:val="baseline"/>
              </w:rPr>
            </w:pPr>
            <w:r>
              <w:rPr>
                <w:rFonts w:hint="eastAsia" w:ascii="仿宋_GB2312" w:hAnsi="仿宋_GB2312" w:cs="仿宋_GB2312"/>
                <w:b/>
                <w:bCs/>
                <w:kern w:val="0"/>
                <w:sz w:val="28"/>
                <w:szCs w:val="28"/>
                <w:lang w:eastAsia="zh-CN"/>
              </w:rPr>
              <w:t>责任单位</w:t>
            </w:r>
          </w:p>
        </w:tc>
        <w:tc>
          <w:tcPr>
            <w:tcW w:w="2285" w:type="dxa"/>
            <w:vAlign w:val="center"/>
          </w:tcPr>
          <w:p>
            <w:pPr>
              <w:widowControl/>
              <w:adjustRightInd w:val="0"/>
              <w:snapToGrid w:val="0"/>
              <w:spacing w:line="180" w:lineRule="atLeast"/>
              <w:jc w:val="center"/>
              <w:rPr>
                <w:rFonts w:eastAsia="方正小标宋_GBK"/>
                <w:bCs/>
                <w:color w:val="auto"/>
                <w:kern w:val="0"/>
                <w:sz w:val="44"/>
                <w:szCs w:val="44"/>
                <w:shd w:val="clear" w:color="auto" w:fill="auto"/>
                <w:vertAlign w:val="baseline"/>
              </w:rPr>
            </w:pPr>
            <w:r>
              <w:rPr>
                <w:rFonts w:hint="eastAsia" w:ascii="仿宋_GB2312" w:hAnsi="仿宋_GB2312" w:eastAsia="仿宋_GB2312" w:cs="仿宋_GB2312"/>
                <w:b/>
                <w:bCs/>
                <w:color w:val="000000"/>
                <w:kern w:val="0"/>
                <w:sz w:val="28"/>
                <w:szCs w:val="28"/>
                <w:lang w:val="en-US" w:eastAsia="zh-CN"/>
              </w:rPr>
              <w:t>202</w:t>
            </w:r>
            <w:r>
              <w:rPr>
                <w:rFonts w:hint="eastAsia" w:ascii="仿宋_GB2312" w:hAnsi="仿宋_GB2312" w:cs="仿宋_GB2312"/>
                <w:b/>
                <w:bCs/>
                <w:color w:val="000000"/>
                <w:kern w:val="0"/>
                <w:sz w:val="28"/>
                <w:szCs w:val="28"/>
                <w:lang w:val="en-US" w:eastAsia="zh-CN"/>
              </w:rPr>
              <w:t>3</w:t>
            </w:r>
            <w:r>
              <w:rPr>
                <w:rFonts w:hint="eastAsia" w:ascii="仿宋_GB2312" w:hAnsi="仿宋_GB2312" w:eastAsia="仿宋_GB2312" w:cs="仿宋_GB2312"/>
                <w:b/>
                <w:bCs/>
                <w:color w:val="000000"/>
                <w:kern w:val="0"/>
                <w:sz w:val="28"/>
                <w:szCs w:val="28"/>
                <w:lang w:val="en-US" w:eastAsia="zh-CN"/>
              </w:rPr>
              <w:t>年</w:t>
            </w:r>
          </w:p>
        </w:tc>
        <w:tc>
          <w:tcPr>
            <w:tcW w:w="2285" w:type="dxa"/>
            <w:vAlign w:val="center"/>
          </w:tcPr>
          <w:p>
            <w:pPr>
              <w:widowControl/>
              <w:adjustRightInd w:val="0"/>
              <w:snapToGrid w:val="0"/>
              <w:spacing w:line="180" w:lineRule="atLeast"/>
              <w:jc w:val="center"/>
              <w:rPr>
                <w:rFonts w:eastAsia="方正小标宋_GBK"/>
                <w:bCs/>
                <w:color w:val="auto"/>
                <w:kern w:val="0"/>
                <w:sz w:val="44"/>
                <w:szCs w:val="44"/>
                <w:shd w:val="clear" w:color="auto" w:fill="auto"/>
                <w:vertAlign w:val="baseline"/>
              </w:rPr>
            </w:pPr>
            <w:r>
              <w:rPr>
                <w:rFonts w:hint="eastAsia" w:ascii="仿宋_GB2312" w:hAnsi="仿宋_GB2312" w:eastAsia="仿宋_GB2312" w:cs="仿宋_GB2312"/>
                <w:b/>
                <w:bCs/>
                <w:color w:val="000000"/>
                <w:kern w:val="0"/>
                <w:sz w:val="28"/>
                <w:szCs w:val="28"/>
                <w:lang w:val="en-US" w:eastAsia="zh-CN"/>
              </w:rPr>
              <w:t>202</w:t>
            </w:r>
            <w:r>
              <w:rPr>
                <w:rFonts w:hint="eastAsia" w:ascii="仿宋_GB2312" w:hAnsi="仿宋_GB2312" w:cs="仿宋_GB2312"/>
                <w:b/>
                <w:bCs/>
                <w:color w:val="000000"/>
                <w:kern w:val="0"/>
                <w:sz w:val="28"/>
                <w:szCs w:val="28"/>
                <w:lang w:val="en-US" w:eastAsia="zh-CN"/>
              </w:rPr>
              <w:t>4</w:t>
            </w:r>
            <w:r>
              <w:rPr>
                <w:rFonts w:hint="eastAsia" w:ascii="仿宋_GB2312" w:hAnsi="仿宋_GB2312" w:eastAsia="仿宋_GB2312" w:cs="仿宋_GB2312"/>
                <w:b/>
                <w:bCs/>
                <w:color w:val="000000"/>
                <w:kern w:val="0"/>
                <w:sz w:val="28"/>
                <w:szCs w:val="28"/>
                <w:lang w:val="en-US" w:eastAsia="zh-CN"/>
              </w:rPr>
              <w:t>年</w:t>
            </w:r>
          </w:p>
        </w:tc>
        <w:tc>
          <w:tcPr>
            <w:tcW w:w="2285" w:type="dxa"/>
            <w:vAlign w:val="center"/>
          </w:tcPr>
          <w:p>
            <w:pPr>
              <w:widowControl/>
              <w:adjustRightInd w:val="0"/>
              <w:snapToGrid w:val="0"/>
              <w:spacing w:line="180" w:lineRule="atLeast"/>
              <w:jc w:val="center"/>
              <w:rPr>
                <w:rFonts w:eastAsia="方正小标宋_GBK"/>
                <w:bCs/>
                <w:color w:val="auto"/>
                <w:kern w:val="0"/>
                <w:sz w:val="44"/>
                <w:szCs w:val="44"/>
                <w:shd w:val="clear" w:color="auto" w:fill="auto"/>
                <w:vertAlign w:val="baseline"/>
              </w:rPr>
            </w:pPr>
            <w:r>
              <w:rPr>
                <w:rFonts w:hint="eastAsia" w:ascii="仿宋_GB2312" w:hAnsi="仿宋_GB2312" w:eastAsia="仿宋_GB2312" w:cs="仿宋_GB2312"/>
                <w:b/>
                <w:bCs/>
                <w:color w:val="000000"/>
                <w:kern w:val="0"/>
                <w:sz w:val="28"/>
                <w:szCs w:val="28"/>
                <w:lang w:val="en-US" w:eastAsia="zh-CN"/>
              </w:rPr>
              <w:t>202</w:t>
            </w:r>
            <w:r>
              <w:rPr>
                <w:rFonts w:hint="eastAsia" w:ascii="仿宋_GB2312" w:hAnsi="仿宋_GB2312" w:cs="仿宋_GB2312"/>
                <w:b/>
                <w:bCs/>
                <w:color w:val="000000"/>
                <w:kern w:val="0"/>
                <w:sz w:val="28"/>
                <w:szCs w:val="28"/>
                <w:lang w:val="en-US" w:eastAsia="zh-CN"/>
              </w:rPr>
              <w:t>4</w:t>
            </w:r>
            <w:r>
              <w:rPr>
                <w:rFonts w:hint="eastAsia" w:ascii="仿宋_GB2312" w:hAnsi="仿宋_GB2312" w:eastAsia="仿宋_GB2312" w:cs="仿宋_GB2312"/>
                <w:b/>
                <w:bCs/>
                <w:color w:val="000000"/>
                <w:kern w:val="0"/>
                <w:sz w:val="28"/>
                <w:szCs w:val="28"/>
                <w:lang w:val="en-US" w:eastAsia="zh-CN"/>
              </w:rPr>
              <w:t>年净增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285" w:type="dxa"/>
            <w:vAlign w:val="center"/>
          </w:tcPr>
          <w:p>
            <w:pPr>
              <w:widowControl/>
              <w:adjustRightInd w:val="0"/>
              <w:snapToGrid w:val="0"/>
              <w:spacing w:line="180" w:lineRule="atLeast"/>
              <w:jc w:val="center"/>
              <w:rPr>
                <w:rFonts w:eastAsia="方正小标宋_GBK"/>
                <w:bCs/>
                <w:color w:val="auto"/>
                <w:kern w:val="0"/>
                <w:sz w:val="44"/>
                <w:szCs w:val="44"/>
                <w:shd w:val="clear" w:color="auto" w:fill="auto"/>
                <w:vertAlign w:val="baseline"/>
              </w:rPr>
            </w:pPr>
            <w:r>
              <w:rPr>
                <w:rFonts w:hint="eastAsia" w:ascii="仿宋_GB2312" w:hAnsi="仿宋_GB2312" w:cs="仿宋_GB2312"/>
                <w:kern w:val="0"/>
                <w:sz w:val="28"/>
                <w:szCs w:val="28"/>
                <w:lang w:eastAsia="zh-CN"/>
              </w:rPr>
              <w:t>县文旅广体局</w:t>
            </w:r>
          </w:p>
        </w:tc>
        <w:tc>
          <w:tcPr>
            <w:tcW w:w="2285" w:type="dxa"/>
            <w:vAlign w:val="center"/>
          </w:tcPr>
          <w:p>
            <w:pPr>
              <w:widowControl/>
              <w:adjustRightInd w:val="0"/>
              <w:snapToGrid w:val="0"/>
              <w:spacing w:line="180" w:lineRule="atLeast"/>
              <w:jc w:val="center"/>
              <w:rPr>
                <w:rFonts w:eastAsia="方正小标宋_GBK"/>
                <w:bCs/>
                <w:color w:val="auto"/>
                <w:kern w:val="0"/>
                <w:sz w:val="44"/>
                <w:szCs w:val="44"/>
                <w:shd w:val="clear" w:color="auto" w:fill="auto"/>
                <w:vertAlign w:val="baseline"/>
              </w:rPr>
            </w:pPr>
            <w:r>
              <w:rPr>
                <w:rFonts w:hint="eastAsia" w:ascii="仿宋_GB2312" w:hAnsi="仿宋_GB2312" w:cs="仿宋_GB2312"/>
                <w:kern w:val="0"/>
                <w:sz w:val="28"/>
                <w:szCs w:val="28"/>
                <w:lang w:val="en-US" w:eastAsia="zh-CN" w:bidi="ar-SA"/>
              </w:rPr>
              <w:t>11</w:t>
            </w:r>
          </w:p>
        </w:tc>
        <w:tc>
          <w:tcPr>
            <w:tcW w:w="2285" w:type="dxa"/>
            <w:vAlign w:val="center"/>
          </w:tcPr>
          <w:p>
            <w:pPr>
              <w:widowControl/>
              <w:adjustRightInd w:val="0"/>
              <w:snapToGrid w:val="0"/>
              <w:spacing w:line="180" w:lineRule="atLeast"/>
              <w:jc w:val="center"/>
              <w:rPr>
                <w:rFonts w:eastAsia="方正小标宋_GBK"/>
                <w:bCs/>
                <w:color w:val="auto"/>
                <w:kern w:val="0"/>
                <w:sz w:val="44"/>
                <w:szCs w:val="44"/>
                <w:shd w:val="clear" w:color="auto" w:fill="auto"/>
                <w:vertAlign w:val="baseline"/>
              </w:rPr>
            </w:pPr>
            <w:r>
              <w:rPr>
                <w:rFonts w:hint="eastAsia" w:ascii="仿宋_GB2312" w:hAnsi="仿宋_GB2312" w:cs="仿宋_GB2312"/>
                <w:kern w:val="0"/>
                <w:sz w:val="28"/>
                <w:szCs w:val="28"/>
                <w:lang w:val="en-US" w:eastAsia="zh-CN" w:bidi="ar-SA"/>
              </w:rPr>
              <w:t>17</w:t>
            </w:r>
          </w:p>
        </w:tc>
        <w:tc>
          <w:tcPr>
            <w:tcW w:w="2285" w:type="dxa"/>
            <w:vAlign w:val="center"/>
          </w:tcPr>
          <w:p>
            <w:pPr>
              <w:widowControl/>
              <w:adjustRightInd w:val="0"/>
              <w:snapToGrid w:val="0"/>
              <w:spacing w:line="180" w:lineRule="atLeast"/>
              <w:jc w:val="center"/>
              <w:rPr>
                <w:rFonts w:eastAsia="方正小标宋_GBK"/>
                <w:bCs/>
                <w:color w:val="auto"/>
                <w:kern w:val="0"/>
                <w:sz w:val="44"/>
                <w:szCs w:val="44"/>
                <w:shd w:val="clear" w:color="auto" w:fill="auto"/>
                <w:vertAlign w:val="baseline"/>
              </w:rPr>
            </w:pPr>
            <w:r>
              <w:rPr>
                <w:rFonts w:hint="eastAsia" w:ascii="仿宋_GB2312" w:hAnsi="仿宋_GB2312" w:cs="仿宋_GB2312"/>
                <w:kern w:val="0"/>
                <w:sz w:val="28"/>
                <w:szCs w:val="28"/>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285" w:type="dxa"/>
            <w:vAlign w:val="center"/>
          </w:tcPr>
          <w:p>
            <w:pPr>
              <w:widowControl/>
              <w:adjustRightInd w:val="0"/>
              <w:snapToGrid w:val="0"/>
              <w:spacing w:line="180" w:lineRule="atLeast"/>
              <w:jc w:val="center"/>
              <w:rPr>
                <w:rFonts w:eastAsia="方正小标宋_GBK"/>
                <w:bCs/>
                <w:color w:val="auto"/>
                <w:kern w:val="0"/>
                <w:sz w:val="44"/>
                <w:szCs w:val="44"/>
                <w:shd w:val="clear" w:color="auto" w:fill="auto"/>
                <w:vertAlign w:val="baseline"/>
              </w:rPr>
            </w:pPr>
            <w:r>
              <w:rPr>
                <w:rFonts w:hint="eastAsia" w:ascii="仿宋_GB2312" w:hAnsi="仿宋_GB2312" w:cs="仿宋_GB2312"/>
                <w:kern w:val="0"/>
                <w:sz w:val="28"/>
                <w:szCs w:val="28"/>
                <w:lang w:eastAsia="zh-CN"/>
              </w:rPr>
              <w:t>县卫健局</w:t>
            </w:r>
          </w:p>
        </w:tc>
        <w:tc>
          <w:tcPr>
            <w:tcW w:w="2285" w:type="dxa"/>
            <w:vAlign w:val="center"/>
          </w:tcPr>
          <w:p>
            <w:pPr>
              <w:widowControl/>
              <w:adjustRightInd w:val="0"/>
              <w:snapToGrid w:val="0"/>
              <w:spacing w:line="180" w:lineRule="atLeast"/>
              <w:jc w:val="center"/>
              <w:rPr>
                <w:rFonts w:eastAsia="方正小标宋_GBK"/>
                <w:bCs/>
                <w:color w:val="auto"/>
                <w:kern w:val="0"/>
                <w:sz w:val="44"/>
                <w:szCs w:val="44"/>
                <w:shd w:val="clear" w:color="auto" w:fill="auto"/>
                <w:vertAlign w:val="baseline"/>
              </w:rPr>
            </w:pPr>
            <w:r>
              <w:rPr>
                <w:rFonts w:hint="eastAsia" w:ascii="仿宋_GB2312" w:hAnsi="仿宋_GB2312" w:cs="仿宋_GB2312"/>
                <w:kern w:val="0"/>
                <w:sz w:val="28"/>
                <w:szCs w:val="28"/>
                <w:lang w:val="en-US" w:eastAsia="zh-CN" w:bidi="ar-SA"/>
              </w:rPr>
              <w:t>2</w:t>
            </w:r>
          </w:p>
        </w:tc>
        <w:tc>
          <w:tcPr>
            <w:tcW w:w="2285" w:type="dxa"/>
            <w:vAlign w:val="center"/>
          </w:tcPr>
          <w:p>
            <w:pPr>
              <w:widowControl/>
              <w:adjustRightInd w:val="0"/>
              <w:snapToGrid w:val="0"/>
              <w:spacing w:line="180" w:lineRule="atLeast"/>
              <w:jc w:val="center"/>
              <w:rPr>
                <w:rFonts w:eastAsia="方正小标宋_GBK"/>
                <w:bCs/>
                <w:color w:val="auto"/>
                <w:kern w:val="0"/>
                <w:sz w:val="44"/>
                <w:szCs w:val="44"/>
                <w:shd w:val="clear" w:color="auto" w:fill="auto"/>
                <w:vertAlign w:val="baseline"/>
              </w:rPr>
            </w:pPr>
            <w:r>
              <w:rPr>
                <w:rFonts w:hint="eastAsia" w:ascii="仿宋_GB2312" w:hAnsi="仿宋_GB2312" w:cs="仿宋_GB2312"/>
                <w:kern w:val="0"/>
                <w:sz w:val="28"/>
                <w:szCs w:val="28"/>
                <w:lang w:val="en-US" w:eastAsia="zh-CN" w:bidi="ar-SA"/>
              </w:rPr>
              <w:t>3</w:t>
            </w:r>
          </w:p>
        </w:tc>
        <w:tc>
          <w:tcPr>
            <w:tcW w:w="2285" w:type="dxa"/>
            <w:vAlign w:val="center"/>
          </w:tcPr>
          <w:p>
            <w:pPr>
              <w:widowControl/>
              <w:adjustRightInd w:val="0"/>
              <w:snapToGrid w:val="0"/>
              <w:spacing w:line="180" w:lineRule="atLeast"/>
              <w:jc w:val="center"/>
              <w:rPr>
                <w:rFonts w:eastAsia="方正小标宋_GBK"/>
                <w:bCs/>
                <w:color w:val="auto"/>
                <w:kern w:val="0"/>
                <w:sz w:val="44"/>
                <w:szCs w:val="44"/>
                <w:shd w:val="clear" w:color="auto" w:fill="auto"/>
                <w:vertAlign w:val="baseline"/>
              </w:rPr>
            </w:pPr>
            <w:r>
              <w:rPr>
                <w:rFonts w:hint="eastAsia" w:ascii="仿宋_GB2312" w:hAnsi="仿宋_GB2312" w:cs="仿宋_GB2312"/>
                <w:kern w:val="0"/>
                <w:sz w:val="28"/>
                <w:szCs w:val="28"/>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285" w:type="dxa"/>
            <w:vAlign w:val="center"/>
          </w:tcPr>
          <w:p>
            <w:pPr>
              <w:widowControl/>
              <w:adjustRightInd w:val="0"/>
              <w:snapToGrid w:val="0"/>
              <w:spacing w:line="180" w:lineRule="atLeast"/>
              <w:jc w:val="center"/>
              <w:rPr>
                <w:rFonts w:eastAsia="方正小标宋_GBK"/>
                <w:bCs/>
                <w:color w:val="auto"/>
                <w:kern w:val="0"/>
                <w:sz w:val="44"/>
                <w:szCs w:val="44"/>
                <w:shd w:val="clear" w:color="auto" w:fill="auto"/>
                <w:vertAlign w:val="baseline"/>
              </w:rPr>
            </w:pPr>
            <w:r>
              <w:rPr>
                <w:rFonts w:hint="eastAsia" w:ascii="仿宋_GB2312" w:hAnsi="仿宋_GB2312" w:cs="仿宋_GB2312"/>
                <w:kern w:val="0"/>
                <w:sz w:val="28"/>
                <w:szCs w:val="28"/>
                <w:lang w:eastAsia="zh-CN"/>
              </w:rPr>
              <w:t>县教育局</w:t>
            </w:r>
          </w:p>
        </w:tc>
        <w:tc>
          <w:tcPr>
            <w:tcW w:w="2285" w:type="dxa"/>
            <w:vAlign w:val="center"/>
          </w:tcPr>
          <w:p>
            <w:pPr>
              <w:widowControl/>
              <w:adjustRightInd w:val="0"/>
              <w:snapToGrid w:val="0"/>
              <w:spacing w:line="180" w:lineRule="atLeast"/>
              <w:jc w:val="center"/>
              <w:rPr>
                <w:rFonts w:eastAsia="方正小标宋_GBK"/>
                <w:bCs/>
                <w:color w:val="auto"/>
                <w:kern w:val="0"/>
                <w:sz w:val="44"/>
                <w:szCs w:val="44"/>
                <w:shd w:val="clear" w:color="auto" w:fill="auto"/>
                <w:vertAlign w:val="baseline"/>
              </w:rPr>
            </w:pPr>
            <w:r>
              <w:rPr>
                <w:rFonts w:hint="eastAsia" w:ascii="仿宋_GB2312" w:hAnsi="仿宋_GB2312" w:cs="仿宋_GB2312"/>
                <w:kern w:val="0"/>
                <w:sz w:val="28"/>
                <w:szCs w:val="28"/>
                <w:lang w:val="en-US" w:eastAsia="zh-CN" w:bidi="ar-SA"/>
              </w:rPr>
              <w:t xml:space="preserve">1 </w:t>
            </w:r>
          </w:p>
        </w:tc>
        <w:tc>
          <w:tcPr>
            <w:tcW w:w="2285" w:type="dxa"/>
            <w:vAlign w:val="center"/>
          </w:tcPr>
          <w:p>
            <w:pPr>
              <w:widowControl/>
              <w:adjustRightInd w:val="0"/>
              <w:snapToGrid w:val="0"/>
              <w:spacing w:line="180" w:lineRule="atLeast"/>
              <w:jc w:val="center"/>
              <w:rPr>
                <w:rFonts w:eastAsia="方正小标宋_GBK"/>
                <w:bCs/>
                <w:color w:val="auto"/>
                <w:kern w:val="0"/>
                <w:sz w:val="44"/>
                <w:szCs w:val="44"/>
                <w:shd w:val="clear" w:color="auto" w:fill="auto"/>
                <w:vertAlign w:val="baseline"/>
              </w:rPr>
            </w:pPr>
            <w:r>
              <w:rPr>
                <w:rFonts w:hint="eastAsia" w:ascii="仿宋_GB2312" w:hAnsi="仿宋_GB2312" w:cs="仿宋_GB2312"/>
                <w:kern w:val="0"/>
                <w:sz w:val="28"/>
                <w:szCs w:val="28"/>
                <w:lang w:val="en-US" w:eastAsia="zh-CN" w:bidi="ar-SA"/>
              </w:rPr>
              <w:t>2</w:t>
            </w:r>
          </w:p>
        </w:tc>
        <w:tc>
          <w:tcPr>
            <w:tcW w:w="2285" w:type="dxa"/>
            <w:vAlign w:val="center"/>
          </w:tcPr>
          <w:p>
            <w:pPr>
              <w:widowControl/>
              <w:adjustRightInd w:val="0"/>
              <w:snapToGrid w:val="0"/>
              <w:spacing w:line="180" w:lineRule="atLeast"/>
              <w:jc w:val="center"/>
              <w:rPr>
                <w:rFonts w:eastAsia="方正小标宋_GBK"/>
                <w:bCs/>
                <w:color w:val="auto"/>
                <w:kern w:val="0"/>
                <w:sz w:val="44"/>
                <w:szCs w:val="44"/>
                <w:shd w:val="clear" w:color="auto" w:fill="auto"/>
                <w:vertAlign w:val="baseline"/>
              </w:rPr>
            </w:pPr>
            <w:r>
              <w:rPr>
                <w:rFonts w:hint="eastAsia" w:ascii="仿宋_GB2312" w:hAnsi="仿宋_GB2312" w:cs="仿宋_GB2312"/>
                <w:kern w:val="0"/>
                <w:sz w:val="28"/>
                <w:szCs w:val="28"/>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285" w:type="dxa"/>
            <w:vAlign w:val="center"/>
          </w:tcPr>
          <w:p>
            <w:pPr>
              <w:widowControl/>
              <w:adjustRightInd w:val="0"/>
              <w:snapToGrid w:val="0"/>
              <w:spacing w:line="180" w:lineRule="atLeast"/>
              <w:jc w:val="center"/>
              <w:rPr>
                <w:rFonts w:eastAsia="方正小标宋_GBK"/>
                <w:bCs/>
                <w:color w:val="auto"/>
                <w:kern w:val="0"/>
                <w:sz w:val="44"/>
                <w:szCs w:val="44"/>
                <w:shd w:val="clear" w:color="auto" w:fill="auto"/>
                <w:vertAlign w:val="baseline"/>
              </w:rPr>
            </w:pPr>
            <w:r>
              <w:rPr>
                <w:rFonts w:hint="eastAsia" w:ascii="仿宋_GB2312" w:hAnsi="仿宋_GB2312" w:cs="仿宋_GB2312"/>
                <w:kern w:val="0"/>
                <w:sz w:val="28"/>
                <w:szCs w:val="28"/>
                <w:lang w:eastAsia="zh-CN"/>
              </w:rPr>
              <w:t>县住建局</w:t>
            </w:r>
          </w:p>
        </w:tc>
        <w:tc>
          <w:tcPr>
            <w:tcW w:w="2285" w:type="dxa"/>
            <w:vAlign w:val="center"/>
          </w:tcPr>
          <w:p>
            <w:pPr>
              <w:widowControl/>
              <w:adjustRightInd w:val="0"/>
              <w:snapToGrid w:val="0"/>
              <w:spacing w:line="180" w:lineRule="atLeast"/>
              <w:jc w:val="center"/>
              <w:rPr>
                <w:rFonts w:eastAsia="方正小标宋_GBK"/>
                <w:bCs/>
                <w:color w:val="auto"/>
                <w:kern w:val="0"/>
                <w:sz w:val="44"/>
                <w:szCs w:val="44"/>
                <w:shd w:val="clear" w:color="auto" w:fill="auto"/>
                <w:vertAlign w:val="baseline"/>
              </w:rPr>
            </w:pPr>
            <w:r>
              <w:rPr>
                <w:rFonts w:hint="eastAsia" w:ascii="仿宋_GB2312" w:hAnsi="仿宋_GB2312" w:cs="仿宋_GB2312"/>
                <w:kern w:val="0"/>
                <w:sz w:val="28"/>
                <w:szCs w:val="28"/>
                <w:lang w:val="en-US" w:eastAsia="zh-CN" w:bidi="ar-SA"/>
              </w:rPr>
              <w:t>1</w:t>
            </w:r>
          </w:p>
        </w:tc>
        <w:tc>
          <w:tcPr>
            <w:tcW w:w="2285" w:type="dxa"/>
            <w:vAlign w:val="center"/>
          </w:tcPr>
          <w:p>
            <w:pPr>
              <w:widowControl/>
              <w:adjustRightInd w:val="0"/>
              <w:snapToGrid w:val="0"/>
              <w:spacing w:line="180" w:lineRule="atLeast"/>
              <w:jc w:val="center"/>
              <w:rPr>
                <w:rFonts w:eastAsia="方正小标宋_GBK"/>
                <w:bCs/>
                <w:color w:val="auto"/>
                <w:kern w:val="0"/>
                <w:sz w:val="44"/>
                <w:szCs w:val="44"/>
                <w:shd w:val="clear" w:color="auto" w:fill="auto"/>
                <w:vertAlign w:val="baseline"/>
              </w:rPr>
            </w:pPr>
            <w:r>
              <w:rPr>
                <w:rFonts w:hint="eastAsia" w:ascii="仿宋_GB2312" w:hAnsi="仿宋_GB2312" w:cs="仿宋_GB2312"/>
                <w:kern w:val="0"/>
                <w:sz w:val="28"/>
                <w:szCs w:val="28"/>
                <w:lang w:val="en-US" w:eastAsia="zh-CN" w:bidi="ar-SA"/>
              </w:rPr>
              <w:t>2</w:t>
            </w:r>
          </w:p>
        </w:tc>
        <w:tc>
          <w:tcPr>
            <w:tcW w:w="2285" w:type="dxa"/>
            <w:vAlign w:val="center"/>
          </w:tcPr>
          <w:p>
            <w:pPr>
              <w:widowControl/>
              <w:adjustRightInd w:val="0"/>
              <w:snapToGrid w:val="0"/>
              <w:spacing w:line="180" w:lineRule="atLeast"/>
              <w:jc w:val="center"/>
              <w:rPr>
                <w:rFonts w:eastAsia="方正小标宋_GBK"/>
                <w:bCs/>
                <w:color w:val="auto"/>
                <w:kern w:val="0"/>
                <w:sz w:val="44"/>
                <w:szCs w:val="44"/>
                <w:shd w:val="clear" w:color="auto" w:fill="auto"/>
                <w:vertAlign w:val="baseline"/>
              </w:rPr>
            </w:pPr>
            <w:r>
              <w:rPr>
                <w:rFonts w:hint="eastAsia" w:ascii="仿宋_GB2312" w:hAnsi="仿宋_GB2312" w:cs="仿宋_GB2312"/>
                <w:kern w:val="0"/>
                <w:sz w:val="28"/>
                <w:szCs w:val="28"/>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285" w:type="dxa"/>
            <w:vAlign w:val="center"/>
          </w:tcPr>
          <w:p>
            <w:pPr>
              <w:widowControl/>
              <w:adjustRightInd w:val="0"/>
              <w:snapToGrid w:val="0"/>
              <w:spacing w:line="180" w:lineRule="atLeast"/>
              <w:jc w:val="center"/>
              <w:rPr>
                <w:rFonts w:eastAsia="方正小标宋_GBK"/>
                <w:bCs/>
                <w:color w:val="auto"/>
                <w:kern w:val="0"/>
                <w:sz w:val="44"/>
                <w:szCs w:val="44"/>
                <w:shd w:val="clear" w:color="auto" w:fill="auto"/>
                <w:vertAlign w:val="baseline"/>
              </w:rPr>
            </w:pPr>
            <w:r>
              <w:rPr>
                <w:rFonts w:hint="eastAsia" w:ascii="仿宋_GB2312" w:hAnsi="仿宋_GB2312" w:cs="仿宋_GB2312"/>
                <w:kern w:val="0"/>
                <w:sz w:val="28"/>
                <w:szCs w:val="28"/>
                <w:lang w:eastAsia="zh-CN"/>
              </w:rPr>
              <w:t>县城管执法局</w:t>
            </w:r>
          </w:p>
        </w:tc>
        <w:tc>
          <w:tcPr>
            <w:tcW w:w="2285" w:type="dxa"/>
            <w:vAlign w:val="center"/>
          </w:tcPr>
          <w:p>
            <w:pPr>
              <w:widowControl/>
              <w:adjustRightInd w:val="0"/>
              <w:snapToGrid w:val="0"/>
              <w:spacing w:line="180" w:lineRule="atLeast"/>
              <w:jc w:val="center"/>
              <w:rPr>
                <w:rFonts w:eastAsia="方正小标宋_GBK"/>
                <w:bCs/>
                <w:color w:val="auto"/>
                <w:kern w:val="0"/>
                <w:sz w:val="44"/>
                <w:szCs w:val="44"/>
                <w:shd w:val="clear" w:color="auto" w:fill="auto"/>
                <w:vertAlign w:val="baseline"/>
              </w:rPr>
            </w:pPr>
          </w:p>
        </w:tc>
        <w:tc>
          <w:tcPr>
            <w:tcW w:w="2285" w:type="dxa"/>
            <w:vAlign w:val="center"/>
          </w:tcPr>
          <w:p>
            <w:pPr>
              <w:widowControl/>
              <w:adjustRightInd w:val="0"/>
              <w:snapToGrid w:val="0"/>
              <w:spacing w:line="180" w:lineRule="atLeast"/>
              <w:jc w:val="center"/>
              <w:rPr>
                <w:rFonts w:eastAsia="方正小标宋_GBK"/>
                <w:bCs/>
                <w:color w:val="auto"/>
                <w:kern w:val="0"/>
                <w:sz w:val="44"/>
                <w:szCs w:val="44"/>
                <w:shd w:val="clear" w:color="auto" w:fill="auto"/>
                <w:vertAlign w:val="baseline"/>
              </w:rPr>
            </w:pPr>
            <w:r>
              <w:rPr>
                <w:rFonts w:hint="eastAsia" w:ascii="仿宋_GB2312" w:hAnsi="仿宋_GB2312" w:cs="仿宋_GB2312"/>
                <w:kern w:val="0"/>
                <w:sz w:val="28"/>
                <w:szCs w:val="28"/>
                <w:lang w:val="en-US" w:eastAsia="zh-CN" w:bidi="ar-SA"/>
              </w:rPr>
              <w:t>1</w:t>
            </w:r>
          </w:p>
        </w:tc>
        <w:tc>
          <w:tcPr>
            <w:tcW w:w="2285" w:type="dxa"/>
            <w:vAlign w:val="center"/>
          </w:tcPr>
          <w:p>
            <w:pPr>
              <w:widowControl/>
              <w:adjustRightInd w:val="0"/>
              <w:snapToGrid w:val="0"/>
              <w:spacing w:line="180" w:lineRule="atLeast"/>
              <w:jc w:val="center"/>
              <w:rPr>
                <w:rFonts w:eastAsia="方正小标宋_GBK"/>
                <w:bCs/>
                <w:color w:val="auto"/>
                <w:kern w:val="0"/>
                <w:sz w:val="44"/>
                <w:szCs w:val="44"/>
                <w:shd w:val="clear" w:color="auto" w:fill="auto"/>
                <w:vertAlign w:val="baseline"/>
              </w:rPr>
            </w:pPr>
            <w:r>
              <w:rPr>
                <w:rFonts w:hint="eastAsia" w:ascii="仿宋_GB2312" w:hAnsi="仿宋_GB2312" w:cs="仿宋_GB2312"/>
                <w:kern w:val="0"/>
                <w:sz w:val="28"/>
                <w:szCs w:val="28"/>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285" w:type="dxa"/>
            <w:vAlign w:val="center"/>
          </w:tcPr>
          <w:p>
            <w:pPr>
              <w:widowControl/>
              <w:adjustRightInd w:val="0"/>
              <w:snapToGrid w:val="0"/>
              <w:spacing w:line="180" w:lineRule="atLeast"/>
              <w:jc w:val="center"/>
              <w:rPr>
                <w:rFonts w:eastAsia="方正小标宋_GBK"/>
                <w:bCs/>
                <w:color w:val="auto"/>
                <w:kern w:val="0"/>
                <w:sz w:val="44"/>
                <w:szCs w:val="44"/>
                <w:shd w:val="clear" w:color="auto" w:fill="auto"/>
                <w:vertAlign w:val="baseline"/>
              </w:rPr>
            </w:pPr>
            <w:r>
              <w:rPr>
                <w:rFonts w:hint="eastAsia" w:ascii="仿宋_GB2312" w:hAnsi="仿宋_GB2312" w:cs="仿宋_GB2312"/>
                <w:kern w:val="0"/>
                <w:sz w:val="28"/>
                <w:szCs w:val="28"/>
                <w:lang w:eastAsia="zh-CN"/>
              </w:rPr>
              <w:t>县民政局</w:t>
            </w:r>
          </w:p>
        </w:tc>
        <w:tc>
          <w:tcPr>
            <w:tcW w:w="2285" w:type="dxa"/>
            <w:vAlign w:val="center"/>
          </w:tcPr>
          <w:p>
            <w:pPr>
              <w:widowControl/>
              <w:adjustRightInd w:val="0"/>
              <w:snapToGrid w:val="0"/>
              <w:spacing w:line="180" w:lineRule="atLeast"/>
              <w:jc w:val="center"/>
              <w:rPr>
                <w:rFonts w:eastAsia="方正小标宋_GBK"/>
                <w:bCs/>
                <w:color w:val="auto"/>
                <w:kern w:val="0"/>
                <w:sz w:val="44"/>
                <w:szCs w:val="44"/>
                <w:shd w:val="clear" w:color="auto" w:fill="auto"/>
                <w:vertAlign w:val="baseline"/>
              </w:rPr>
            </w:pPr>
            <w:r>
              <w:rPr>
                <w:rFonts w:hint="eastAsia" w:ascii="仿宋_GB2312" w:hAnsi="仿宋_GB2312" w:cs="仿宋_GB2312"/>
                <w:kern w:val="0"/>
                <w:sz w:val="28"/>
                <w:szCs w:val="28"/>
                <w:lang w:val="en-US" w:eastAsia="zh-CN" w:bidi="ar-SA"/>
              </w:rPr>
              <w:t>1</w:t>
            </w:r>
          </w:p>
        </w:tc>
        <w:tc>
          <w:tcPr>
            <w:tcW w:w="2285" w:type="dxa"/>
            <w:vAlign w:val="center"/>
          </w:tcPr>
          <w:p>
            <w:pPr>
              <w:widowControl/>
              <w:adjustRightInd w:val="0"/>
              <w:snapToGrid w:val="0"/>
              <w:spacing w:line="180" w:lineRule="atLeast"/>
              <w:jc w:val="center"/>
              <w:rPr>
                <w:rFonts w:eastAsia="方正小标宋_GBK"/>
                <w:bCs/>
                <w:color w:val="auto"/>
                <w:kern w:val="0"/>
                <w:sz w:val="44"/>
                <w:szCs w:val="44"/>
                <w:shd w:val="clear" w:color="auto" w:fill="auto"/>
                <w:vertAlign w:val="baseline"/>
              </w:rPr>
            </w:pPr>
            <w:r>
              <w:rPr>
                <w:rFonts w:hint="eastAsia" w:ascii="仿宋_GB2312" w:hAnsi="仿宋_GB2312" w:cs="仿宋_GB2312"/>
                <w:kern w:val="0"/>
                <w:sz w:val="28"/>
                <w:szCs w:val="28"/>
                <w:lang w:val="en-US" w:eastAsia="zh-CN" w:bidi="ar-SA"/>
              </w:rPr>
              <w:t>2</w:t>
            </w:r>
          </w:p>
        </w:tc>
        <w:tc>
          <w:tcPr>
            <w:tcW w:w="2285" w:type="dxa"/>
            <w:vAlign w:val="center"/>
          </w:tcPr>
          <w:p>
            <w:pPr>
              <w:widowControl/>
              <w:adjustRightInd w:val="0"/>
              <w:snapToGrid w:val="0"/>
              <w:spacing w:line="180" w:lineRule="atLeast"/>
              <w:jc w:val="center"/>
              <w:rPr>
                <w:rFonts w:eastAsia="方正小标宋_GBK"/>
                <w:bCs/>
                <w:color w:val="auto"/>
                <w:kern w:val="0"/>
                <w:sz w:val="44"/>
                <w:szCs w:val="44"/>
                <w:shd w:val="clear" w:color="auto" w:fill="auto"/>
                <w:vertAlign w:val="baseline"/>
              </w:rPr>
            </w:pPr>
            <w:r>
              <w:rPr>
                <w:rFonts w:hint="eastAsia" w:ascii="仿宋_GB2312" w:hAnsi="仿宋_GB2312" w:cs="仿宋_GB2312"/>
                <w:kern w:val="0"/>
                <w:sz w:val="28"/>
                <w:szCs w:val="28"/>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285" w:type="dxa"/>
            <w:vAlign w:val="center"/>
          </w:tcPr>
          <w:p>
            <w:pPr>
              <w:widowControl/>
              <w:adjustRightInd w:val="0"/>
              <w:snapToGrid w:val="0"/>
              <w:spacing w:line="180" w:lineRule="atLeast"/>
              <w:jc w:val="center"/>
              <w:rPr>
                <w:rFonts w:eastAsia="方正小标宋_GBK"/>
                <w:bCs/>
                <w:color w:val="auto"/>
                <w:kern w:val="0"/>
                <w:sz w:val="44"/>
                <w:szCs w:val="44"/>
                <w:shd w:val="clear" w:color="auto" w:fill="auto"/>
                <w:vertAlign w:val="baseline"/>
              </w:rPr>
            </w:pPr>
            <w:r>
              <w:rPr>
                <w:rFonts w:hint="eastAsia" w:ascii="仿宋_GB2312" w:hAnsi="仿宋_GB2312" w:cs="仿宋_GB2312"/>
                <w:kern w:val="0"/>
                <w:sz w:val="28"/>
                <w:szCs w:val="28"/>
                <w:lang w:eastAsia="zh-CN"/>
              </w:rPr>
              <w:t>县交通局</w:t>
            </w:r>
          </w:p>
        </w:tc>
        <w:tc>
          <w:tcPr>
            <w:tcW w:w="2285" w:type="dxa"/>
            <w:vAlign w:val="center"/>
          </w:tcPr>
          <w:p>
            <w:pPr>
              <w:widowControl/>
              <w:adjustRightInd w:val="0"/>
              <w:snapToGrid w:val="0"/>
              <w:spacing w:line="180" w:lineRule="atLeast"/>
              <w:jc w:val="center"/>
              <w:rPr>
                <w:rFonts w:eastAsia="方正小标宋_GBK"/>
                <w:bCs/>
                <w:color w:val="auto"/>
                <w:kern w:val="0"/>
                <w:sz w:val="44"/>
                <w:szCs w:val="44"/>
                <w:shd w:val="clear" w:color="auto" w:fill="auto"/>
                <w:vertAlign w:val="baseline"/>
              </w:rPr>
            </w:pPr>
          </w:p>
        </w:tc>
        <w:tc>
          <w:tcPr>
            <w:tcW w:w="2285" w:type="dxa"/>
            <w:vAlign w:val="center"/>
          </w:tcPr>
          <w:p>
            <w:pPr>
              <w:widowControl/>
              <w:adjustRightInd w:val="0"/>
              <w:snapToGrid w:val="0"/>
              <w:spacing w:line="180" w:lineRule="atLeast"/>
              <w:jc w:val="center"/>
              <w:rPr>
                <w:rFonts w:eastAsia="方正小标宋_GBK"/>
                <w:bCs/>
                <w:color w:val="auto"/>
                <w:kern w:val="0"/>
                <w:sz w:val="44"/>
                <w:szCs w:val="44"/>
                <w:shd w:val="clear" w:color="auto" w:fill="auto"/>
                <w:vertAlign w:val="baseline"/>
              </w:rPr>
            </w:pPr>
            <w:r>
              <w:rPr>
                <w:rFonts w:hint="eastAsia" w:ascii="仿宋_GB2312" w:hAnsi="仿宋_GB2312" w:cs="仿宋_GB2312"/>
                <w:kern w:val="0"/>
                <w:sz w:val="28"/>
                <w:szCs w:val="28"/>
                <w:lang w:val="en-US" w:eastAsia="zh-CN" w:bidi="ar-SA"/>
              </w:rPr>
              <w:t>1</w:t>
            </w:r>
          </w:p>
        </w:tc>
        <w:tc>
          <w:tcPr>
            <w:tcW w:w="2285" w:type="dxa"/>
            <w:vAlign w:val="center"/>
          </w:tcPr>
          <w:p>
            <w:pPr>
              <w:widowControl/>
              <w:adjustRightInd w:val="0"/>
              <w:snapToGrid w:val="0"/>
              <w:spacing w:line="180" w:lineRule="atLeast"/>
              <w:jc w:val="center"/>
              <w:rPr>
                <w:rFonts w:eastAsia="方正小标宋_GBK"/>
                <w:bCs/>
                <w:color w:val="auto"/>
                <w:kern w:val="0"/>
                <w:sz w:val="44"/>
                <w:szCs w:val="44"/>
                <w:shd w:val="clear" w:color="auto" w:fill="auto"/>
                <w:vertAlign w:val="baseline"/>
              </w:rPr>
            </w:pPr>
            <w:r>
              <w:rPr>
                <w:rFonts w:hint="eastAsia" w:ascii="仿宋_GB2312" w:hAnsi="仿宋_GB2312" w:cs="仿宋_GB2312"/>
                <w:kern w:val="0"/>
                <w:sz w:val="28"/>
                <w:szCs w:val="28"/>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285" w:type="dxa"/>
            <w:vAlign w:val="center"/>
          </w:tcPr>
          <w:p>
            <w:pPr>
              <w:widowControl/>
              <w:adjustRightInd w:val="0"/>
              <w:snapToGrid w:val="0"/>
              <w:spacing w:line="180" w:lineRule="atLeast"/>
              <w:jc w:val="center"/>
              <w:rPr>
                <w:rFonts w:eastAsia="方正小标宋_GBK"/>
                <w:bCs/>
                <w:color w:val="auto"/>
                <w:kern w:val="0"/>
                <w:sz w:val="44"/>
                <w:szCs w:val="44"/>
                <w:shd w:val="clear" w:color="auto" w:fill="auto"/>
                <w:vertAlign w:val="baseline"/>
              </w:rPr>
            </w:pPr>
            <w:r>
              <w:rPr>
                <w:rFonts w:hint="eastAsia" w:ascii="仿宋_GB2312" w:hAnsi="仿宋_GB2312" w:cs="仿宋_GB2312"/>
                <w:kern w:val="0"/>
                <w:sz w:val="28"/>
                <w:szCs w:val="28"/>
                <w:lang w:eastAsia="zh-CN"/>
              </w:rPr>
              <w:t>县商务局</w:t>
            </w:r>
          </w:p>
        </w:tc>
        <w:tc>
          <w:tcPr>
            <w:tcW w:w="2285" w:type="dxa"/>
            <w:vAlign w:val="center"/>
          </w:tcPr>
          <w:p>
            <w:pPr>
              <w:widowControl/>
              <w:adjustRightInd w:val="0"/>
              <w:snapToGrid w:val="0"/>
              <w:spacing w:line="180" w:lineRule="atLeast"/>
              <w:jc w:val="center"/>
              <w:rPr>
                <w:rFonts w:eastAsia="方正小标宋_GBK"/>
                <w:bCs/>
                <w:color w:val="auto"/>
                <w:kern w:val="0"/>
                <w:sz w:val="44"/>
                <w:szCs w:val="44"/>
                <w:shd w:val="clear" w:color="auto" w:fill="auto"/>
                <w:vertAlign w:val="baseline"/>
              </w:rPr>
            </w:pPr>
          </w:p>
        </w:tc>
        <w:tc>
          <w:tcPr>
            <w:tcW w:w="2285" w:type="dxa"/>
            <w:vAlign w:val="center"/>
          </w:tcPr>
          <w:p>
            <w:pPr>
              <w:widowControl/>
              <w:adjustRightInd w:val="0"/>
              <w:snapToGrid w:val="0"/>
              <w:spacing w:line="180" w:lineRule="atLeast"/>
              <w:jc w:val="center"/>
              <w:rPr>
                <w:rFonts w:eastAsia="方正小标宋_GBK"/>
                <w:bCs/>
                <w:color w:val="auto"/>
                <w:kern w:val="0"/>
                <w:sz w:val="44"/>
                <w:szCs w:val="44"/>
                <w:shd w:val="clear" w:color="auto" w:fill="auto"/>
                <w:vertAlign w:val="baseline"/>
              </w:rPr>
            </w:pPr>
            <w:r>
              <w:rPr>
                <w:rFonts w:hint="eastAsia" w:ascii="仿宋_GB2312" w:hAnsi="仿宋_GB2312" w:cs="仿宋_GB2312"/>
                <w:kern w:val="0"/>
                <w:sz w:val="28"/>
                <w:szCs w:val="28"/>
                <w:lang w:val="en-US" w:eastAsia="zh-CN" w:bidi="ar-SA"/>
              </w:rPr>
              <w:t>1</w:t>
            </w:r>
          </w:p>
        </w:tc>
        <w:tc>
          <w:tcPr>
            <w:tcW w:w="2285" w:type="dxa"/>
            <w:vAlign w:val="center"/>
          </w:tcPr>
          <w:p>
            <w:pPr>
              <w:widowControl/>
              <w:adjustRightInd w:val="0"/>
              <w:snapToGrid w:val="0"/>
              <w:spacing w:line="180" w:lineRule="atLeast"/>
              <w:jc w:val="center"/>
              <w:rPr>
                <w:rFonts w:eastAsia="方正小标宋_GBK"/>
                <w:bCs/>
                <w:color w:val="auto"/>
                <w:kern w:val="0"/>
                <w:sz w:val="44"/>
                <w:szCs w:val="44"/>
                <w:shd w:val="clear" w:color="auto" w:fill="auto"/>
                <w:vertAlign w:val="baseline"/>
              </w:rPr>
            </w:pPr>
            <w:r>
              <w:rPr>
                <w:rFonts w:hint="eastAsia" w:ascii="仿宋_GB2312" w:hAnsi="仿宋_GB2312" w:cs="仿宋_GB2312"/>
                <w:kern w:val="0"/>
                <w:sz w:val="28"/>
                <w:szCs w:val="28"/>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285" w:type="dxa"/>
            <w:vAlign w:val="center"/>
          </w:tcPr>
          <w:p>
            <w:pPr>
              <w:widowControl/>
              <w:adjustRightInd w:val="0"/>
              <w:snapToGrid w:val="0"/>
              <w:spacing w:line="180" w:lineRule="atLeast"/>
              <w:jc w:val="center"/>
              <w:rPr>
                <w:rFonts w:eastAsia="方正小标宋_GBK"/>
                <w:bCs/>
                <w:color w:val="auto"/>
                <w:kern w:val="0"/>
                <w:sz w:val="44"/>
                <w:szCs w:val="44"/>
                <w:shd w:val="clear" w:color="auto" w:fill="auto"/>
                <w:vertAlign w:val="baseline"/>
              </w:rPr>
            </w:pPr>
            <w:r>
              <w:rPr>
                <w:rFonts w:hint="eastAsia" w:ascii="仿宋_GB2312" w:hAnsi="仿宋_GB2312" w:cs="仿宋_GB2312"/>
                <w:kern w:val="0"/>
                <w:sz w:val="28"/>
                <w:szCs w:val="28"/>
                <w:lang w:eastAsia="zh-CN"/>
              </w:rPr>
              <w:t>县水利局</w:t>
            </w:r>
          </w:p>
        </w:tc>
        <w:tc>
          <w:tcPr>
            <w:tcW w:w="2285" w:type="dxa"/>
            <w:vAlign w:val="center"/>
          </w:tcPr>
          <w:p>
            <w:pPr>
              <w:widowControl/>
              <w:adjustRightInd w:val="0"/>
              <w:snapToGrid w:val="0"/>
              <w:spacing w:line="180" w:lineRule="atLeast"/>
              <w:jc w:val="center"/>
              <w:rPr>
                <w:rFonts w:eastAsia="方正小标宋_GBK"/>
                <w:bCs/>
                <w:color w:val="auto"/>
                <w:kern w:val="0"/>
                <w:sz w:val="44"/>
                <w:szCs w:val="44"/>
                <w:shd w:val="clear" w:color="auto" w:fill="auto"/>
                <w:vertAlign w:val="baseline"/>
              </w:rPr>
            </w:pPr>
          </w:p>
        </w:tc>
        <w:tc>
          <w:tcPr>
            <w:tcW w:w="2285" w:type="dxa"/>
            <w:vAlign w:val="center"/>
          </w:tcPr>
          <w:p>
            <w:pPr>
              <w:widowControl/>
              <w:adjustRightInd w:val="0"/>
              <w:snapToGrid w:val="0"/>
              <w:spacing w:line="180" w:lineRule="atLeast"/>
              <w:jc w:val="center"/>
              <w:rPr>
                <w:rFonts w:eastAsia="方正小标宋_GBK"/>
                <w:bCs/>
                <w:color w:val="auto"/>
                <w:kern w:val="0"/>
                <w:sz w:val="44"/>
                <w:szCs w:val="44"/>
                <w:shd w:val="clear" w:color="auto" w:fill="auto"/>
                <w:vertAlign w:val="baseline"/>
              </w:rPr>
            </w:pPr>
            <w:r>
              <w:rPr>
                <w:rFonts w:hint="eastAsia" w:ascii="仿宋_GB2312" w:hAnsi="仿宋_GB2312" w:cs="仿宋_GB2312"/>
                <w:kern w:val="0"/>
                <w:sz w:val="28"/>
                <w:szCs w:val="28"/>
                <w:lang w:val="en-US" w:eastAsia="zh-CN" w:bidi="ar-SA"/>
              </w:rPr>
              <w:t>1</w:t>
            </w:r>
          </w:p>
        </w:tc>
        <w:tc>
          <w:tcPr>
            <w:tcW w:w="2285" w:type="dxa"/>
            <w:vAlign w:val="center"/>
          </w:tcPr>
          <w:p>
            <w:pPr>
              <w:widowControl/>
              <w:adjustRightInd w:val="0"/>
              <w:snapToGrid w:val="0"/>
              <w:spacing w:line="180" w:lineRule="atLeast"/>
              <w:jc w:val="center"/>
              <w:rPr>
                <w:rFonts w:eastAsia="方正小标宋_GBK"/>
                <w:bCs/>
                <w:color w:val="auto"/>
                <w:kern w:val="0"/>
                <w:sz w:val="44"/>
                <w:szCs w:val="44"/>
                <w:shd w:val="clear" w:color="auto" w:fill="auto"/>
                <w:vertAlign w:val="baseline"/>
              </w:rPr>
            </w:pPr>
            <w:r>
              <w:rPr>
                <w:rFonts w:hint="eastAsia" w:ascii="仿宋_GB2312" w:hAnsi="仿宋_GB2312" w:cs="仿宋_GB2312"/>
                <w:kern w:val="0"/>
                <w:sz w:val="28"/>
                <w:szCs w:val="28"/>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285" w:type="dxa"/>
            <w:vAlign w:val="center"/>
          </w:tcPr>
          <w:p>
            <w:pPr>
              <w:widowControl/>
              <w:adjustRightInd w:val="0"/>
              <w:snapToGrid w:val="0"/>
              <w:spacing w:line="180" w:lineRule="atLeast"/>
              <w:jc w:val="center"/>
              <w:rPr>
                <w:rFonts w:eastAsia="方正小标宋_GBK"/>
                <w:bCs/>
                <w:color w:val="auto"/>
                <w:kern w:val="0"/>
                <w:sz w:val="44"/>
                <w:szCs w:val="44"/>
                <w:shd w:val="clear" w:color="auto" w:fill="auto"/>
                <w:vertAlign w:val="baseline"/>
              </w:rPr>
            </w:pPr>
            <w:r>
              <w:rPr>
                <w:rFonts w:hint="eastAsia" w:ascii="仿宋_GB2312" w:hAnsi="仿宋_GB2312" w:cs="仿宋_GB2312"/>
                <w:kern w:val="0"/>
                <w:sz w:val="28"/>
                <w:szCs w:val="28"/>
                <w:lang w:eastAsia="zh-CN"/>
              </w:rPr>
              <w:t>县司法局</w:t>
            </w:r>
          </w:p>
        </w:tc>
        <w:tc>
          <w:tcPr>
            <w:tcW w:w="2285" w:type="dxa"/>
            <w:vAlign w:val="center"/>
          </w:tcPr>
          <w:p>
            <w:pPr>
              <w:widowControl/>
              <w:adjustRightInd w:val="0"/>
              <w:snapToGrid w:val="0"/>
              <w:spacing w:line="180" w:lineRule="atLeast"/>
              <w:jc w:val="center"/>
              <w:rPr>
                <w:rFonts w:eastAsia="方正小标宋_GBK"/>
                <w:bCs/>
                <w:color w:val="auto"/>
                <w:kern w:val="0"/>
                <w:sz w:val="44"/>
                <w:szCs w:val="44"/>
                <w:shd w:val="clear" w:color="auto" w:fill="auto"/>
                <w:vertAlign w:val="baseline"/>
              </w:rPr>
            </w:pPr>
          </w:p>
        </w:tc>
        <w:tc>
          <w:tcPr>
            <w:tcW w:w="2285" w:type="dxa"/>
            <w:vAlign w:val="center"/>
          </w:tcPr>
          <w:p>
            <w:pPr>
              <w:widowControl/>
              <w:adjustRightInd w:val="0"/>
              <w:snapToGrid w:val="0"/>
              <w:spacing w:line="180" w:lineRule="atLeast"/>
              <w:jc w:val="center"/>
              <w:rPr>
                <w:rFonts w:eastAsia="方正小标宋_GBK"/>
                <w:bCs/>
                <w:color w:val="auto"/>
                <w:kern w:val="0"/>
                <w:sz w:val="44"/>
                <w:szCs w:val="44"/>
                <w:shd w:val="clear" w:color="auto" w:fill="auto"/>
                <w:vertAlign w:val="baseline"/>
              </w:rPr>
            </w:pPr>
            <w:r>
              <w:rPr>
                <w:rFonts w:hint="eastAsia" w:ascii="仿宋_GB2312" w:hAnsi="仿宋_GB2312" w:cs="仿宋_GB2312"/>
                <w:kern w:val="0"/>
                <w:sz w:val="28"/>
                <w:szCs w:val="28"/>
                <w:lang w:val="en-US" w:eastAsia="zh-CN" w:bidi="ar-SA"/>
              </w:rPr>
              <w:t>1</w:t>
            </w:r>
          </w:p>
        </w:tc>
        <w:tc>
          <w:tcPr>
            <w:tcW w:w="2285" w:type="dxa"/>
            <w:vAlign w:val="center"/>
          </w:tcPr>
          <w:p>
            <w:pPr>
              <w:widowControl/>
              <w:adjustRightInd w:val="0"/>
              <w:snapToGrid w:val="0"/>
              <w:spacing w:line="180" w:lineRule="atLeast"/>
              <w:jc w:val="center"/>
              <w:rPr>
                <w:rFonts w:eastAsia="方正小标宋_GBK"/>
                <w:bCs/>
                <w:color w:val="auto"/>
                <w:kern w:val="0"/>
                <w:sz w:val="44"/>
                <w:szCs w:val="44"/>
                <w:shd w:val="clear" w:color="auto" w:fill="auto"/>
                <w:vertAlign w:val="baseline"/>
              </w:rPr>
            </w:pPr>
            <w:r>
              <w:rPr>
                <w:rFonts w:hint="eastAsia" w:ascii="仿宋_GB2312" w:hAnsi="仿宋_GB2312" w:cs="仿宋_GB2312"/>
                <w:kern w:val="0"/>
                <w:sz w:val="28"/>
                <w:szCs w:val="28"/>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285" w:type="dxa"/>
            <w:vAlign w:val="center"/>
          </w:tcPr>
          <w:p>
            <w:pPr>
              <w:widowControl/>
              <w:adjustRightInd w:val="0"/>
              <w:snapToGrid w:val="0"/>
              <w:spacing w:line="180" w:lineRule="atLeast"/>
              <w:jc w:val="center"/>
              <w:rPr>
                <w:rFonts w:eastAsia="方正小标宋_GBK"/>
                <w:bCs/>
                <w:color w:val="auto"/>
                <w:kern w:val="0"/>
                <w:sz w:val="44"/>
                <w:szCs w:val="44"/>
                <w:shd w:val="clear" w:color="auto" w:fill="auto"/>
                <w:vertAlign w:val="baseline"/>
              </w:rPr>
            </w:pPr>
            <w:r>
              <w:rPr>
                <w:rFonts w:hint="eastAsia" w:ascii="仿宋_GB2312" w:hAnsi="仿宋_GB2312" w:cs="仿宋_GB2312"/>
                <w:kern w:val="0"/>
                <w:sz w:val="28"/>
                <w:szCs w:val="28"/>
                <w:lang w:eastAsia="zh-CN"/>
              </w:rPr>
              <w:t>市生态环境局安化分局</w:t>
            </w:r>
          </w:p>
        </w:tc>
        <w:tc>
          <w:tcPr>
            <w:tcW w:w="2285" w:type="dxa"/>
            <w:vAlign w:val="center"/>
          </w:tcPr>
          <w:p>
            <w:pPr>
              <w:widowControl/>
              <w:adjustRightInd w:val="0"/>
              <w:snapToGrid w:val="0"/>
              <w:spacing w:line="180" w:lineRule="atLeast"/>
              <w:jc w:val="center"/>
              <w:rPr>
                <w:rFonts w:eastAsia="方正小标宋_GBK"/>
                <w:bCs/>
                <w:color w:val="auto"/>
                <w:kern w:val="0"/>
                <w:sz w:val="44"/>
                <w:szCs w:val="44"/>
                <w:shd w:val="clear" w:color="auto" w:fill="auto"/>
                <w:vertAlign w:val="baseline"/>
              </w:rPr>
            </w:pPr>
          </w:p>
        </w:tc>
        <w:tc>
          <w:tcPr>
            <w:tcW w:w="2285" w:type="dxa"/>
            <w:vAlign w:val="center"/>
          </w:tcPr>
          <w:p>
            <w:pPr>
              <w:widowControl/>
              <w:adjustRightInd w:val="0"/>
              <w:snapToGrid w:val="0"/>
              <w:spacing w:line="180" w:lineRule="atLeast"/>
              <w:jc w:val="center"/>
              <w:rPr>
                <w:rFonts w:eastAsia="方正小标宋_GBK"/>
                <w:bCs/>
                <w:color w:val="auto"/>
                <w:kern w:val="0"/>
                <w:sz w:val="44"/>
                <w:szCs w:val="44"/>
                <w:shd w:val="clear" w:color="auto" w:fill="auto"/>
                <w:vertAlign w:val="baseline"/>
              </w:rPr>
            </w:pPr>
            <w:r>
              <w:rPr>
                <w:rFonts w:hint="eastAsia" w:ascii="仿宋_GB2312" w:hAnsi="仿宋_GB2312" w:cs="仿宋_GB2312"/>
                <w:kern w:val="0"/>
                <w:sz w:val="28"/>
                <w:szCs w:val="28"/>
                <w:lang w:val="en-US" w:eastAsia="zh-CN" w:bidi="ar-SA"/>
              </w:rPr>
              <w:t>1</w:t>
            </w:r>
          </w:p>
        </w:tc>
        <w:tc>
          <w:tcPr>
            <w:tcW w:w="2285" w:type="dxa"/>
            <w:vAlign w:val="center"/>
          </w:tcPr>
          <w:p>
            <w:pPr>
              <w:widowControl/>
              <w:adjustRightInd w:val="0"/>
              <w:snapToGrid w:val="0"/>
              <w:spacing w:line="180" w:lineRule="atLeast"/>
              <w:jc w:val="center"/>
              <w:rPr>
                <w:rFonts w:eastAsia="方正小标宋_GBK"/>
                <w:bCs/>
                <w:color w:val="auto"/>
                <w:kern w:val="0"/>
                <w:sz w:val="44"/>
                <w:szCs w:val="44"/>
                <w:shd w:val="clear" w:color="auto" w:fill="auto"/>
                <w:vertAlign w:val="baseline"/>
              </w:rPr>
            </w:pPr>
            <w:r>
              <w:rPr>
                <w:rFonts w:hint="eastAsia" w:ascii="仿宋_GB2312" w:hAnsi="仿宋_GB2312" w:cs="仿宋_GB2312"/>
                <w:kern w:val="0"/>
                <w:sz w:val="28"/>
                <w:szCs w:val="28"/>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2285" w:type="dxa"/>
            <w:vAlign w:val="center"/>
          </w:tcPr>
          <w:p>
            <w:pPr>
              <w:widowControl/>
              <w:adjustRightInd w:val="0"/>
              <w:snapToGrid w:val="0"/>
              <w:spacing w:line="180" w:lineRule="atLeast"/>
              <w:jc w:val="center"/>
              <w:rPr>
                <w:rFonts w:eastAsia="方正小标宋_GBK"/>
                <w:bCs/>
                <w:color w:val="auto"/>
                <w:kern w:val="0"/>
                <w:sz w:val="44"/>
                <w:szCs w:val="44"/>
                <w:shd w:val="clear" w:color="auto" w:fill="auto"/>
                <w:vertAlign w:val="baseline"/>
              </w:rPr>
            </w:pPr>
            <w:r>
              <w:rPr>
                <w:rFonts w:hint="eastAsia" w:ascii="仿宋_GB2312" w:hAnsi="仿宋_GB2312" w:cs="仿宋_GB2312"/>
                <w:kern w:val="0"/>
                <w:sz w:val="28"/>
                <w:szCs w:val="28"/>
                <w:lang w:val="en" w:eastAsia="zh-CN"/>
              </w:rPr>
              <w:t>县市监局</w:t>
            </w:r>
          </w:p>
        </w:tc>
        <w:tc>
          <w:tcPr>
            <w:tcW w:w="2285" w:type="dxa"/>
            <w:vAlign w:val="center"/>
          </w:tcPr>
          <w:p>
            <w:pPr>
              <w:widowControl/>
              <w:adjustRightInd w:val="0"/>
              <w:snapToGrid w:val="0"/>
              <w:spacing w:line="180" w:lineRule="atLeast"/>
              <w:jc w:val="center"/>
              <w:rPr>
                <w:rFonts w:eastAsia="方正小标宋_GBK"/>
                <w:bCs/>
                <w:color w:val="auto"/>
                <w:kern w:val="0"/>
                <w:sz w:val="44"/>
                <w:szCs w:val="44"/>
                <w:shd w:val="clear" w:color="auto" w:fill="auto"/>
                <w:vertAlign w:val="baseline"/>
              </w:rPr>
            </w:pPr>
          </w:p>
        </w:tc>
        <w:tc>
          <w:tcPr>
            <w:tcW w:w="2285" w:type="dxa"/>
            <w:vAlign w:val="center"/>
          </w:tcPr>
          <w:p>
            <w:pPr>
              <w:widowControl/>
              <w:adjustRightInd w:val="0"/>
              <w:snapToGrid w:val="0"/>
              <w:spacing w:line="180" w:lineRule="atLeast"/>
              <w:jc w:val="center"/>
              <w:rPr>
                <w:rFonts w:eastAsia="方正小标宋_GBK"/>
                <w:bCs/>
                <w:color w:val="auto"/>
                <w:kern w:val="0"/>
                <w:sz w:val="44"/>
                <w:szCs w:val="44"/>
                <w:shd w:val="clear" w:color="auto" w:fill="auto"/>
                <w:vertAlign w:val="baseline"/>
              </w:rPr>
            </w:pPr>
            <w:r>
              <w:rPr>
                <w:rFonts w:hint="eastAsia" w:ascii="仿宋_GB2312" w:hAnsi="仿宋_GB2312" w:cs="仿宋_GB2312"/>
                <w:color w:val="000000"/>
                <w:kern w:val="0"/>
                <w:sz w:val="28"/>
                <w:szCs w:val="28"/>
                <w:lang w:val="en-US" w:eastAsia="zh-CN"/>
              </w:rPr>
              <w:t>1</w:t>
            </w:r>
          </w:p>
        </w:tc>
        <w:tc>
          <w:tcPr>
            <w:tcW w:w="2285" w:type="dxa"/>
            <w:vAlign w:val="center"/>
          </w:tcPr>
          <w:p>
            <w:pPr>
              <w:widowControl/>
              <w:adjustRightInd w:val="0"/>
              <w:snapToGrid w:val="0"/>
              <w:spacing w:line="180" w:lineRule="atLeast"/>
              <w:jc w:val="center"/>
              <w:rPr>
                <w:rFonts w:eastAsia="方正小标宋_GBK"/>
                <w:bCs/>
                <w:color w:val="auto"/>
                <w:kern w:val="0"/>
                <w:sz w:val="44"/>
                <w:szCs w:val="44"/>
                <w:shd w:val="clear" w:color="auto" w:fill="auto"/>
                <w:vertAlign w:val="baseline"/>
              </w:rPr>
            </w:pPr>
            <w:r>
              <w:rPr>
                <w:rFonts w:hint="eastAsia" w:ascii="仿宋_GB2312" w:hAnsi="仿宋_GB2312" w:cs="仿宋_GB2312"/>
                <w:color w:val="000000"/>
                <w:kern w:val="0"/>
                <w:sz w:val="28"/>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exact"/>
        </w:trPr>
        <w:tc>
          <w:tcPr>
            <w:tcW w:w="2285" w:type="dxa"/>
            <w:vAlign w:val="center"/>
          </w:tcPr>
          <w:p>
            <w:pPr>
              <w:widowControl/>
              <w:adjustRightInd w:val="0"/>
              <w:snapToGrid w:val="0"/>
              <w:spacing w:line="180" w:lineRule="atLeast"/>
              <w:jc w:val="center"/>
              <w:rPr>
                <w:rFonts w:hint="eastAsia" w:ascii="Times New Roman" w:hAnsi="Times New Roman" w:eastAsia="方正小标宋_GBK" w:cs="Times New Roman"/>
                <w:bCs/>
                <w:color w:val="auto"/>
                <w:kern w:val="0"/>
                <w:sz w:val="44"/>
                <w:szCs w:val="44"/>
                <w:shd w:val="clear" w:color="auto" w:fill="auto"/>
                <w:vertAlign w:val="baseline"/>
                <w:lang w:val="en" w:eastAsia="zh-CN" w:bidi="ar-SA"/>
              </w:rPr>
            </w:pPr>
            <w:r>
              <w:rPr>
                <w:rFonts w:hint="eastAsia" w:ascii="仿宋_GB2312" w:hAnsi="仿宋_GB2312" w:eastAsia="仿宋_GB2312" w:cs="仿宋_GB2312"/>
                <w:b/>
                <w:kern w:val="0"/>
                <w:sz w:val="28"/>
                <w:szCs w:val="28"/>
                <w:lang w:val="en" w:eastAsia="zh-CN"/>
              </w:rPr>
              <w:t>总</w:t>
            </w:r>
            <w:r>
              <w:rPr>
                <w:rFonts w:hint="eastAsia" w:ascii="仿宋_GB2312" w:hAnsi="仿宋_GB2312" w:eastAsia="仿宋_GB2312" w:cs="仿宋_GB2312"/>
                <w:b/>
                <w:kern w:val="0"/>
                <w:sz w:val="28"/>
                <w:szCs w:val="28"/>
                <w:lang w:val="en-US" w:eastAsia="zh-CN"/>
              </w:rPr>
              <w:t xml:space="preserve">  </w:t>
            </w:r>
            <w:r>
              <w:rPr>
                <w:rFonts w:hint="eastAsia" w:ascii="仿宋_GB2312" w:hAnsi="仿宋_GB2312" w:eastAsia="仿宋_GB2312" w:cs="仿宋_GB2312"/>
                <w:b/>
                <w:kern w:val="0"/>
                <w:sz w:val="28"/>
                <w:szCs w:val="28"/>
                <w:lang w:val="en" w:eastAsia="zh-CN"/>
              </w:rPr>
              <w:t>数</w:t>
            </w:r>
          </w:p>
        </w:tc>
        <w:tc>
          <w:tcPr>
            <w:tcW w:w="2285" w:type="dxa"/>
            <w:vAlign w:val="center"/>
          </w:tcPr>
          <w:p>
            <w:pPr>
              <w:widowControl/>
              <w:adjustRightInd w:val="0"/>
              <w:snapToGrid w:val="0"/>
              <w:spacing w:line="180" w:lineRule="atLeast"/>
              <w:jc w:val="center"/>
              <w:rPr>
                <w:rFonts w:hint="eastAsia" w:ascii="Times New Roman" w:hAnsi="Times New Roman" w:eastAsia="方正小标宋_GBK" w:cs="Times New Roman"/>
                <w:bCs/>
                <w:color w:val="auto"/>
                <w:kern w:val="0"/>
                <w:sz w:val="44"/>
                <w:szCs w:val="44"/>
                <w:shd w:val="clear" w:color="auto" w:fill="auto"/>
                <w:vertAlign w:val="baseline"/>
                <w:lang w:val="en-US" w:eastAsia="zh-CN" w:bidi="ar-SA"/>
              </w:rPr>
            </w:pPr>
            <w:r>
              <w:rPr>
                <w:rFonts w:hint="eastAsia" w:ascii="仿宋_GB2312" w:hAnsi="仿宋_GB2312" w:eastAsia="仿宋_GB2312" w:cs="仿宋_GB2312"/>
                <w:color w:val="000000"/>
                <w:kern w:val="0"/>
                <w:sz w:val="28"/>
                <w:szCs w:val="28"/>
                <w:lang w:val="en-US" w:eastAsia="zh-CN"/>
              </w:rPr>
              <w:t>16</w:t>
            </w:r>
          </w:p>
        </w:tc>
        <w:tc>
          <w:tcPr>
            <w:tcW w:w="2285" w:type="dxa"/>
            <w:vAlign w:val="center"/>
          </w:tcPr>
          <w:p>
            <w:pPr>
              <w:widowControl/>
              <w:adjustRightInd w:val="0"/>
              <w:snapToGrid w:val="0"/>
              <w:spacing w:line="180" w:lineRule="atLeast"/>
              <w:jc w:val="center"/>
              <w:rPr>
                <w:rFonts w:hint="eastAsia" w:ascii="Times New Roman" w:hAnsi="Times New Roman" w:eastAsia="方正小标宋_GBK" w:cs="Times New Roman"/>
                <w:bCs/>
                <w:color w:val="auto"/>
                <w:kern w:val="0"/>
                <w:sz w:val="44"/>
                <w:szCs w:val="44"/>
                <w:shd w:val="clear" w:color="auto" w:fill="auto"/>
                <w:vertAlign w:val="baseline"/>
                <w:lang w:val="en-US" w:eastAsia="zh-CN" w:bidi="ar-SA"/>
              </w:rPr>
            </w:pPr>
            <w:r>
              <w:rPr>
                <w:rFonts w:hint="eastAsia" w:ascii="仿宋_GB2312" w:hAnsi="仿宋_GB2312" w:cs="仿宋_GB2312"/>
                <w:color w:val="000000"/>
                <w:kern w:val="0"/>
                <w:sz w:val="28"/>
                <w:szCs w:val="28"/>
                <w:lang w:val="en-US" w:eastAsia="zh-CN"/>
              </w:rPr>
              <w:t>33</w:t>
            </w:r>
          </w:p>
        </w:tc>
        <w:tc>
          <w:tcPr>
            <w:tcW w:w="2285" w:type="dxa"/>
            <w:vAlign w:val="center"/>
          </w:tcPr>
          <w:p>
            <w:pPr>
              <w:widowControl/>
              <w:adjustRightInd w:val="0"/>
              <w:snapToGrid w:val="0"/>
              <w:spacing w:line="180" w:lineRule="atLeast"/>
              <w:jc w:val="center"/>
              <w:rPr>
                <w:rFonts w:hint="eastAsia" w:ascii="Times New Roman" w:hAnsi="Times New Roman" w:eastAsia="方正小标宋_GBK" w:cs="Times New Roman"/>
                <w:bCs/>
                <w:color w:val="auto"/>
                <w:kern w:val="0"/>
                <w:sz w:val="44"/>
                <w:szCs w:val="44"/>
                <w:shd w:val="clear" w:color="auto" w:fill="auto"/>
                <w:vertAlign w:val="baseline"/>
                <w:lang w:val="en-US" w:eastAsia="zh-CN" w:bidi="ar-SA"/>
              </w:rPr>
            </w:pPr>
            <w:r>
              <w:rPr>
                <w:rFonts w:hint="eastAsia" w:ascii="仿宋_GB2312" w:hAnsi="仿宋_GB2312" w:cs="仿宋_GB2312"/>
                <w:color w:val="000000"/>
                <w:kern w:val="0"/>
                <w:sz w:val="28"/>
                <w:szCs w:val="28"/>
                <w:lang w:val="en-US" w:eastAsia="zh-CN"/>
              </w:rPr>
              <w:t>17</w:t>
            </w:r>
          </w:p>
        </w:tc>
      </w:tr>
    </w:tbl>
    <w:p>
      <w:pPr>
        <w:tabs>
          <w:tab w:val="left" w:pos="1691"/>
        </w:tabs>
        <w:rPr>
          <w:rFonts w:hint="eastAsia" w:ascii="仿宋_GB2312" w:hAnsi="黑体" w:eastAsia="仿宋_GB2312"/>
          <w:color w:val="000000" w:themeColor="text1"/>
          <w:sz w:val="32"/>
          <w:szCs w:val="32"/>
          <w:lang w:val="en-US" w:eastAsia="zh-CN"/>
          <w14:textFill>
            <w14:solidFill>
              <w14:schemeClr w14:val="tx1"/>
            </w14:solidFill>
          </w14:textFill>
        </w:rPr>
      </w:pPr>
      <w:r>
        <w:rPr>
          <w:rFonts w:hint="eastAsia" w:ascii="仿宋_GB2312" w:hAnsi="黑体" w:eastAsia="仿宋_GB2312"/>
          <w:color w:val="000000" w:themeColor="text1"/>
          <w:sz w:val="32"/>
          <w:szCs w:val="32"/>
          <w:lang w:eastAsia="zh-CN"/>
          <w14:textFill>
            <w14:solidFill>
              <w14:schemeClr w14:val="tx1"/>
            </w14:solidFill>
          </w14:textFill>
        </w:rPr>
        <w:t>附件</w:t>
      </w:r>
      <w:r>
        <w:rPr>
          <w:rFonts w:hint="eastAsia" w:ascii="仿宋_GB2312" w:hAnsi="黑体" w:eastAsia="仿宋_GB2312"/>
          <w:color w:val="000000" w:themeColor="text1"/>
          <w:sz w:val="32"/>
          <w:szCs w:val="32"/>
          <w:lang w:val="en-US" w:eastAsia="zh-CN"/>
          <w14:textFill>
            <w14:solidFill>
              <w14:schemeClr w14:val="tx1"/>
            </w14:solidFill>
          </w14:textFill>
        </w:rPr>
        <w:t>3：</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880" w:firstLineChars="20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服务业企业入库操作指南</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880" w:firstLineChars="200"/>
        <w:jc w:val="center"/>
        <w:rPr>
          <w:rFonts w:hint="eastAsia" w:ascii="方正小标宋简体" w:hAnsi="方正小标宋简体" w:eastAsia="方正小标宋简体" w:cs="方正小标宋简体"/>
          <w:sz w:val="44"/>
          <w:szCs w:val="44"/>
          <w:lang w:val="en-US" w:eastAsia="zh-CN"/>
        </w:rPr>
      </w:pPr>
    </w:p>
    <w:p>
      <w:pPr>
        <w:keepNext w:val="0"/>
        <w:keepLines w:val="0"/>
        <w:pageBreakBefore w:val="0"/>
        <w:kinsoku/>
        <w:wordWrap/>
        <w:overflowPunct/>
        <w:topLinePunct w:val="0"/>
        <w:autoSpaceDE/>
        <w:autoSpaceDN/>
        <w:bidi w:val="0"/>
        <w:adjustRightInd/>
        <w:snapToGrid/>
        <w:spacing w:line="540" w:lineRule="exact"/>
        <w:ind w:firstLine="640" w:firstLineChars="200"/>
        <w:jc w:val="left"/>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一、规模以上服务业入库标准</w:t>
      </w:r>
    </w:p>
    <w:p>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lang w:eastAsia="zh-CN"/>
        </w:rPr>
        <w:t>（一）年营业收入2000万元及以上的服务业法人</w:t>
      </w:r>
    </w:p>
    <w:p>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交通运输、仓储和邮政业，信息传输、软件和信息技术服务业，水利、环境和公共设施管理业三个门类和卫生行业大类。</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rPr>
          <w:rFonts w:hint="eastAsia" w:ascii="楷体" w:hAnsi="楷体" w:eastAsia="楷体" w:cs="楷体"/>
          <w:sz w:val="32"/>
          <w:szCs w:val="32"/>
          <w:lang w:eastAsia="zh-CN"/>
        </w:rPr>
      </w:pPr>
      <w:r>
        <w:rPr>
          <w:rFonts w:hint="eastAsia" w:ascii="楷体" w:hAnsi="楷体" w:eastAsia="楷体" w:cs="楷体"/>
          <w:kern w:val="2"/>
          <w:sz w:val="32"/>
          <w:szCs w:val="32"/>
          <w:lang w:val="en-US" w:eastAsia="zh-CN" w:bidi="ar-SA"/>
        </w:rPr>
        <w:t>（二）</w:t>
      </w:r>
      <w:r>
        <w:rPr>
          <w:rFonts w:hint="eastAsia" w:ascii="楷体" w:hAnsi="楷体" w:eastAsia="楷体" w:cs="楷体"/>
          <w:sz w:val="32"/>
          <w:szCs w:val="32"/>
          <w:lang w:eastAsia="zh-CN"/>
        </w:rPr>
        <w:t>年营业收入1000万元及以上的服务业法人</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租赁和商务服务业，科学研究和技术服务业，教育三个门类，以及物业管理、房地产中介服务、房地产租赁经营和其他房地产业四个行业小类。</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rPr>
          <w:rFonts w:hint="eastAsia" w:ascii="楷体" w:hAnsi="楷体" w:eastAsia="楷体" w:cs="楷体"/>
          <w:sz w:val="32"/>
          <w:szCs w:val="32"/>
          <w:lang w:eastAsia="zh-CN"/>
        </w:rPr>
      </w:pPr>
      <w:r>
        <w:rPr>
          <w:rFonts w:hint="eastAsia" w:ascii="楷体" w:hAnsi="楷体" w:eastAsia="楷体" w:cs="楷体"/>
          <w:kern w:val="2"/>
          <w:sz w:val="32"/>
          <w:szCs w:val="32"/>
          <w:lang w:val="en-US" w:eastAsia="zh-CN" w:bidi="ar-SA"/>
        </w:rPr>
        <w:t>（三）</w:t>
      </w:r>
      <w:r>
        <w:rPr>
          <w:rFonts w:hint="eastAsia" w:ascii="楷体" w:hAnsi="楷体" w:eastAsia="楷体" w:cs="楷体"/>
          <w:sz w:val="32"/>
          <w:szCs w:val="32"/>
          <w:lang w:eastAsia="zh-CN"/>
        </w:rPr>
        <w:t>年营业收入500万元及以上的服务业法人</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居民服务、修理和其他服务业，文化、体育和娱乐业两个门类，以及社会工作行业大类。</w:t>
      </w:r>
    </w:p>
    <w:tbl>
      <w:tblPr>
        <w:tblStyle w:val="13"/>
        <w:tblW w:w="926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70"/>
        <w:gridCol w:w="2382"/>
        <w:gridCol w:w="27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170" w:type="dxa"/>
            <w:tcBorders>
              <w:top w:val="single" w:color="080000" w:sz="8" w:space="0"/>
              <w:left w:val="nil"/>
              <w:bottom w:val="single" w:color="080000" w:sz="8" w:space="0"/>
              <w:right w:val="single" w:color="08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行  业</w:t>
            </w:r>
          </w:p>
        </w:tc>
        <w:tc>
          <w:tcPr>
            <w:tcW w:w="2382" w:type="dxa"/>
            <w:tcBorders>
              <w:top w:val="single" w:color="080000" w:sz="8" w:space="0"/>
              <w:left w:val="nil"/>
              <w:bottom w:val="single" w:color="080000" w:sz="8" w:space="0"/>
              <w:right w:val="single" w:color="08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黑体" w:hAnsi="宋体" w:eastAsia="黑体" w:cs="黑体"/>
                <w:i w:val="0"/>
                <w:iCs w:val="0"/>
                <w:color w:val="000000"/>
                <w:sz w:val="24"/>
                <w:szCs w:val="24"/>
                <w:u w:val="none"/>
              </w:rPr>
            </w:pPr>
            <w:r>
              <w:rPr>
                <w:rStyle w:val="33"/>
                <w:lang w:val="en-US" w:eastAsia="zh-CN" w:bidi="ar"/>
              </w:rPr>
              <w:t>行业代码</w:t>
            </w:r>
          </w:p>
        </w:tc>
        <w:tc>
          <w:tcPr>
            <w:tcW w:w="2715" w:type="dxa"/>
            <w:tcBorders>
              <w:top w:val="single" w:color="080000" w:sz="8" w:space="0"/>
              <w:left w:val="nil"/>
              <w:bottom w:val="single" w:color="080000" w:sz="8" w:space="0"/>
              <w:right w:val="single" w:color="08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黑体" w:hAnsi="宋体" w:eastAsia="黑体" w:cs="黑体"/>
                <w:i w:val="0"/>
                <w:iCs w:val="0"/>
                <w:color w:val="000000"/>
                <w:sz w:val="24"/>
                <w:szCs w:val="24"/>
                <w:u w:val="none"/>
              </w:rPr>
            </w:pPr>
            <w:r>
              <w:rPr>
                <w:rStyle w:val="33"/>
                <w:lang w:val="en-US" w:eastAsia="zh-CN" w:bidi="ar"/>
              </w:rPr>
              <w:t>入库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170" w:type="dxa"/>
            <w:tcBorders>
              <w:top w:val="single" w:color="080000" w:sz="8" w:space="0"/>
              <w:left w:val="nil"/>
              <w:bottom w:val="single" w:color="080000" w:sz="8" w:space="0"/>
              <w:right w:val="single" w:color="08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黑体" w:hAnsi="宋体" w:eastAsia="黑体" w:cs="黑体"/>
                <w:i w:val="0"/>
                <w:iCs w:val="0"/>
                <w:color w:val="000000"/>
                <w:sz w:val="24"/>
                <w:szCs w:val="24"/>
                <w:u w:val="none"/>
              </w:rPr>
            </w:pPr>
            <w:r>
              <w:rPr>
                <w:rStyle w:val="33"/>
                <w:lang w:val="en-US" w:eastAsia="zh-CN" w:bidi="ar"/>
              </w:rPr>
              <w:t>1.交通运输仓储和邮政业</w:t>
            </w:r>
          </w:p>
        </w:tc>
        <w:tc>
          <w:tcPr>
            <w:tcW w:w="2382" w:type="dxa"/>
            <w:tcBorders>
              <w:top w:val="single" w:color="080000" w:sz="8" w:space="0"/>
              <w:left w:val="nil"/>
              <w:bottom w:val="single" w:color="080000" w:sz="8" w:space="0"/>
              <w:right w:val="single" w:color="08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黑体" w:hAnsi="宋体" w:eastAsia="黑体" w:cs="黑体"/>
                <w:i w:val="0"/>
                <w:iCs w:val="0"/>
                <w:color w:val="000000"/>
                <w:sz w:val="24"/>
                <w:szCs w:val="24"/>
                <w:u w:val="none"/>
              </w:rPr>
            </w:pPr>
            <w:r>
              <w:rPr>
                <w:rStyle w:val="33"/>
                <w:lang w:val="en-US" w:eastAsia="zh-CN" w:bidi="ar"/>
              </w:rPr>
              <w:t>5310-6090</w:t>
            </w:r>
          </w:p>
        </w:tc>
        <w:tc>
          <w:tcPr>
            <w:tcW w:w="2715" w:type="dxa"/>
            <w:tcBorders>
              <w:top w:val="single" w:color="080000" w:sz="8" w:space="0"/>
              <w:left w:val="nil"/>
              <w:bottom w:val="single" w:color="080000" w:sz="8" w:space="0"/>
              <w:right w:val="single" w:color="08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170" w:type="dxa"/>
            <w:tcBorders>
              <w:top w:val="single" w:color="080000" w:sz="8" w:space="0"/>
              <w:left w:val="nil"/>
              <w:bottom w:val="single" w:color="080000" w:sz="8" w:space="0"/>
              <w:right w:val="single" w:color="08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黑体" w:hAnsi="宋体" w:eastAsia="黑体" w:cs="黑体"/>
                <w:i w:val="0"/>
                <w:iCs w:val="0"/>
                <w:color w:val="000000"/>
                <w:sz w:val="24"/>
                <w:szCs w:val="24"/>
                <w:u w:val="none"/>
              </w:rPr>
            </w:pPr>
            <w:r>
              <w:rPr>
                <w:rStyle w:val="33"/>
                <w:lang w:val="en-US" w:eastAsia="zh-CN" w:bidi="ar"/>
              </w:rPr>
              <w:t>2.信息传输软件和信息技术服务业</w:t>
            </w:r>
          </w:p>
        </w:tc>
        <w:tc>
          <w:tcPr>
            <w:tcW w:w="2382" w:type="dxa"/>
            <w:tcBorders>
              <w:top w:val="single" w:color="080000" w:sz="8" w:space="0"/>
              <w:left w:val="nil"/>
              <w:bottom w:val="single" w:color="080000" w:sz="8" w:space="0"/>
              <w:right w:val="single" w:color="08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黑体" w:hAnsi="宋体" w:eastAsia="黑体" w:cs="黑体"/>
                <w:i w:val="0"/>
                <w:iCs w:val="0"/>
                <w:color w:val="000000"/>
                <w:sz w:val="24"/>
                <w:szCs w:val="24"/>
                <w:u w:val="none"/>
              </w:rPr>
            </w:pPr>
            <w:r>
              <w:rPr>
                <w:rStyle w:val="33"/>
                <w:lang w:val="en-US" w:eastAsia="zh-CN" w:bidi="ar"/>
              </w:rPr>
              <w:t>6311-6599</w:t>
            </w:r>
          </w:p>
        </w:tc>
        <w:tc>
          <w:tcPr>
            <w:tcW w:w="2715" w:type="dxa"/>
            <w:tcBorders>
              <w:top w:val="single" w:color="080000" w:sz="8" w:space="0"/>
              <w:left w:val="nil"/>
              <w:bottom w:val="single" w:color="080000" w:sz="8" w:space="0"/>
              <w:right w:val="single" w:color="08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170" w:type="dxa"/>
            <w:tcBorders>
              <w:top w:val="single" w:color="080000" w:sz="8" w:space="0"/>
              <w:left w:val="nil"/>
              <w:bottom w:val="single" w:color="080000" w:sz="8" w:space="0"/>
              <w:right w:val="single" w:color="08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黑体" w:hAnsi="宋体" w:eastAsia="黑体" w:cs="黑体"/>
                <w:i w:val="0"/>
                <w:iCs w:val="0"/>
                <w:color w:val="000000"/>
                <w:sz w:val="24"/>
                <w:szCs w:val="24"/>
                <w:u w:val="none"/>
              </w:rPr>
            </w:pPr>
            <w:r>
              <w:rPr>
                <w:rStyle w:val="33"/>
                <w:lang w:val="en-US" w:eastAsia="zh-CN" w:bidi="ar"/>
              </w:rPr>
              <w:t>3.房地产业(房地产开发经营业除外)</w:t>
            </w:r>
          </w:p>
        </w:tc>
        <w:tc>
          <w:tcPr>
            <w:tcW w:w="2382" w:type="dxa"/>
            <w:tcBorders>
              <w:top w:val="single" w:color="080000" w:sz="8" w:space="0"/>
              <w:left w:val="nil"/>
              <w:bottom w:val="single" w:color="080000" w:sz="8" w:space="0"/>
              <w:right w:val="single" w:color="08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黑体" w:hAnsi="宋体" w:eastAsia="黑体" w:cs="黑体"/>
                <w:i w:val="0"/>
                <w:iCs w:val="0"/>
                <w:color w:val="000000"/>
                <w:sz w:val="24"/>
                <w:szCs w:val="24"/>
                <w:u w:val="none"/>
              </w:rPr>
            </w:pPr>
            <w:r>
              <w:rPr>
                <w:rStyle w:val="33"/>
                <w:lang w:val="en-US" w:eastAsia="zh-CN" w:bidi="ar"/>
              </w:rPr>
              <w:t>7020-7090</w:t>
            </w:r>
          </w:p>
        </w:tc>
        <w:tc>
          <w:tcPr>
            <w:tcW w:w="2715" w:type="dxa"/>
            <w:tcBorders>
              <w:top w:val="single" w:color="080000" w:sz="8" w:space="0"/>
              <w:left w:val="nil"/>
              <w:bottom w:val="single" w:color="080000" w:sz="8" w:space="0"/>
              <w:right w:val="single" w:color="08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170" w:type="dxa"/>
            <w:tcBorders>
              <w:top w:val="single" w:color="080000" w:sz="8" w:space="0"/>
              <w:left w:val="nil"/>
              <w:bottom w:val="single" w:color="080000" w:sz="8" w:space="0"/>
              <w:right w:val="single" w:color="08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黑体" w:hAnsi="宋体" w:eastAsia="黑体" w:cs="黑体"/>
                <w:i w:val="0"/>
                <w:iCs w:val="0"/>
                <w:color w:val="000000"/>
                <w:sz w:val="24"/>
                <w:szCs w:val="24"/>
                <w:u w:val="none"/>
              </w:rPr>
            </w:pPr>
            <w:r>
              <w:rPr>
                <w:rStyle w:val="33"/>
                <w:lang w:val="en-US" w:eastAsia="zh-CN" w:bidi="ar"/>
              </w:rPr>
              <w:t>4.租赁和商务服务业</w:t>
            </w:r>
          </w:p>
        </w:tc>
        <w:tc>
          <w:tcPr>
            <w:tcW w:w="2382" w:type="dxa"/>
            <w:tcBorders>
              <w:top w:val="single" w:color="080000" w:sz="8" w:space="0"/>
              <w:left w:val="nil"/>
              <w:bottom w:val="single" w:color="080000" w:sz="8" w:space="0"/>
              <w:right w:val="single" w:color="08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黑体" w:hAnsi="宋体" w:eastAsia="黑体" w:cs="黑体"/>
                <w:i w:val="0"/>
                <w:iCs w:val="0"/>
                <w:color w:val="000000"/>
                <w:sz w:val="24"/>
                <w:szCs w:val="24"/>
                <w:u w:val="none"/>
              </w:rPr>
            </w:pPr>
            <w:r>
              <w:rPr>
                <w:rStyle w:val="33"/>
                <w:lang w:val="en-US" w:eastAsia="zh-CN" w:bidi="ar"/>
              </w:rPr>
              <w:t>7111-7299</w:t>
            </w:r>
          </w:p>
        </w:tc>
        <w:tc>
          <w:tcPr>
            <w:tcW w:w="2715" w:type="dxa"/>
            <w:tcBorders>
              <w:top w:val="single" w:color="080000" w:sz="8" w:space="0"/>
              <w:left w:val="nil"/>
              <w:bottom w:val="single" w:color="080000" w:sz="8" w:space="0"/>
              <w:right w:val="single" w:color="08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170" w:type="dxa"/>
            <w:tcBorders>
              <w:top w:val="single" w:color="080000" w:sz="8" w:space="0"/>
              <w:left w:val="nil"/>
              <w:bottom w:val="single" w:color="080000" w:sz="8" w:space="0"/>
              <w:right w:val="single" w:color="08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黑体" w:hAnsi="宋体" w:eastAsia="黑体" w:cs="黑体"/>
                <w:i w:val="0"/>
                <w:iCs w:val="0"/>
                <w:color w:val="000000"/>
                <w:sz w:val="24"/>
                <w:szCs w:val="24"/>
                <w:u w:val="none"/>
              </w:rPr>
            </w:pPr>
            <w:r>
              <w:rPr>
                <w:rStyle w:val="33"/>
                <w:lang w:val="en-US" w:eastAsia="zh-CN" w:bidi="ar"/>
              </w:rPr>
              <w:t>5.科学研究和技术服务业</w:t>
            </w:r>
          </w:p>
        </w:tc>
        <w:tc>
          <w:tcPr>
            <w:tcW w:w="2382" w:type="dxa"/>
            <w:tcBorders>
              <w:top w:val="single" w:color="080000" w:sz="8" w:space="0"/>
              <w:left w:val="nil"/>
              <w:bottom w:val="single" w:color="080000" w:sz="8" w:space="0"/>
              <w:right w:val="single" w:color="08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黑体" w:hAnsi="宋体" w:eastAsia="黑体" w:cs="黑体"/>
                <w:i w:val="0"/>
                <w:iCs w:val="0"/>
                <w:color w:val="000000"/>
                <w:sz w:val="24"/>
                <w:szCs w:val="24"/>
                <w:u w:val="none"/>
              </w:rPr>
            </w:pPr>
            <w:r>
              <w:rPr>
                <w:rStyle w:val="33"/>
                <w:lang w:val="en-US" w:eastAsia="zh-CN" w:bidi="ar"/>
              </w:rPr>
              <w:t>7310-7590</w:t>
            </w:r>
          </w:p>
        </w:tc>
        <w:tc>
          <w:tcPr>
            <w:tcW w:w="2715" w:type="dxa"/>
            <w:tcBorders>
              <w:top w:val="single" w:color="080000" w:sz="8" w:space="0"/>
              <w:left w:val="nil"/>
              <w:bottom w:val="single" w:color="080000" w:sz="8" w:space="0"/>
              <w:right w:val="single" w:color="08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170" w:type="dxa"/>
            <w:tcBorders>
              <w:top w:val="single" w:color="080000" w:sz="8" w:space="0"/>
              <w:left w:val="nil"/>
              <w:bottom w:val="single" w:color="080000" w:sz="8" w:space="0"/>
              <w:right w:val="single" w:color="08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黑体" w:hAnsi="宋体" w:eastAsia="黑体" w:cs="黑体"/>
                <w:i w:val="0"/>
                <w:iCs w:val="0"/>
                <w:color w:val="000000"/>
                <w:sz w:val="24"/>
                <w:szCs w:val="24"/>
                <w:u w:val="none"/>
              </w:rPr>
            </w:pPr>
            <w:r>
              <w:rPr>
                <w:rStyle w:val="33"/>
                <w:lang w:val="en-US" w:eastAsia="zh-CN" w:bidi="ar"/>
              </w:rPr>
              <w:t>6.水利、环境和公共设施管理业</w:t>
            </w:r>
          </w:p>
        </w:tc>
        <w:tc>
          <w:tcPr>
            <w:tcW w:w="2382" w:type="dxa"/>
            <w:tcBorders>
              <w:top w:val="single" w:color="080000" w:sz="8" w:space="0"/>
              <w:left w:val="nil"/>
              <w:bottom w:val="single" w:color="080000" w:sz="8" w:space="0"/>
              <w:right w:val="single" w:color="08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黑体" w:hAnsi="宋体" w:eastAsia="黑体" w:cs="黑体"/>
                <w:i w:val="0"/>
                <w:iCs w:val="0"/>
                <w:color w:val="000000"/>
                <w:sz w:val="24"/>
                <w:szCs w:val="24"/>
                <w:u w:val="none"/>
              </w:rPr>
            </w:pPr>
            <w:r>
              <w:rPr>
                <w:rStyle w:val="33"/>
                <w:lang w:val="en-US" w:eastAsia="zh-CN" w:bidi="ar"/>
              </w:rPr>
              <w:t>7610-7990</w:t>
            </w:r>
          </w:p>
        </w:tc>
        <w:tc>
          <w:tcPr>
            <w:tcW w:w="2715" w:type="dxa"/>
            <w:tcBorders>
              <w:top w:val="single" w:color="080000" w:sz="8" w:space="0"/>
              <w:left w:val="nil"/>
              <w:bottom w:val="single" w:color="080000" w:sz="8" w:space="0"/>
              <w:right w:val="single" w:color="08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170" w:type="dxa"/>
            <w:tcBorders>
              <w:top w:val="single" w:color="080000" w:sz="8" w:space="0"/>
              <w:left w:val="nil"/>
              <w:bottom w:val="single" w:color="080000" w:sz="8" w:space="0"/>
              <w:right w:val="single" w:color="08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黑体" w:hAnsi="宋体" w:eastAsia="黑体" w:cs="黑体"/>
                <w:i w:val="0"/>
                <w:iCs w:val="0"/>
                <w:color w:val="000000"/>
                <w:sz w:val="24"/>
                <w:szCs w:val="24"/>
                <w:u w:val="none"/>
              </w:rPr>
            </w:pPr>
            <w:r>
              <w:rPr>
                <w:rStyle w:val="33"/>
                <w:lang w:val="en-US" w:eastAsia="zh-CN" w:bidi="ar"/>
              </w:rPr>
              <w:t>7.居民服务和修理及其他服务业</w:t>
            </w:r>
          </w:p>
        </w:tc>
        <w:tc>
          <w:tcPr>
            <w:tcW w:w="2382" w:type="dxa"/>
            <w:tcBorders>
              <w:top w:val="single" w:color="080000" w:sz="8" w:space="0"/>
              <w:left w:val="nil"/>
              <w:bottom w:val="single" w:color="080000" w:sz="8" w:space="0"/>
              <w:right w:val="single" w:color="08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黑体" w:hAnsi="宋体" w:eastAsia="黑体" w:cs="黑体"/>
                <w:i w:val="0"/>
                <w:iCs w:val="0"/>
                <w:color w:val="000000"/>
                <w:sz w:val="24"/>
                <w:szCs w:val="24"/>
                <w:u w:val="none"/>
              </w:rPr>
            </w:pPr>
            <w:r>
              <w:rPr>
                <w:rStyle w:val="33"/>
                <w:lang w:val="en-US" w:eastAsia="zh-CN" w:bidi="ar"/>
              </w:rPr>
              <w:t>8010-8290</w:t>
            </w:r>
          </w:p>
        </w:tc>
        <w:tc>
          <w:tcPr>
            <w:tcW w:w="2715" w:type="dxa"/>
            <w:tcBorders>
              <w:top w:val="single" w:color="080000" w:sz="8" w:space="0"/>
              <w:left w:val="nil"/>
              <w:bottom w:val="single" w:color="080000" w:sz="8" w:space="0"/>
              <w:right w:val="single" w:color="08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170" w:type="dxa"/>
            <w:tcBorders>
              <w:top w:val="single" w:color="080000" w:sz="8" w:space="0"/>
              <w:left w:val="nil"/>
              <w:bottom w:val="single" w:color="080000" w:sz="8" w:space="0"/>
              <w:right w:val="single" w:color="08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黑体" w:hAnsi="宋体" w:eastAsia="黑体" w:cs="黑体"/>
                <w:i w:val="0"/>
                <w:iCs w:val="0"/>
                <w:color w:val="000000"/>
                <w:sz w:val="24"/>
                <w:szCs w:val="24"/>
                <w:u w:val="none"/>
              </w:rPr>
            </w:pPr>
            <w:r>
              <w:rPr>
                <w:rStyle w:val="33"/>
                <w:lang w:val="en-US" w:eastAsia="zh-CN" w:bidi="ar"/>
              </w:rPr>
              <w:t>8.教育</w:t>
            </w:r>
          </w:p>
        </w:tc>
        <w:tc>
          <w:tcPr>
            <w:tcW w:w="2382" w:type="dxa"/>
            <w:tcBorders>
              <w:top w:val="single" w:color="080000" w:sz="8" w:space="0"/>
              <w:left w:val="nil"/>
              <w:bottom w:val="single" w:color="080000" w:sz="8" w:space="0"/>
              <w:right w:val="single" w:color="08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黑体" w:hAnsi="宋体" w:eastAsia="黑体" w:cs="黑体"/>
                <w:i w:val="0"/>
                <w:iCs w:val="0"/>
                <w:color w:val="000000"/>
                <w:sz w:val="24"/>
                <w:szCs w:val="24"/>
                <w:u w:val="none"/>
              </w:rPr>
            </w:pPr>
            <w:r>
              <w:rPr>
                <w:rStyle w:val="33"/>
                <w:lang w:val="en-US" w:eastAsia="zh-CN" w:bidi="ar"/>
              </w:rPr>
              <w:t>8310-8399</w:t>
            </w:r>
          </w:p>
        </w:tc>
        <w:tc>
          <w:tcPr>
            <w:tcW w:w="2715" w:type="dxa"/>
            <w:tcBorders>
              <w:top w:val="single" w:color="080000" w:sz="8" w:space="0"/>
              <w:left w:val="nil"/>
              <w:bottom w:val="single" w:color="080000" w:sz="8" w:space="0"/>
              <w:right w:val="single" w:color="08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170" w:type="dxa"/>
            <w:tcBorders>
              <w:top w:val="single" w:color="080000" w:sz="8" w:space="0"/>
              <w:left w:val="nil"/>
              <w:bottom w:val="single" w:color="080000" w:sz="8" w:space="0"/>
              <w:right w:val="single" w:color="08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黑体" w:hAnsi="宋体" w:eastAsia="黑体" w:cs="黑体"/>
                <w:i w:val="0"/>
                <w:iCs w:val="0"/>
                <w:color w:val="000000"/>
                <w:sz w:val="24"/>
                <w:szCs w:val="24"/>
                <w:u w:val="none"/>
              </w:rPr>
            </w:pPr>
            <w:r>
              <w:rPr>
                <w:rStyle w:val="33"/>
                <w:lang w:val="en-US" w:eastAsia="zh-CN" w:bidi="ar"/>
              </w:rPr>
              <w:t>9.卫生</w:t>
            </w:r>
          </w:p>
        </w:tc>
        <w:tc>
          <w:tcPr>
            <w:tcW w:w="2382" w:type="dxa"/>
            <w:tcBorders>
              <w:top w:val="single" w:color="080000" w:sz="8" w:space="0"/>
              <w:left w:val="nil"/>
              <w:bottom w:val="single" w:color="080000" w:sz="8" w:space="0"/>
              <w:right w:val="single" w:color="08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黑体" w:hAnsi="宋体" w:eastAsia="黑体" w:cs="黑体"/>
                <w:i w:val="0"/>
                <w:iCs w:val="0"/>
                <w:color w:val="000000"/>
                <w:sz w:val="24"/>
                <w:szCs w:val="24"/>
                <w:u w:val="none"/>
              </w:rPr>
            </w:pPr>
            <w:r>
              <w:rPr>
                <w:rStyle w:val="33"/>
                <w:lang w:val="en-US" w:eastAsia="zh-CN" w:bidi="ar"/>
              </w:rPr>
              <w:t>8411-8499</w:t>
            </w:r>
          </w:p>
        </w:tc>
        <w:tc>
          <w:tcPr>
            <w:tcW w:w="2715" w:type="dxa"/>
            <w:tcBorders>
              <w:top w:val="single" w:color="080000" w:sz="8" w:space="0"/>
              <w:left w:val="nil"/>
              <w:bottom w:val="single" w:color="080000" w:sz="8" w:space="0"/>
              <w:right w:val="single" w:color="08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170" w:type="dxa"/>
            <w:tcBorders>
              <w:top w:val="single" w:color="080000" w:sz="8" w:space="0"/>
              <w:left w:val="nil"/>
              <w:bottom w:val="single" w:color="080000" w:sz="8" w:space="0"/>
              <w:right w:val="single" w:color="08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黑体" w:hAnsi="宋体" w:eastAsia="黑体" w:cs="黑体"/>
                <w:i w:val="0"/>
                <w:iCs w:val="0"/>
                <w:color w:val="000000"/>
                <w:sz w:val="24"/>
                <w:szCs w:val="24"/>
                <w:u w:val="none"/>
              </w:rPr>
            </w:pPr>
            <w:r>
              <w:rPr>
                <w:rStyle w:val="33"/>
                <w:lang w:val="en-US" w:eastAsia="zh-CN" w:bidi="ar"/>
              </w:rPr>
              <w:t>10.社会工作</w:t>
            </w:r>
          </w:p>
        </w:tc>
        <w:tc>
          <w:tcPr>
            <w:tcW w:w="2382" w:type="dxa"/>
            <w:tcBorders>
              <w:top w:val="single" w:color="080000" w:sz="8" w:space="0"/>
              <w:left w:val="nil"/>
              <w:bottom w:val="single" w:color="080000" w:sz="8" w:space="0"/>
              <w:right w:val="single" w:color="08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黑体" w:hAnsi="宋体" w:eastAsia="黑体" w:cs="黑体"/>
                <w:i w:val="0"/>
                <w:iCs w:val="0"/>
                <w:color w:val="000000"/>
                <w:sz w:val="24"/>
                <w:szCs w:val="24"/>
                <w:u w:val="none"/>
              </w:rPr>
            </w:pPr>
            <w:r>
              <w:rPr>
                <w:rStyle w:val="33"/>
                <w:lang w:val="en-US" w:eastAsia="zh-CN" w:bidi="ar"/>
              </w:rPr>
              <w:t>8511-8529</w:t>
            </w:r>
          </w:p>
        </w:tc>
        <w:tc>
          <w:tcPr>
            <w:tcW w:w="2715" w:type="dxa"/>
            <w:tcBorders>
              <w:top w:val="single" w:color="080000" w:sz="8" w:space="0"/>
              <w:left w:val="nil"/>
              <w:bottom w:val="single" w:color="080000" w:sz="8" w:space="0"/>
              <w:right w:val="single" w:color="08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170" w:type="dxa"/>
            <w:tcBorders>
              <w:top w:val="single" w:color="080000" w:sz="8" w:space="0"/>
              <w:left w:val="nil"/>
              <w:bottom w:val="single" w:color="080000" w:sz="8" w:space="0"/>
              <w:right w:val="single" w:color="08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黑体" w:hAnsi="宋体" w:eastAsia="黑体" w:cs="黑体"/>
                <w:i w:val="0"/>
                <w:iCs w:val="0"/>
                <w:color w:val="000000"/>
                <w:sz w:val="24"/>
                <w:szCs w:val="24"/>
                <w:u w:val="none"/>
              </w:rPr>
            </w:pPr>
            <w:r>
              <w:rPr>
                <w:rStyle w:val="33"/>
                <w:lang w:val="en-US" w:eastAsia="zh-CN" w:bidi="ar"/>
              </w:rPr>
              <w:t>11.文化体育和娱乐业</w:t>
            </w:r>
          </w:p>
        </w:tc>
        <w:tc>
          <w:tcPr>
            <w:tcW w:w="2382" w:type="dxa"/>
            <w:tcBorders>
              <w:top w:val="single" w:color="080000" w:sz="8" w:space="0"/>
              <w:left w:val="nil"/>
              <w:bottom w:val="single" w:color="080000" w:sz="8" w:space="0"/>
              <w:right w:val="single" w:color="08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黑体" w:hAnsi="宋体" w:eastAsia="黑体" w:cs="黑体"/>
                <w:i w:val="0"/>
                <w:iCs w:val="0"/>
                <w:color w:val="000000"/>
                <w:sz w:val="24"/>
                <w:szCs w:val="24"/>
                <w:u w:val="none"/>
              </w:rPr>
            </w:pPr>
            <w:r>
              <w:rPr>
                <w:rStyle w:val="33"/>
                <w:lang w:val="en-US" w:eastAsia="zh-CN" w:bidi="ar"/>
              </w:rPr>
              <w:t>8610-9090</w:t>
            </w:r>
          </w:p>
        </w:tc>
        <w:tc>
          <w:tcPr>
            <w:tcW w:w="2715" w:type="dxa"/>
            <w:tcBorders>
              <w:top w:val="single" w:color="080000" w:sz="8" w:space="0"/>
              <w:left w:val="nil"/>
              <w:bottom w:val="single" w:color="080000" w:sz="8" w:space="0"/>
              <w:right w:val="single" w:color="08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500</w:t>
            </w:r>
          </w:p>
        </w:tc>
      </w:tr>
    </w:tbl>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二、规模以上服务业入规申报时间</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分年度入库申报和月度入库申报两种类型：</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月度入库申报，每月可进行申报，但仅限于新开业（投产）并达标的企业（单位）。</w:t>
      </w:r>
    </w:p>
    <w:p>
      <w:pPr>
        <w:keepNext w:val="0"/>
        <w:keepLines w:val="0"/>
        <w:pageBreakBefore w:val="0"/>
        <w:numPr>
          <w:ilvl w:val="0"/>
          <w:numId w:val="0"/>
        </w:numPr>
        <w:kinsoku/>
        <w:wordWrap/>
        <w:overflowPunct/>
        <w:topLinePunct w:val="0"/>
        <w:autoSpaceDE/>
        <w:autoSpaceDN/>
        <w:bidi w:val="0"/>
        <w:adjustRightInd/>
        <w:snapToGrid/>
        <w:spacing w:line="540" w:lineRule="exact"/>
        <w:rPr>
          <w:rFonts w:hint="eastAsia" w:ascii="仿宋_GB2312" w:hAnsi="仿宋_GB2312" w:eastAsia="仿宋_GB2312" w:cs="仿宋_GB2312"/>
          <w:sz w:val="32"/>
          <w:szCs w:val="32"/>
          <w:lang w:eastAsia="zh-CN"/>
        </w:rPr>
      </w:pP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   年度入规</w:t>
      </w:r>
      <w:r>
        <w:rPr>
          <w:rFonts w:hint="eastAsia" w:ascii="仿宋" w:hAnsi="仿宋" w:eastAsia="仿宋" w:cs="仿宋"/>
          <w:sz w:val="32"/>
          <w:szCs w:val="32"/>
          <w:lang w:eastAsia="zh-CN"/>
        </w:rPr>
        <w:t>第一批次一般是11月5日前，第二批年度申报。一般是12月27日前。</w:t>
      </w:r>
    </w:p>
    <w:p>
      <w:pPr>
        <w:keepNext w:val="0"/>
        <w:keepLines w:val="0"/>
        <w:pageBreakBefore w:val="0"/>
        <w:kinsoku/>
        <w:wordWrap/>
        <w:overflowPunct/>
        <w:topLinePunct w:val="0"/>
        <w:autoSpaceDE/>
        <w:autoSpaceDN/>
        <w:bidi w:val="0"/>
        <w:adjustRightInd/>
        <w:snapToGrid/>
        <w:spacing w:line="540" w:lineRule="exact"/>
        <w:ind w:firstLine="640" w:firstLineChars="200"/>
        <w:jc w:val="lef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三、服务业入规</w:t>
      </w:r>
      <w:r>
        <w:rPr>
          <w:rFonts w:hint="eastAsia" w:ascii="黑体" w:hAnsi="黑体" w:eastAsia="黑体" w:cs="黑体"/>
          <w:sz w:val="32"/>
          <w:szCs w:val="32"/>
        </w:rPr>
        <w:t>申报材料</w:t>
      </w:r>
    </w:p>
    <w:p>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（一）加盖单位公章的法人单位基本情况表MLK101-1表；（统计局名录有该表格）</w:t>
      </w:r>
    </w:p>
    <w:p>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（二）营业执照副本原件的扫描件（.jpg格式）；</w:t>
      </w:r>
    </w:p>
    <w:p>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（三）加盖单位公章并在空白处签字的最近1个月的利润表；</w:t>
      </w:r>
    </w:p>
    <w:p>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（四）打印并加盖税务部门和单位公章的《增值税纳税申报表》，并在空白处签字；</w:t>
      </w:r>
    </w:p>
    <w:p>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（五）加盖单位公章的《增值税纳税申报表附列资料（表一）》（小规模纳税人免此项），没有《增值税纳税申报表附列资料（表一）》的单位，需附证明材料。</w:t>
      </w:r>
    </w:p>
    <w:p>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（六）加盖单位公章并在空白处签字的主要业务活动说明。</w:t>
      </w:r>
    </w:p>
    <w:p>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（七）现场照8张（公司招牌照片【公司招牌照片与营业执照公司名称完全一致】、营业场所、办公场所及设备等照片）；</w:t>
      </w:r>
    </w:p>
    <w:p>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注：利润表上的营业收入需达到标准才能申报入库；利润表上的营业收入数据需与税表上的数据相匹配。</w:t>
      </w:r>
    </w:p>
    <w:p>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四、重点关注哪些行业</w:t>
      </w:r>
    </w:p>
    <w:p>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1.交通运输、仓储和邮政业：重点关注物流公司、货运站。</w:t>
      </w:r>
    </w:p>
    <w:p>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2.信息传输、软件和信息技术服务业：重点关注有线电视传输服务、互联网服务、传媒服务、软件服务(用友、金蝶)、大数据、云计算。</w:t>
      </w:r>
    </w:p>
    <w:p>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3.房地产业。重点关注自有住房公司出租及大型物业管理公司。</w:t>
      </w:r>
    </w:p>
    <w:p>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4.租赁和商务服务业：重点关注律师事务所、</w:t>
      </w:r>
      <w:bookmarkStart w:id="2" w:name="_GoBack"/>
      <w:bookmarkEnd w:id="2"/>
      <w:r>
        <w:rPr>
          <w:rFonts w:hint="eastAsia" w:ascii="仿宋" w:hAnsi="仿宋" w:eastAsia="仿宋" w:cs="仿宋"/>
          <w:sz w:val="32"/>
          <w:szCs w:val="32"/>
          <w:lang w:eastAsia="zh-CN"/>
        </w:rPr>
        <w:t>公证处、仲裁委、会计师事务所、广告公司、劳务代理公司(中心)、保安服务公司、旅行社、中介公司。</w:t>
      </w:r>
    </w:p>
    <w:p>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5.科研和技术服务：重点关注工程监理公司、招标代理公司、建筑设计、规划设计等公司。</w:t>
      </w:r>
    </w:p>
    <w:p>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6.水利环境公共设施管理业：重点关注市政管理、环卫管理、园林绿化管理等公司。</w:t>
      </w:r>
    </w:p>
    <w:p>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7.居民服务、修理和其他服务：重点关注殡葬服务、洗浴中心、保健中心、摄影中心、汽车修理。</w:t>
      </w:r>
    </w:p>
    <w:p>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8.教育：重点关注执行企业会计制度且规模较大的民办学校。</w:t>
      </w:r>
    </w:p>
    <w:p>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9.卫生：重点关注执行企业会计制度的卫生院、医院、社区卫生服务中心、专科医院。</w:t>
      </w:r>
    </w:p>
    <w:p>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10.社会工作：重点关注执行企业会计制度的养老院、福利院、老年公寓、敬老院、光荣院。</w:t>
      </w:r>
    </w:p>
    <w:p>
      <w:pPr>
        <w:keepNext w:val="0"/>
        <w:keepLines w:val="0"/>
        <w:pageBreakBefore w:val="0"/>
        <w:kinsoku/>
        <w:wordWrap/>
        <w:overflowPunct/>
        <w:topLinePunct w:val="0"/>
        <w:autoSpaceDE/>
        <w:autoSpaceDN/>
        <w:bidi w:val="0"/>
        <w:adjustRightInd/>
        <w:snapToGrid/>
        <w:spacing w:line="54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eastAsia="zh-CN"/>
        </w:rPr>
        <w:t>11.文化、体育和娱乐业：重点关注文化传媒公司、艺术表演、大型夜总会、歌舞厅。</w:t>
      </w:r>
    </w:p>
    <w:sectPr>
      <w:pgSz w:w="11906" w:h="16838"/>
      <w:pgMar w:top="1440" w:right="1463" w:bottom="1141" w:left="1519"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文星仿宋">
    <w:altName w:val="仿宋"/>
    <w:panose1 w:val="00000000000000000000"/>
    <w:charset w:val="00"/>
    <w:family w:val="auto"/>
    <w:pitch w:val="default"/>
    <w:sig w:usb0="00000000" w:usb1="00000000" w:usb2="00000010"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mNDA3MzA2ZjczNWZlYjY1YzNmZTJiYzY3MTQ5N2IifQ=="/>
  </w:docVars>
  <w:rsids>
    <w:rsidRoot w:val="00000000"/>
    <w:rsid w:val="05B15303"/>
    <w:rsid w:val="05C70E9C"/>
    <w:rsid w:val="094C494F"/>
    <w:rsid w:val="09C50915"/>
    <w:rsid w:val="0C245407"/>
    <w:rsid w:val="0F0B3E0D"/>
    <w:rsid w:val="10445A0B"/>
    <w:rsid w:val="11204EEE"/>
    <w:rsid w:val="116F4143"/>
    <w:rsid w:val="18030F95"/>
    <w:rsid w:val="18425057"/>
    <w:rsid w:val="1B494D94"/>
    <w:rsid w:val="1B653049"/>
    <w:rsid w:val="20E81393"/>
    <w:rsid w:val="21A7315D"/>
    <w:rsid w:val="22547ECA"/>
    <w:rsid w:val="26BC32CA"/>
    <w:rsid w:val="27634416"/>
    <w:rsid w:val="289D71E1"/>
    <w:rsid w:val="28C36E49"/>
    <w:rsid w:val="2907376C"/>
    <w:rsid w:val="29410CDB"/>
    <w:rsid w:val="2BF049D6"/>
    <w:rsid w:val="2C7B5953"/>
    <w:rsid w:val="2DE14F34"/>
    <w:rsid w:val="311267F7"/>
    <w:rsid w:val="315216B2"/>
    <w:rsid w:val="32DD1A8F"/>
    <w:rsid w:val="33F64577"/>
    <w:rsid w:val="342947DA"/>
    <w:rsid w:val="36372EF5"/>
    <w:rsid w:val="3A105C99"/>
    <w:rsid w:val="3A43637C"/>
    <w:rsid w:val="3B273268"/>
    <w:rsid w:val="3B7C5F0C"/>
    <w:rsid w:val="3E28019B"/>
    <w:rsid w:val="40FF7CE7"/>
    <w:rsid w:val="42D37485"/>
    <w:rsid w:val="52DA7CC5"/>
    <w:rsid w:val="54E0475B"/>
    <w:rsid w:val="56DE0939"/>
    <w:rsid w:val="5DB46785"/>
    <w:rsid w:val="63293771"/>
    <w:rsid w:val="69786F6F"/>
    <w:rsid w:val="6B6C2170"/>
    <w:rsid w:val="6CBA731E"/>
    <w:rsid w:val="6F7246F2"/>
    <w:rsid w:val="749F1643"/>
    <w:rsid w:val="77E67D42"/>
    <w:rsid w:val="79F40608"/>
    <w:rsid w:val="7A224349"/>
    <w:rsid w:val="7E18530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黑体"/>
      <w:kern w:val="2"/>
      <w:sz w:val="21"/>
      <w:szCs w:val="22"/>
      <w:lang w:val="en-US" w:eastAsia="zh-CN" w:bidi="ar-SA"/>
    </w:rPr>
  </w:style>
  <w:style w:type="paragraph" w:styleId="4">
    <w:name w:val="heading 2"/>
    <w:basedOn w:val="1"/>
    <w:next w:val="1"/>
    <w:qFormat/>
    <w:uiPriority w:val="10"/>
    <w:pPr>
      <w:keepNext/>
      <w:spacing w:before="40"/>
      <w:outlineLvl w:val="1"/>
    </w:pPr>
    <w:rPr>
      <w:rFonts w:ascii="Cambria" w:hAnsi="Cambria" w:eastAsia="宋体" w:cs="Times New Roman"/>
      <w:sz w:val="26"/>
      <w:szCs w:val="26"/>
      <w:lang w:val="en-US" w:eastAsia="en-US" w:bidi="ar-SA"/>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header"/>
    <w:basedOn w:val="1"/>
    <w:next w:val="3"/>
    <w:link w:val="2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3">
    <w:name w:val="BodyText"/>
    <w:basedOn w:val="1"/>
    <w:autoRedefine/>
    <w:qFormat/>
    <w:uiPriority w:val="0"/>
    <w:pPr>
      <w:spacing w:after="120"/>
    </w:pPr>
    <w:rPr>
      <w:rFonts w:ascii="Calibri" w:hAnsi="Calibri" w:eastAsia="宋体" w:cs="Times New Roman"/>
    </w:rPr>
  </w:style>
  <w:style w:type="paragraph" w:styleId="5">
    <w:name w:val="annotation text"/>
    <w:basedOn w:val="1"/>
    <w:link w:val="29"/>
    <w:autoRedefine/>
    <w:semiHidden/>
    <w:unhideWhenUsed/>
    <w:qFormat/>
    <w:uiPriority w:val="99"/>
    <w:pPr>
      <w:jc w:val="left"/>
    </w:pPr>
  </w:style>
  <w:style w:type="paragraph" w:styleId="6">
    <w:name w:val="Body Text"/>
    <w:basedOn w:val="1"/>
    <w:link w:val="31"/>
    <w:autoRedefine/>
    <w:unhideWhenUsed/>
    <w:qFormat/>
    <w:uiPriority w:val="99"/>
    <w:pPr>
      <w:spacing w:after="120"/>
    </w:pPr>
    <w:rPr>
      <w:szCs w:val="24"/>
    </w:rPr>
  </w:style>
  <w:style w:type="paragraph" w:styleId="7">
    <w:name w:val="Date"/>
    <w:basedOn w:val="1"/>
    <w:next w:val="1"/>
    <w:link w:val="24"/>
    <w:autoRedefine/>
    <w:semiHidden/>
    <w:unhideWhenUsed/>
    <w:qFormat/>
    <w:uiPriority w:val="99"/>
    <w:pPr>
      <w:ind w:left="100" w:leftChars="2500"/>
    </w:pPr>
  </w:style>
  <w:style w:type="paragraph" w:styleId="8">
    <w:name w:val="Balloon Text"/>
    <w:basedOn w:val="1"/>
    <w:link w:val="28"/>
    <w:autoRedefine/>
    <w:semiHidden/>
    <w:unhideWhenUsed/>
    <w:qFormat/>
    <w:uiPriority w:val="99"/>
    <w:rPr>
      <w:sz w:val="18"/>
      <w:szCs w:val="18"/>
    </w:rPr>
  </w:style>
  <w:style w:type="paragraph" w:styleId="9">
    <w:name w:val="footer"/>
    <w:basedOn w:val="1"/>
    <w:link w:val="25"/>
    <w:autoRedefine/>
    <w:qFormat/>
    <w:uiPriority w:val="99"/>
    <w:pPr>
      <w:tabs>
        <w:tab w:val="center" w:pos="4153"/>
        <w:tab w:val="right" w:pos="8306"/>
      </w:tabs>
      <w:snapToGrid w:val="0"/>
      <w:jc w:val="left"/>
    </w:pPr>
    <w:rPr>
      <w:rFonts w:ascii="宋体"/>
      <w:sz w:val="18"/>
      <w:szCs w:val="18"/>
    </w:rPr>
  </w:style>
  <w:style w:type="paragraph" w:styleId="10">
    <w:name w:val="footnote text"/>
    <w:basedOn w:val="1"/>
    <w:autoRedefine/>
    <w:qFormat/>
    <w:uiPriority w:val="0"/>
    <w:pPr>
      <w:snapToGrid w:val="0"/>
      <w:jc w:val="left"/>
    </w:pPr>
    <w:rPr>
      <w:rFonts w:ascii="Calibri" w:hAnsi="Calibri" w:eastAsia="宋体"/>
      <w:sz w:val="18"/>
      <w:szCs w:val="18"/>
    </w:rPr>
  </w:style>
  <w:style w:type="paragraph" w:styleId="11">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2">
    <w:name w:val="annotation subject"/>
    <w:basedOn w:val="5"/>
    <w:next w:val="5"/>
    <w:link w:val="30"/>
    <w:autoRedefine/>
    <w:semiHidden/>
    <w:unhideWhenUsed/>
    <w:qFormat/>
    <w:uiPriority w:val="99"/>
    <w:rPr>
      <w:b/>
      <w:bCs/>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llowedHyperlink"/>
    <w:basedOn w:val="15"/>
    <w:autoRedefine/>
    <w:semiHidden/>
    <w:unhideWhenUsed/>
    <w:qFormat/>
    <w:uiPriority w:val="99"/>
    <w:rPr>
      <w:color w:val="333333"/>
      <w:u w:val="none"/>
    </w:rPr>
  </w:style>
  <w:style w:type="character" w:styleId="17">
    <w:name w:val="Emphasis"/>
    <w:basedOn w:val="15"/>
    <w:autoRedefine/>
    <w:qFormat/>
    <w:uiPriority w:val="20"/>
  </w:style>
  <w:style w:type="character" w:styleId="18">
    <w:name w:val="Hyperlink"/>
    <w:basedOn w:val="15"/>
    <w:autoRedefine/>
    <w:semiHidden/>
    <w:unhideWhenUsed/>
    <w:qFormat/>
    <w:uiPriority w:val="99"/>
    <w:rPr>
      <w:color w:val="333333"/>
      <w:u w:val="none"/>
    </w:rPr>
  </w:style>
  <w:style w:type="character" w:styleId="19">
    <w:name w:val="annotation reference"/>
    <w:autoRedefine/>
    <w:semiHidden/>
    <w:unhideWhenUsed/>
    <w:qFormat/>
    <w:uiPriority w:val="99"/>
    <w:rPr>
      <w:sz w:val="21"/>
      <w:szCs w:val="21"/>
    </w:rPr>
  </w:style>
  <w:style w:type="paragraph" w:customStyle="1" w:styleId="20">
    <w:name w:val="目录 11"/>
    <w:next w:val="1"/>
    <w:qFormat/>
    <w:uiPriority w:val="0"/>
    <w:pPr>
      <w:widowControl w:val="0"/>
      <w:jc w:val="both"/>
    </w:pPr>
    <w:rPr>
      <w:rFonts w:ascii="Times New Roman" w:hAnsi="Times New Roman" w:eastAsia="宋体" w:cs="Times New Roman"/>
      <w:color w:val="FF0000"/>
      <w:kern w:val="2"/>
      <w:sz w:val="21"/>
      <w:szCs w:val="24"/>
      <w:lang w:val="en-US" w:eastAsia="zh-CN" w:bidi="ar-SA"/>
    </w:rPr>
  </w:style>
  <w:style w:type="paragraph" w:customStyle="1" w:styleId="21">
    <w:name w:val="正文文字"/>
    <w:basedOn w:val="1"/>
    <w:next w:val="1"/>
    <w:autoRedefine/>
    <w:qFormat/>
    <w:uiPriority w:val="99"/>
    <w:pPr>
      <w:spacing w:after="120"/>
    </w:pPr>
  </w:style>
  <w:style w:type="paragraph" w:customStyle="1" w:styleId="22">
    <w:name w:val="列表段落1"/>
    <w:basedOn w:val="1"/>
    <w:autoRedefine/>
    <w:qFormat/>
    <w:uiPriority w:val="34"/>
    <w:pPr>
      <w:ind w:firstLine="420" w:firstLineChars="200"/>
    </w:pPr>
  </w:style>
  <w:style w:type="paragraph" w:customStyle="1" w:styleId="23">
    <w:name w:val="List Paragraph"/>
    <w:basedOn w:val="1"/>
    <w:autoRedefine/>
    <w:qFormat/>
    <w:uiPriority w:val="99"/>
    <w:pPr>
      <w:ind w:firstLine="420" w:firstLineChars="200"/>
    </w:pPr>
  </w:style>
  <w:style w:type="character" w:customStyle="1" w:styleId="24">
    <w:name w:val="日期 字符"/>
    <w:basedOn w:val="15"/>
    <w:link w:val="7"/>
    <w:autoRedefine/>
    <w:qFormat/>
    <w:uiPriority w:val="99"/>
  </w:style>
  <w:style w:type="character" w:customStyle="1" w:styleId="25">
    <w:name w:val="页脚 字符"/>
    <w:link w:val="9"/>
    <w:autoRedefine/>
    <w:qFormat/>
    <w:uiPriority w:val="99"/>
    <w:rPr>
      <w:rFonts w:ascii="宋体"/>
      <w:sz w:val="18"/>
      <w:szCs w:val="18"/>
    </w:rPr>
  </w:style>
  <w:style w:type="character" w:customStyle="1" w:styleId="26">
    <w:name w:val="页脚 Char1"/>
    <w:autoRedefine/>
    <w:semiHidden/>
    <w:qFormat/>
    <w:uiPriority w:val="99"/>
    <w:rPr>
      <w:sz w:val="18"/>
      <w:szCs w:val="18"/>
    </w:rPr>
  </w:style>
  <w:style w:type="character" w:customStyle="1" w:styleId="27">
    <w:name w:val="页眉 字符"/>
    <w:link w:val="2"/>
    <w:autoRedefine/>
    <w:qFormat/>
    <w:uiPriority w:val="99"/>
    <w:rPr>
      <w:sz w:val="18"/>
      <w:szCs w:val="18"/>
    </w:rPr>
  </w:style>
  <w:style w:type="character" w:customStyle="1" w:styleId="28">
    <w:name w:val="批注框文本 字符"/>
    <w:link w:val="8"/>
    <w:autoRedefine/>
    <w:qFormat/>
    <w:uiPriority w:val="99"/>
    <w:rPr>
      <w:sz w:val="18"/>
      <w:szCs w:val="18"/>
    </w:rPr>
  </w:style>
  <w:style w:type="character" w:customStyle="1" w:styleId="29">
    <w:name w:val="批注文字 字符"/>
    <w:basedOn w:val="15"/>
    <w:link w:val="5"/>
    <w:autoRedefine/>
    <w:qFormat/>
    <w:uiPriority w:val="99"/>
  </w:style>
  <w:style w:type="character" w:customStyle="1" w:styleId="30">
    <w:name w:val="批注主题 字符"/>
    <w:link w:val="12"/>
    <w:autoRedefine/>
    <w:qFormat/>
    <w:uiPriority w:val="99"/>
    <w:rPr>
      <w:b/>
      <w:bCs/>
    </w:rPr>
  </w:style>
  <w:style w:type="character" w:customStyle="1" w:styleId="31">
    <w:name w:val="正文文本 字符"/>
    <w:link w:val="6"/>
    <w:autoRedefine/>
    <w:qFormat/>
    <w:uiPriority w:val="99"/>
    <w:rPr>
      <w:rFonts w:ascii="Calibri" w:hAnsi="Calibri" w:cs="黑体"/>
      <w:kern w:val="2"/>
      <w:sz w:val="21"/>
      <w:szCs w:val="24"/>
    </w:rPr>
  </w:style>
  <w:style w:type="character" w:customStyle="1" w:styleId="32">
    <w:name w:val="font01"/>
    <w:basedOn w:val="15"/>
    <w:autoRedefine/>
    <w:qFormat/>
    <w:uiPriority w:val="0"/>
    <w:rPr>
      <w:rFonts w:hint="eastAsia" w:ascii="宋体" w:hAnsi="宋体" w:eastAsia="宋体" w:cs="宋体"/>
      <w:color w:val="000000"/>
      <w:sz w:val="22"/>
      <w:szCs w:val="22"/>
      <w:u w:val="none"/>
    </w:rPr>
  </w:style>
  <w:style w:type="character" w:customStyle="1" w:styleId="33">
    <w:name w:val="font11"/>
    <w:basedOn w:val="15"/>
    <w:autoRedefine/>
    <w:qFormat/>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5764</Words>
  <Characters>6002</Characters>
  <Lines>52</Lines>
  <Paragraphs>14</Paragraphs>
  <TotalTime>1</TotalTime>
  <ScaleCrop>false</ScaleCrop>
  <LinksUpToDate>false</LinksUpToDate>
  <CharactersWithSpaces>6068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2023-04-14T00:35:00Z</dcterms:created>
  <dc:creator>lenovo</dc:creator>
  <cp:lastModifiedBy>· Sophia ·</cp:lastModifiedBy>
  <cp:lastPrinted>2024-05-24T06:48:00Z</cp:lastPrinted>
  <dcterms:modified xsi:type="dcterms:W3CDTF">2024-05-24T07:31:05Z</dcterms:modified>
  <dc:title>安化县人民政府2023年第7次常务会议资料</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C8BB8D3A60144ED781AF800EB2E4AFCA_13</vt:lpwstr>
  </property>
</Properties>
</file>