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hint="default" w:ascii="Times New Roman" w:hAnsi="Times New Roman" w:eastAsia="方正小标宋简体" w:cs="Times New Roman"/>
          <w:color w:val="000000" w:themeColor="text1"/>
          <w:sz w:val="52"/>
          <w:szCs w:val="52"/>
          <w:highlight w:val="none"/>
          <w:lang w:val="en-US" w:eastAsia="zh-CN"/>
          <w14:textFill>
            <w14:solidFill>
              <w14:schemeClr w14:val="tx1"/>
            </w14:solidFill>
          </w14:textFill>
        </w:rPr>
      </w:pPr>
      <w:bookmarkStart w:id="29" w:name="_GoBack"/>
      <w:bookmarkEnd w:id="29"/>
    </w:p>
    <w:p>
      <w:pPr>
        <w:spacing w:line="360" w:lineRule="auto"/>
        <w:ind w:firstLine="0" w:firstLineChars="0"/>
        <w:jc w:val="center"/>
        <w:rPr>
          <w:rFonts w:hint="default" w:ascii="Times New Roman" w:hAnsi="Times New Roman" w:eastAsia="方正小标宋简体" w:cs="Times New Roman"/>
          <w:color w:val="000000" w:themeColor="text1"/>
          <w:sz w:val="52"/>
          <w:szCs w:val="52"/>
          <w:highlight w:val="none"/>
          <w:lang w:val="en-US" w:eastAsia="zh-CN"/>
          <w14:textFill>
            <w14:solidFill>
              <w14:schemeClr w14:val="tx1"/>
            </w14:solidFill>
          </w14:textFill>
        </w:rPr>
      </w:pPr>
    </w:p>
    <w:p>
      <w:pPr>
        <w:spacing w:line="360" w:lineRule="auto"/>
        <w:ind w:firstLine="0" w:firstLineChars="0"/>
        <w:jc w:val="center"/>
        <w:rPr>
          <w:rFonts w:hint="default" w:ascii="Times New Roman" w:hAnsi="Times New Roman" w:eastAsia="方正小标宋简体" w:cs="Times New Roman"/>
          <w:color w:val="000000" w:themeColor="text1"/>
          <w:sz w:val="52"/>
          <w:szCs w:val="52"/>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52"/>
          <w:szCs w:val="52"/>
          <w:highlight w:val="none"/>
          <w:lang w:val="en-US" w:eastAsia="zh-CN"/>
          <w14:textFill>
            <w14:solidFill>
              <w14:schemeClr w14:val="tx1"/>
            </w14:solidFill>
          </w14:textFill>
        </w:rPr>
        <w:t>安化县预拌混凝土搅拌站布局</w:t>
      </w:r>
    </w:p>
    <w:p>
      <w:pPr>
        <w:spacing w:line="360" w:lineRule="auto"/>
        <w:ind w:firstLine="0" w:firstLineChars="0"/>
        <w:jc w:val="center"/>
        <w:rPr>
          <w:rFonts w:hint="default" w:ascii="Times New Roman" w:hAnsi="Times New Roman" w:eastAsia="方正小标宋简体" w:cs="Times New Roman"/>
          <w:color w:val="000000" w:themeColor="text1"/>
          <w:sz w:val="48"/>
          <w:szCs w:val="48"/>
          <w:highlight w:val="none"/>
          <w14:textFill>
            <w14:solidFill>
              <w14:schemeClr w14:val="tx1"/>
            </w14:solidFill>
          </w14:textFill>
        </w:rPr>
      </w:pPr>
      <w:r>
        <w:rPr>
          <w:rFonts w:hint="default" w:ascii="Times New Roman" w:hAnsi="Times New Roman" w:eastAsia="方正小标宋简体" w:cs="Times New Roman"/>
          <w:color w:val="000000" w:themeColor="text1"/>
          <w:sz w:val="52"/>
          <w:szCs w:val="52"/>
          <w:highlight w:val="none"/>
          <w:lang w:val="en-US" w:eastAsia="zh-CN"/>
          <w14:textFill>
            <w14:solidFill>
              <w14:schemeClr w14:val="tx1"/>
            </w14:solidFill>
          </w14:textFill>
        </w:rPr>
        <w:t>专项规划</w:t>
      </w:r>
      <w:r>
        <w:rPr>
          <w:rFonts w:hint="default" w:ascii="Times New Roman" w:hAnsi="Times New Roman" w:eastAsia="方正小标宋简体" w:cs="Times New Roman"/>
          <w:color w:val="000000" w:themeColor="text1"/>
          <w:sz w:val="48"/>
          <w:szCs w:val="48"/>
          <w:highlight w:val="none"/>
          <w14:textFill>
            <w14:solidFill>
              <w14:schemeClr w14:val="tx1"/>
            </w14:solidFill>
          </w14:textFill>
        </w:rPr>
        <w:t>（2021—2035年）</w:t>
      </w: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44"/>
          <w:szCs w:val="44"/>
          <w:highlight w:val="none"/>
          <w:lang w:val="en-US" w:eastAsia="zh-CN"/>
          <w14:textFill>
            <w14:solidFill>
              <w14:schemeClr w14:val="tx1"/>
            </w14:solidFill>
          </w14:textFill>
        </w:rPr>
        <w:t>文  本</w:t>
      </w: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pPr>
        <w:spacing w:line="360" w:lineRule="auto"/>
        <w:ind w:firstLine="0" w:firstLineChars="0"/>
        <w:jc w:val="center"/>
        <w:rPr>
          <w:rFonts w:hint="default" w:ascii="Times New Roman" w:hAnsi="Times New Roman" w:eastAsia="黑体" w:cs="Times New Roman"/>
          <w:color w:val="000000" w:themeColor="text1"/>
          <w:sz w:val="30"/>
          <w:szCs w:val="30"/>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0"/>
          <w:szCs w:val="30"/>
          <w:highlight w:val="none"/>
          <w:lang w:val="en-US" w:eastAsia="zh-CN"/>
          <w14:textFill>
            <w14:solidFill>
              <w14:schemeClr w14:val="tx1"/>
            </w14:solidFill>
          </w14:textFill>
        </w:rPr>
        <w:t>安化县</w:t>
      </w:r>
      <w:r>
        <w:rPr>
          <w:rFonts w:hint="eastAsia" w:ascii="Times New Roman" w:hAnsi="Times New Roman" w:eastAsia="黑体" w:cs="Times New Roman"/>
          <w:color w:val="000000" w:themeColor="text1"/>
          <w:sz w:val="30"/>
          <w:szCs w:val="30"/>
          <w:highlight w:val="none"/>
          <w:lang w:val="en-US" w:eastAsia="zh-CN"/>
          <w14:textFill>
            <w14:solidFill>
              <w14:schemeClr w14:val="tx1"/>
            </w14:solidFill>
          </w14:textFill>
        </w:rPr>
        <w:t>人民政府</w:t>
      </w:r>
    </w:p>
    <w:p>
      <w:pPr>
        <w:spacing w:line="360" w:lineRule="auto"/>
        <w:ind w:firstLine="0" w:firstLineChars="0"/>
        <w:jc w:val="center"/>
        <w:rPr>
          <w:rFonts w:hint="default" w:ascii="Times New Roman" w:hAnsi="Times New Roman" w:eastAsia="黑体" w:cs="Times New Roman"/>
          <w:color w:val="000000" w:themeColor="text1"/>
          <w:sz w:val="30"/>
          <w:szCs w:val="30"/>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0"/>
          <w:szCs w:val="30"/>
          <w:highlight w:val="none"/>
          <w:lang w:val="en-US" w:eastAsia="zh-CN"/>
          <w14:textFill>
            <w14:solidFill>
              <w14:schemeClr w14:val="tx1"/>
            </w14:solidFill>
          </w14:textFill>
        </w:rPr>
        <w:t>2024.</w:t>
      </w:r>
      <w:r>
        <w:rPr>
          <w:rFonts w:hint="eastAsia" w:ascii="Times New Roman" w:hAnsi="Times New Roman" w:eastAsia="黑体" w:cs="Times New Roman"/>
          <w:color w:val="000000" w:themeColor="text1"/>
          <w:sz w:val="30"/>
          <w:szCs w:val="30"/>
          <w:highlight w:val="none"/>
          <w:lang w:val="en-US" w:eastAsia="zh-CN"/>
          <w14:textFill>
            <w14:solidFill>
              <w14:schemeClr w14:val="tx1"/>
            </w14:solidFill>
          </w14:textFill>
        </w:rPr>
        <w:t>8</w:t>
      </w: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600" w:lineRule="exact"/>
        <w:ind w:firstLine="0" w:firstLineChars="0"/>
        <w:jc w:val="center"/>
        <w:rPr>
          <w:rFonts w:hint="default" w:ascii="Times New Roman" w:hAnsi="Times New Roman" w:eastAsia="方正小标宋简体" w:cs="Times New Roman"/>
          <w:b/>
          <w:color w:val="000000" w:themeColor="text1"/>
          <w:sz w:val="36"/>
          <w:szCs w:val="22"/>
          <w:highlight w:val="none"/>
          <w:lang w:val="en-US" w:eastAsia="zh-CN"/>
          <w14:textFill>
            <w14:solidFill>
              <w14:schemeClr w14:val="tx1"/>
            </w14:solidFill>
          </w14:textFill>
        </w:rPr>
      </w:pPr>
      <w:r>
        <w:rPr>
          <w:rFonts w:hint="default" w:ascii="Times New Roman" w:hAnsi="Times New Roman" w:eastAsia="方正小标宋简体" w:cs="Times New Roman"/>
          <w:b/>
          <w:color w:val="000000" w:themeColor="text1"/>
          <w:sz w:val="36"/>
          <w:szCs w:val="22"/>
          <w:highlight w:val="none"/>
          <w:lang w:val="en-US" w:eastAsia="zh-CN"/>
          <w14:textFill>
            <w14:solidFill>
              <w14:schemeClr w14:val="tx1"/>
            </w14:solidFill>
          </w14:textFill>
        </w:rPr>
        <w:t>目  录</w:t>
      </w:r>
    </w:p>
    <w:p>
      <w:pPr>
        <w:pStyle w:val="7"/>
        <w:tabs>
          <w:tab w:val="right" w:leader="dot" w:pos="8306"/>
        </w:tabs>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fldChar w:fldCharType="begin"/>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instrText xml:space="preserve">TOC \o "1-2" \h \u </w:instrTex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_Toc30887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前言</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_Toc30887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1</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_Toc19080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第一章  规划背景</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_Toc19080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3</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_Toc3206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第一节  现状概况</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_Toc3206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3</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_Toc8095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第二节  问题分析</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_Toc8095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3</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_Toc6988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第三节  发展机遇</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_Toc6988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_Toc2249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第二章  总体要求</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_Toc2249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7</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_Toc24691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第一节  指导思想</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_Toc24691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7</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_Toc29695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第二节  规划原则</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_Toc29695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7</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_Toc14574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第三节  规划目标</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_Toc14574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_Toc15836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三</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 xml:space="preserve">章  </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站场建设</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_Toc15836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10</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_Toc31892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第一节  布点原则</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_Toc31892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_Toc15833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 xml:space="preserve">第二节  </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站场</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选址要求</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_Toc15833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11</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_Toc4079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 xml:space="preserve">第三节  </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站场</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建设要求</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_Toc4079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11</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_Toc28010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四</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节  节能</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降耗和环保</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_Toc28010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12</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_Toc22899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四</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 xml:space="preserve">章  </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站场管理</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_Toc22899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14</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_Toc18646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第一节  资质标准要求</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_Toc18646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14</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_Toc23908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第二节  部门分工职责</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_Toc23908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14</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_Toc16389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第三节  临时站场设置</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_Toc16389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16</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_Toc7670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五</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章  实施措施</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_Toc7670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18</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_Toc32412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第一节  健全规划落实责任</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_Toc32412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18</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_Toc2412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第二节  发挥规划导向作用</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_Toc2412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18</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_Toc20000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第三节  强化质量</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控制监管</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_Toc20000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18</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_Toc20040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 xml:space="preserve">第四节  </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绿色</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创新</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，高质量发展</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_Toc20040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19</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_Toc10738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附表</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_Toc10738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20</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default" w:ascii="黑体" w:hAnsi="黑体" w:eastAsia="黑体" w:cs="黑体"/>
          <w:color w:val="000000" w:themeColor="text1"/>
          <w:sz w:val="28"/>
          <w:szCs w:val="28"/>
          <w:highlight w:val="none"/>
          <w:lang w:val="en-US" w:eastAsia="zh-CN"/>
          <w14:textFill>
            <w14:solidFill>
              <w14:schemeClr w14:val="tx1"/>
            </w14:solidFill>
          </w14:textFill>
        </w:rPr>
        <w:fldChar w:fldCharType="begin"/>
      </w:r>
      <w:r>
        <w:rPr>
          <w:rFonts w:hint="default" w:ascii="黑体" w:hAnsi="黑体" w:eastAsia="黑体" w:cs="黑体"/>
          <w:color w:val="000000" w:themeColor="text1"/>
          <w:sz w:val="28"/>
          <w:szCs w:val="28"/>
          <w:highlight w:val="none"/>
          <w:lang w:val="en-US" w:eastAsia="zh-CN"/>
          <w14:textFill>
            <w14:solidFill>
              <w14:schemeClr w14:val="tx1"/>
            </w14:solidFill>
          </w14:textFill>
        </w:rPr>
        <w:instrText xml:space="preserve"> HYPERLINK \l _Toc28097 </w:instrText>
      </w:r>
      <w:r>
        <w:rPr>
          <w:rFonts w:hint="default" w:ascii="黑体" w:hAnsi="黑体" w:eastAsia="黑体" w:cs="黑体"/>
          <w:color w:val="000000" w:themeColor="text1"/>
          <w:sz w:val="28"/>
          <w:szCs w:val="28"/>
          <w:highlight w:val="none"/>
          <w:lang w:val="en-US" w:eastAsia="zh-CN"/>
          <w14:textFill>
            <w14:solidFill>
              <w14:schemeClr w14:val="tx1"/>
            </w14:solidFill>
          </w14:textFill>
        </w:rPr>
        <w:fldChar w:fldCharType="separate"/>
      </w:r>
      <w:r>
        <w:rPr>
          <w:rFonts w:hint="eastAsia" w:ascii="黑体" w:hAnsi="黑体" w:eastAsia="黑体" w:cs="黑体"/>
          <w:color w:val="000000" w:themeColor="text1"/>
          <w:sz w:val="28"/>
          <w:szCs w:val="28"/>
          <w:highlight w:val="none"/>
          <w:lang w:val="en-US" w:eastAsia="zh-CN"/>
          <w14:textFill>
            <w14:solidFill>
              <w14:schemeClr w14:val="tx1"/>
            </w14:solidFill>
          </w14:textFill>
        </w:rPr>
        <w:t>附表1  安化县预拌混凝土搅拌站规划站场及产能布局表</w:t>
      </w:r>
      <w:r>
        <w:rPr>
          <w:rFonts w:hint="eastAsia" w:ascii="黑体" w:hAnsi="黑体" w:eastAsia="黑体" w:cs="黑体"/>
          <w:color w:val="000000" w:themeColor="text1"/>
          <w:sz w:val="28"/>
          <w:szCs w:val="28"/>
          <w:highlight w:val="none"/>
          <w:lang w:val="en-US" w:eastAsia="zh-CN"/>
          <w14:textFill>
            <w14:solidFill>
              <w14:schemeClr w14:val="tx1"/>
            </w14:solidFill>
          </w14:textFill>
        </w:rPr>
        <w:tab/>
      </w:r>
      <w:r>
        <w:rPr>
          <w:rFonts w:hint="eastAsia" w:ascii="黑体" w:hAnsi="黑体" w:eastAsia="黑体" w:cs="黑体"/>
          <w:color w:val="000000" w:themeColor="text1"/>
          <w:sz w:val="28"/>
          <w:szCs w:val="28"/>
          <w:highlight w:val="none"/>
          <w:lang w:val="en-US" w:eastAsia="zh-CN"/>
          <w14:textFill>
            <w14:solidFill>
              <w14:schemeClr w14:val="tx1"/>
            </w14:solidFill>
          </w14:textFill>
        </w:rPr>
        <w:fldChar w:fldCharType="begin"/>
      </w:r>
      <w:r>
        <w:rPr>
          <w:rFonts w:hint="eastAsia" w:ascii="黑体" w:hAnsi="黑体" w:eastAsia="黑体" w:cs="黑体"/>
          <w:color w:val="000000" w:themeColor="text1"/>
          <w:sz w:val="28"/>
          <w:szCs w:val="28"/>
          <w:highlight w:val="none"/>
          <w:lang w:val="en-US" w:eastAsia="zh-CN"/>
          <w14:textFill>
            <w14:solidFill>
              <w14:schemeClr w14:val="tx1"/>
            </w14:solidFill>
          </w14:textFill>
        </w:rPr>
        <w:instrText xml:space="preserve"> PAGEREF _Toc28097 \h </w:instrText>
      </w:r>
      <w:r>
        <w:rPr>
          <w:rFonts w:hint="eastAsia" w:ascii="黑体" w:hAnsi="黑体" w:eastAsia="黑体" w:cs="黑体"/>
          <w:color w:val="000000" w:themeColor="text1"/>
          <w:sz w:val="28"/>
          <w:szCs w:val="28"/>
          <w:highlight w:val="none"/>
          <w:lang w:val="en-US" w:eastAsia="zh-CN"/>
          <w14:textFill>
            <w14:solidFill>
              <w14:schemeClr w14:val="tx1"/>
            </w14:solidFill>
          </w14:textFill>
        </w:rPr>
        <w:fldChar w:fldCharType="separate"/>
      </w:r>
      <w:r>
        <w:rPr>
          <w:rFonts w:hint="eastAsia" w:ascii="黑体" w:hAnsi="黑体" w:eastAsia="黑体" w:cs="黑体"/>
          <w:color w:val="000000" w:themeColor="text1"/>
          <w:sz w:val="28"/>
          <w:szCs w:val="28"/>
          <w:highlight w:val="none"/>
          <w:lang w:val="en-US" w:eastAsia="zh-CN"/>
          <w14:textFill>
            <w14:solidFill>
              <w14:schemeClr w14:val="tx1"/>
            </w14:solidFill>
          </w14:textFill>
        </w:rPr>
        <w:t>20</w:t>
      </w:r>
      <w:r>
        <w:rPr>
          <w:rFonts w:hint="eastAsia" w:ascii="黑体" w:hAnsi="黑体" w:eastAsia="黑体" w:cs="黑体"/>
          <w:color w:val="000000" w:themeColor="text1"/>
          <w:sz w:val="28"/>
          <w:szCs w:val="28"/>
          <w:highlight w:val="none"/>
          <w:lang w:val="en-US" w:eastAsia="zh-CN"/>
          <w14:textFill>
            <w14:solidFill>
              <w14:schemeClr w14:val="tx1"/>
            </w14:solidFill>
          </w14:textFill>
        </w:rPr>
        <w:fldChar w:fldCharType="end"/>
      </w:r>
      <w:r>
        <w:rPr>
          <w:rFonts w:hint="default" w:ascii="黑体" w:hAnsi="黑体" w:eastAsia="黑体" w:cs="黑体"/>
          <w:color w:val="000000" w:themeColor="text1"/>
          <w:sz w:val="28"/>
          <w:szCs w:val="28"/>
          <w:highlight w:val="none"/>
          <w:lang w:val="en-US" w:eastAsia="zh-CN"/>
          <w14:textFill>
            <w14:solidFill>
              <w14:schemeClr w14:val="tx1"/>
            </w14:solidFill>
          </w14:textFill>
        </w:rPr>
        <w:fldChar w:fldCharType="end"/>
      </w:r>
    </w:p>
    <w:p>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default" w:ascii="黑体" w:hAnsi="黑体" w:eastAsia="黑体" w:cs="黑体"/>
          <w:color w:val="000000" w:themeColor="text1"/>
          <w:sz w:val="28"/>
          <w:szCs w:val="28"/>
          <w:highlight w:val="none"/>
          <w:lang w:val="en-US" w:eastAsia="zh-CN"/>
          <w14:textFill>
            <w14:solidFill>
              <w14:schemeClr w14:val="tx1"/>
            </w14:solidFill>
          </w14:textFill>
        </w:rPr>
        <w:fldChar w:fldCharType="begin"/>
      </w:r>
      <w:r>
        <w:rPr>
          <w:rFonts w:hint="default" w:ascii="黑体" w:hAnsi="黑体" w:eastAsia="黑体" w:cs="黑体"/>
          <w:color w:val="000000" w:themeColor="text1"/>
          <w:sz w:val="28"/>
          <w:szCs w:val="28"/>
          <w:highlight w:val="none"/>
          <w:lang w:val="en-US" w:eastAsia="zh-CN"/>
          <w14:textFill>
            <w14:solidFill>
              <w14:schemeClr w14:val="tx1"/>
            </w14:solidFill>
          </w14:textFill>
        </w:rPr>
        <w:instrText xml:space="preserve"> HYPERLINK \l _Toc7263 </w:instrText>
      </w:r>
      <w:r>
        <w:rPr>
          <w:rFonts w:hint="default" w:ascii="黑体" w:hAnsi="黑体" w:eastAsia="黑体" w:cs="黑体"/>
          <w:color w:val="000000" w:themeColor="text1"/>
          <w:sz w:val="28"/>
          <w:szCs w:val="28"/>
          <w:highlight w:val="none"/>
          <w:lang w:val="en-US" w:eastAsia="zh-CN"/>
          <w14:textFill>
            <w14:solidFill>
              <w14:schemeClr w14:val="tx1"/>
            </w14:solidFill>
          </w14:textFill>
        </w:rPr>
        <w:fldChar w:fldCharType="separate"/>
      </w:r>
      <w:r>
        <w:rPr>
          <w:rFonts w:hint="eastAsia" w:ascii="黑体" w:hAnsi="黑体" w:eastAsia="黑体" w:cs="黑体"/>
          <w:color w:val="000000" w:themeColor="text1"/>
          <w:sz w:val="28"/>
          <w:szCs w:val="28"/>
          <w:highlight w:val="none"/>
          <w:lang w:val="en-US" w:eastAsia="zh-CN"/>
          <w14:textFill>
            <w14:solidFill>
              <w14:schemeClr w14:val="tx1"/>
            </w14:solidFill>
          </w14:textFill>
        </w:rPr>
        <w:t>附表2  安化县规划站场汇总表</w:t>
      </w:r>
      <w:r>
        <w:rPr>
          <w:rFonts w:hint="eastAsia" w:ascii="黑体" w:hAnsi="黑体" w:eastAsia="黑体" w:cs="黑体"/>
          <w:color w:val="000000" w:themeColor="text1"/>
          <w:sz w:val="28"/>
          <w:szCs w:val="28"/>
          <w:highlight w:val="none"/>
          <w:lang w:val="en-US" w:eastAsia="zh-CN"/>
          <w14:textFill>
            <w14:solidFill>
              <w14:schemeClr w14:val="tx1"/>
            </w14:solidFill>
          </w14:textFill>
        </w:rPr>
        <w:tab/>
      </w:r>
      <w:r>
        <w:rPr>
          <w:rFonts w:hint="eastAsia" w:ascii="黑体" w:hAnsi="黑体" w:eastAsia="黑体" w:cs="黑体"/>
          <w:color w:val="000000" w:themeColor="text1"/>
          <w:sz w:val="28"/>
          <w:szCs w:val="28"/>
          <w:highlight w:val="none"/>
          <w:lang w:val="en-US" w:eastAsia="zh-CN"/>
          <w14:textFill>
            <w14:solidFill>
              <w14:schemeClr w14:val="tx1"/>
            </w14:solidFill>
          </w14:textFill>
        </w:rPr>
        <w:fldChar w:fldCharType="begin"/>
      </w:r>
      <w:r>
        <w:rPr>
          <w:rFonts w:hint="eastAsia" w:ascii="黑体" w:hAnsi="黑体" w:eastAsia="黑体" w:cs="黑体"/>
          <w:color w:val="000000" w:themeColor="text1"/>
          <w:sz w:val="28"/>
          <w:szCs w:val="28"/>
          <w:highlight w:val="none"/>
          <w:lang w:val="en-US" w:eastAsia="zh-CN"/>
          <w14:textFill>
            <w14:solidFill>
              <w14:schemeClr w14:val="tx1"/>
            </w14:solidFill>
          </w14:textFill>
        </w:rPr>
        <w:instrText xml:space="preserve"> PAGEREF _Toc7263 \h </w:instrText>
      </w:r>
      <w:r>
        <w:rPr>
          <w:rFonts w:hint="eastAsia" w:ascii="黑体" w:hAnsi="黑体" w:eastAsia="黑体" w:cs="黑体"/>
          <w:color w:val="000000" w:themeColor="text1"/>
          <w:sz w:val="28"/>
          <w:szCs w:val="28"/>
          <w:highlight w:val="none"/>
          <w:lang w:val="en-US" w:eastAsia="zh-CN"/>
          <w14:textFill>
            <w14:solidFill>
              <w14:schemeClr w14:val="tx1"/>
            </w14:solidFill>
          </w14:textFill>
        </w:rPr>
        <w:fldChar w:fldCharType="separate"/>
      </w:r>
      <w:r>
        <w:rPr>
          <w:rFonts w:hint="eastAsia" w:ascii="黑体" w:hAnsi="黑体" w:eastAsia="黑体" w:cs="黑体"/>
          <w:color w:val="000000" w:themeColor="text1"/>
          <w:sz w:val="28"/>
          <w:szCs w:val="28"/>
          <w:highlight w:val="none"/>
          <w:lang w:val="en-US" w:eastAsia="zh-CN"/>
          <w14:textFill>
            <w14:solidFill>
              <w14:schemeClr w14:val="tx1"/>
            </w14:solidFill>
          </w14:textFill>
        </w:rPr>
        <w:t>22</w:t>
      </w:r>
      <w:r>
        <w:rPr>
          <w:rFonts w:hint="eastAsia" w:ascii="黑体" w:hAnsi="黑体" w:eastAsia="黑体" w:cs="黑体"/>
          <w:color w:val="000000" w:themeColor="text1"/>
          <w:sz w:val="28"/>
          <w:szCs w:val="28"/>
          <w:highlight w:val="none"/>
          <w:lang w:val="en-US" w:eastAsia="zh-CN"/>
          <w14:textFill>
            <w14:solidFill>
              <w14:schemeClr w14:val="tx1"/>
            </w14:solidFill>
          </w14:textFill>
        </w:rPr>
        <w:fldChar w:fldCharType="end"/>
      </w:r>
      <w:r>
        <w:rPr>
          <w:rFonts w:hint="default" w:ascii="黑体" w:hAnsi="黑体" w:eastAsia="黑体" w:cs="黑体"/>
          <w:color w:val="000000" w:themeColor="text1"/>
          <w:sz w:val="28"/>
          <w:szCs w:val="28"/>
          <w:highlight w:val="none"/>
          <w:lang w:val="en-US" w:eastAsia="zh-CN"/>
          <w14:textFill>
            <w14:solidFill>
              <w14:schemeClr w14:val="tx1"/>
            </w14:solidFill>
          </w14:textFill>
        </w:rPr>
        <w:fldChar w:fldCharType="end"/>
      </w:r>
    </w:p>
    <w:p>
      <w:pPr>
        <w:pStyle w:val="12"/>
        <w:spacing w:before="360" w:after="156" w:line="360" w:lineRule="auto"/>
        <w:ind w:firstLine="0" w:firstLineChars="0"/>
        <w:jc w:val="center"/>
        <w:outlineLvl w:val="0"/>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方正小标宋简体" w:cs="Times New Roman"/>
          <w:color w:val="000000" w:themeColor="text1"/>
          <w:szCs w:val="44"/>
          <w:highlight w:val="none"/>
          <w:lang w:val="en-US" w:eastAsia="zh-CN"/>
          <w14:textFill>
            <w14:solidFill>
              <w14:schemeClr w14:val="tx1"/>
            </w14:solidFill>
          </w14:textFill>
        </w:rPr>
        <w:fldChar w:fldCharType="end"/>
      </w:r>
    </w:p>
    <w:p>
      <w:pPr>
        <w:pStyle w:val="12"/>
        <w:spacing w:before="360" w:after="156" w:line="360" w:lineRule="auto"/>
        <w:ind w:firstLine="0" w:firstLineChars="0"/>
        <w:jc w:val="center"/>
        <w:outlineLvl w:val="0"/>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bookmarkStart w:id="0" w:name="_Toc30887"/>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前言</w:t>
      </w:r>
      <w:bookmarkEnd w:id="0"/>
    </w:p>
    <w:p>
      <w:pPr>
        <w:spacing w:line="600" w:lineRule="exact"/>
        <w:ind w:firstLine="720" w:firstLineChars="200"/>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预拌混凝土是</w:t>
      </w:r>
      <w:r>
        <w:rPr>
          <w:rFonts w:hint="eastAsia" w:ascii="Times New Roman" w:hAnsi="Times New Roman" w:eastAsia="仿宋_GB2312" w:cs="Times New Roman"/>
          <w:color w:val="000000" w:themeColor="text1"/>
          <w:sz w:val="36"/>
          <w:szCs w:val="36"/>
          <w:highlight w:val="none"/>
          <w:lang w:val="en-US" w:eastAsia="zh-CN"/>
          <w14:textFill>
            <w14:solidFill>
              <w14:schemeClr w14:val="tx1"/>
            </w14:solidFill>
          </w14:textFill>
        </w:rPr>
        <w:t>房建、市政、交通、水利等各类工程建设中不可或缺的重要基础材料</w:t>
      </w: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对保障工程质量安全起着重要作用。推广使用预拌混凝土是建筑工业现代化发展的重要标志，是实施可持续发展战略的重要组成部分，是建设行业落实科学发展观的具体体现，是创建生态城市和村镇，建设资源节约型、环境友好型城市的重要途径。对于提高生产率，保证工程质量，推动建筑业现代化，促进社会经济发展等方面都具有十分重要的作用。</w:t>
      </w:r>
    </w:p>
    <w:p>
      <w:pPr>
        <w:spacing w:line="600" w:lineRule="exact"/>
        <w:ind w:firstLine="720" w:firstLineChars="200"/>
        <w:rPr>
          <w:rFonts w:hint="default" w:ascii="Times New Roman" w:hAnsi="Times New Roman" w:eastAsia="仿宋_GB2312" w:cs="Times New Roman"/>
          <w:color w:val="000000" w:themeColor="text1"/>
          <w:sz w:val="36"/>
          <w:szCs w:val="36"/>
          <w:highlight w:val="none"/>
          <w14:textFill>
            <w14:solidFill>
              <w14:schemeClr w14:val="tx1"/>
            </w14:solidFill>
          </w14:textFill>
        </w:rPr>
      </w:pP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随着新型城镇化建设的加快，安化县预拌混凝土行业发展迅速。</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为科学推广应用预拌混凝土，合理布局预拌混凝土</w:t>
      </w: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站场</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，提高生产企业经济效益和社会效益，避免和减少资源浪费，保障建设工程质量，保护城市环境，根据相关法律法规，编制《</w:t>
      </w: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安化</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县预拌混凝土搅拌站布局专项规划（202</w:t>
      </w: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-2035</w:t>
      </w: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年</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w:t>
      </w:r>
      <w:r>
        <w:rPr>
          <w:rFonts w:hint="default" w:ascii="Times New Roman" w:hAnsi="Times New Roman" w:eastAsia="仿宋_GB2312" w:cs="Times New Roman"/>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以下称</w:t>
      </w:r>
      <w:r>
        <w:rPr>
          <w:rFonts w:hint="default" w:ascii="Times New Roman" w:hAnsi="Times New Roman" w:eastAsia="仿宋_GB2312" w:cs="Times New Roman"/>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规划</w:t>
      </w:r>
      <w:r>
        <w:rPr>
          <w:rFonts w:hint="default" w:ascii="Times New Roman" w:hAnsi="Times New Roman" w:eastAsia="仿宋_GB2312" w:cs="Times New Roman"/>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w:t>
      </w:r>
    </w:p>
    <w:p>
      <w:pPr>
        <w:spacing w:line="600" w:lineRule="exact"/>
        <w:ind w:firstLine="720" w:firstLineChars="200"/>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本次规划范围为县级行政辖区全域，包括清塘铺镇、仙溪镇、长塘镇、小淹镇、羊角塘镇、冷市镇、奎溪镇、烟溪镇、渠江镇、平口镇、柘溪镇、乐安镇、滔溪镇、梅城镇、大福镇、马路镇、东坪镇、江南镇、龙塘镇19个镇和高明乡、田庄乡、南金乡、古楼乡4个乡。</w:t>
      </w:r>
    </w:p>
    <w:p>
      <w:pPr>
        <w:spacing w:line="600" w:lineRule="exact"/>
        <w:ind w:firstLine="720" w:firstLineChars="200"/>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本规划基期年为2020年，规划期限为2021年至2035年。近期至2030年，远期至2035年。</w:t>
      </w:r>
    </w:p>
    <w:p>
      <w:pPr>
        <w:spacing w:line="600" w:lineRule="exact"/>
        <w:ind w:firstLine="720" w:firstLineChars="200"/>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文本中</w:t>
      </w:r>
      <w:r>
        <w:rPr>
          <w:rFonts w:hint="default" w:ascii="Times New Roman" w:hAnsi="Times New Roman" w:eastAsia="仿宋_GB2312" w:cs="Times New Roman"/>
          <w:color w:val="000000" w:themeColor="text1"/>
          <w:sz w:val="36"/>
          <w:szCs w:val="36"/>
          <w:highlight w:val="none"/>
          <w:u w:val="single"/>
          <w:lang w:val="en-US" w:eastAsia="zh-CN"/>
          <w14:textFill>
            <w14:solidFill>
              <w14:schemeClr w14:val="tx1"/>
            </w14:solidFill>
          </w14:textFill>
        </w:rPr>
        <w:t>“下划线”</w:t>
      </w: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部分为本规划的强制性内容，违反强制性内容属严重违反城乡规划法。</w:t>
      </w:r>
    </w:p>
    <w:p>
      <w:pPr>
        <w:numPr>
          <w:ilvl w:val="0"/>
          <w:numId w:val="0"/>
        </w:numPr>
        <w:rPr>
          <w:rFonts w:hint="default" w:ascii="Times New Roman" w:hAnsi="Times New Roman" w:cs="Times New Roman"/>
          <w:color w:val="000000" w:themeColor="text1"/>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pageBreakBefore/>
        <w:spacing w:before="360" w:after="240" w:line="360" w:lineRule="auto"/>
        <w:ind w:firstLine="0" w:firstLineChars="0"/>
        <w:jc w:val="cente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pPr>
      <w:bookmarkStart w:id="1" w:name="_Toc19080"/>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第一章  规划背景</w:t>
      </w:r>
      <w:bookmarkEnd w:id="1"/>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2" w:name="_Toc3206"/>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第一节  现状概况</w:t>
      </w:r>
      <w:bookmarkEnd w:id="2"/>
    </w:p>
    <w:p>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现状预拌混凝土搅拌站基本情况。</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2015年末，全县预拌混凝土企业共16家，</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随着经济社会的</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发展</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目前全县生产企业已锐增至</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66</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家。根据实地踏勘调研，全县现状</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66</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个预拌混凝土搅拌站中，</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前乡片区27个，中部片区16个，县城12个，西部库区11个。全县梅城镇站场数量最多，现有站场11个，东坪镇10个，羊角塘镇7个</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现状预拌混凝土搅拌站</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发证</w:t>
      </w: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情况。</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全县已办理建筑业企业资质证书的共14个，搅拌运输车及泵车配置符合要求，基本设置了办公楼、</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试验</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室等配套设备。其中东坪镇6个，田庄乡1个，梅城镇2个，乐安镇、仙溪镇、小淹镇、冷市镇、柘溪镇各1个。全县尚未办证的</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企业</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共</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52</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个，多为交通</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、水利</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等工程建设时设置的临时搅拌站，生产规模较小。其中梅城镇站场数量最多，镇域内未办证搅拌站9个，其次为羊角塘镇，未办证搅拌站7个，</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仙溪</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镇未办证搅拌站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5</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个。</w:t>
      </w:r>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3" w:name="_Toc8095"/>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第二节  问题分析</w:t>
      </w:r>
      <w:bookmarkEnd w:id="3"/>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产业布局不合理</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目前全县实际预拌混凝土搅拌站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企业66</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个，年设计产能约880万立方米，而规划基期年全县实际产能96.29万立方米，产能利用率仅为11%，预拌混凝土企业数量和设计产能已远超市场需求。安化县自发的建设模式</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导致</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布点不够合理，</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同时</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预拌混凝土产能利用率普遍偏低，行业产能过剩问题突出</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，容易</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引起</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各企业之间</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恶性竞争</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造成质量不能保证，从而影响建筑市场的质量安全。</w:t>
      </w:r>
    </w:p>
    <w:p>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绿色生产水平不高</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部分</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现状生产站场环保不达标，生产过程中排放的噪音、粉尘及废水超标，对周边环境和居民的正常生活造成影响；场站内部绿化面积不达标，厂区内污水横流、粉尘飞扬，生产和运输设备脏、乱、差，与站场周边环境形成极大反差，破坏了城市的整体形象。生产过程中产生的废弃混凝土未能及时得到有效利用，成为新的建筑垃圾，在增加资源消耗的同时对环境造成极大的负担。</w:t>
      </w:r>
    </w:p>
    <w:p>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设备技术亟待升级</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预拌混凝土企业的</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设立</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要求除了规定标准的生产线，</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还</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必须配备专业的泵车，搅拌车等，要有标准的</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试验</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室，</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试验</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室设备必须是专业配套的，要有标准的厂房、办公室及员工住房。安化县预拌混凝土行业亟需进行技术升级和产业结构调整，逐步淘汰不合理生产线、落后设备和过剩产能，推广预拌混凝土绿色化改造以及信息化管理建设，依靠科技进步、绿色生产以及智能信息化建设，实现行业可持续发展的目标。</w:t>
      </w:r>
    </w:p>
    <w:p>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行业监管有待加强</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全县</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66个</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企业中，已在发改委备案的仅</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23个</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，且在资金投入上也大多不足。其次，预拌混凝土行业横跨多个领域，涉及多个行政主管部门，</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一定程度上造成预拌混凝土管理的复杂性，企业除了征得乡镇同意并完成工商注册外，还要有国土、规划、发改、科工、生环等部门的备案或审批，再取得住建部门核发的建筑业企业资质证书后方可生产经营。目前安化县仅14个企业取得了住建部门核发的建筑业企业资质证书，其余均为无资质生产经营，良好的竞争秩序尚未很好形成</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4" w:name="_Toc6988"/>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第三节  发展机遇</w:t>
      </w:r>
      <w:bookmarkEnd w:id="4"/>
    </w:p>
    <w:p>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交通区位。</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目前安化县境内建成的高速公路有3条：S20平洞高速、G55二广高速以及新建成的官新高速，境内国道已形成“一纵两横”的空间格局，南北纵向的是G207国道，东西横向的是G536、G354两条国道。县城驻地东坪镇位于资水中游北岸，距省会长沙200公里，离益阳市134公里。梅城镇是安化县老县城驻地，也是安化县副中心，G207、S322在此交汇，交通区位优势明显。随着区域高速（二广高速、平洞高速）与铁路（安张衡铁路）的规划建设，安化县将进一步紧密联系珠三角、湘西地区以及华南地区，密切融入长株潭都市圈，</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县域</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的交通区位将得到大幅度提升。</w:t>
      </w:r>
    </w:p>
    <w:p>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产业基础。</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至2035年，规划形成以茶旅文体康产业为龙头，循环经济产业、矿冶业、新型建材产业、食品加工业、绿色能源产业、现代服务业为支柱的现代化产业体系，打造完成一个综合产值千亿级产业集群、六个百亿级产业集群、多个十亿级产业集群。做大做强特色农业、文化旅游、休闲度假、健康养老、户外运动等服务产业，打造沿海和长株潭休闲观光旅游度假体验的后花园和大湘西片区重要旅游节点。</w:t>
      </w:r>
    </w:p>
    <w:p>
      <w:pPr>
        <w:spacing w:line="600" w:lineRule="exact"/>
        <w:ind w:firstLine="723"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市场环境。</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抢抓中部崛起、粤港澳大湾区、长江经济带发展新机遇，以互联互通的现代基础设施网络为支撑，着力构建对外新通道；大力提升与长株潭城市圈和大湘西地区的交通、管网、能源、水利、信息等基础设施共建共享、互联互通水平，构建网络完善、高效便捷的一体化基础设施体系，实现与长株潭城市圈和大湘西片区一体发展；加速“东接东融”，坚持扩大开放，拓展对外交流，构建高质量内外循环体系。以产业园区、物流平台为载体，着力打造对外开放大平台，以战略性新兴产业为重点，开展精准招商扩大对外贸易合作，加快形成对外开放新局面。</w:t>
      </w:r>
    </w:p>
    <w:p>
      <w:pPr>
        <w:widowControl w:val="0"/>
        <w:numPr>
          <w:ilvl w:val="0"/>
          <w:numId w:val="0"/>
        </w:numPr>
        <w:jc w:val="both"/>
        <w:rPr>
          <w:rFonts w:hint="default" w:ascii="Times New Roman" w:hAnsi="Times New Roman" w:cs="Times New Roman"/>
          <w:color w:val="000000" w:themeColor="text1"/>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pageBreakBefore/>
        <w:spacing w:before="360" w:after="240" w:line="360" w:lineRule="auto"/>
        <w:ind w:firstLine="0" w:firstLineChars="0"/>
        <w:jc w:val="cente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pPr>
      <w:bookmarkStart w:id="5" w:name="_Toc2249"/>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第二章  总体要求</w:t>
      </w:r>
      <w:bookmarkEnd w:id="5"/>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6" w:name="_Toc24691"/>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第一节  指导思想</w:t>
      </w:r>
      <w:bookmarkEnd w:id="6"/>
    </w:p>
    <w:p>
      <w:pPr>
        <w:spacing w:line="600" w:lineRule="exact"/>
        <w:ind w:firstLine="720"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以习近平新时代中国特色社会主义思想为指导，全面贯彻党的二十大</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会议</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精神，牢固树立创新、协调、绿色、开放、共享的发展理念</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认真贯彻落实国家、省市发展战略，依据安化县预拌混凝土行业发展现状和发展规律，优化县域搅拌站布局，以安化县高质量</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发展战略为引领</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深入推进</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全县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预拌混凝土行业供给侧结构性改革，</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满足安化城市建设和发展对预拌混凝土的需求，为建设“开放、创新、秀美、富饶、幸福”新安化贡献力量</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7" w:name="_Toc29695"/>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第二节  规划原则</w:t>
      </w:r>
      <w:bookmarkEnd w:id="7"/>
    </w:p>
    <w:p>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坚持统筹协调，统一规划的原则。</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要贯彻和坚持以发展的稳定性、协调性和可持续性为目标，推动需求结构、产业结构、区域结构的平衡和调整，促进人与自然、资源之间的和谐，树立经济、社会、生态三者之间均衡原则，把节约能源资源、保护环境放在第一位，做到与全县经济社会发展规划与城乡主体区域相统一。强调规划的统一性，实行总量控制。</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市监、发改、自然资源、住建、生环、交通、水利、科工等部门在对混凝土行业管理方面应加强统筹协调</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坚持优化结构，合理布局的原则。</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站场</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的布局应合理，功能上既要有分工又要有合作，避免盲目发展和重复建设。规划供给方案时，既要合理规划</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站场</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的空间位置，坚持总量控制，又需与原材料来源、市场需求、运距相匹配，同时还应与县级国土空间规划、生态修复专项规划等相衔接。</w:t>
      </w:r>
    </w:p>
    <w:p>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坚持</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绿色发展</w:t>
      </w: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，节约资源的原则。</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坚持资源有效利用和环境保护相同步，强化企业绿色生产管理，以“节能、降耗、减污、增效”为目的，转变发展方式，实行绿色化生产改造。建立健全绿色生产标准化规范体系，形成行业共识，推动预拌混凝土产业向全封闭式、环保型方向发展。大力推行绿色建筑、绿色建材与再生能源，鼓励资源回收利用，减少工业“三废”排放，节约资源，保护环境。</w:t>
      </w:r>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8" w:name="_Toc14574"/>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第三节  规划目标</w:t>
      </w:r>
      <w:bookmarkEnd w:id="8"/>
    </w:p>
    <w:p>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依据安化县预拌混凝土行业发展现状和发展规律，坚持“规范、优化、提升”的发展思路，充分发挥市场在资源配置中的基础性作用和政府的宏观调控作用，以规范市场秩序，优化市场供需结构，提升行业绿色生产水平为切入点，通过严控市场准入标准，淘汰落后产能，优化搅拌站布局，加快行业创新发展与转型升级等措施，提升预拌混凝土行业管理和服务水平，满足城市建设与发展对高质量预拌混凝土的需求。</w:t>
      </w:r>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行业规模目标。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规划至</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20</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35</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总需求量</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预期</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数量为1675.40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，根据行业通用标准，既为实现科学有效地生产管理，又为防止产能过渡饱和而产生资源浪费，规划期内综合达产率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20—30</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%左右</w:t>
      </w:r>
      <w:r>
        <w:rPr>
          <w:rFonts w:hint="eastAsia" w:ascii="Times New Roman" w:hAnsi="Times New Roman" w:eastAsia="仿宋_GB2312" w:cs="Times New Roman"/>
          <w:b w:val="0"/>
          <w:bCs w:val="0"/>
          <w:color w:val="000000" w:themeColor="text1"/>
          <w:sz w:val="36"/>
          <w:szCs w:val="36"/>
          <w:highlight w:val="none"/>
          <w:u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规划</w:t>
      </w:r>
      <w:r>
        <w:rPr>
          <w:rFonts w:hint="eastAsia"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至</w:t>
      </w: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2035年，安化县预拌混凝土设计产能为370—550万立方米</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，以保障安化县预拌混凝土行业稳定有序发展。</w:t>
      </w:r>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行业布局目标。</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在控制总量前提下，鼓励区域供需平衡。</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通过</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科学规划，引导企业控制规模、合理选址。对现有搅拌</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站场</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采取</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保留、保留资质搬迁完善、完善手续、产能整合、撤销</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等</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方式进行规划，片区产能不足的</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适当</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新增</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站场</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r>
        <w:rPr>
          <w:rFonts w:hint="eastAsia"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规划至</w:t>
      </w: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2035年，</w:t>
      </w:r>
      <w:r>
        <w:rPr>
          <w:rFonts w:hint="eastAsia"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全县规划设置预拌混凝土搅拌站34个。</w:t>
      </w:r>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绿色生产目标。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促进企业绿色生产建设与升级改造，引导企业向绿色生产发展，促进预拌混凝土企业技术进步，规划至2035年，全县预拌混凝土企业全面达到《预拌混凝土绿色生产及管理技术规程》（JGJ/ T 328—2014）标准要求，并通过绿色生产评价考核，全部搅拌站均达到绿色生产二星级及以上水平</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pPr>
        <w:widowControl w:val="0"/>
        <w:numPr>
          <w:ilvl w:val="0"/>
          <w:numId w:val="0"/>
        </w:numPr>
        <w:jc w:val="both"/>
        <w:rPr>
          <w:rFonts w:hint="default" w:ascii="Times New Roman" w:hAnsi="Times New Roman" w:cs="Times New Roman"/>
          <w:color w:val="000000" w:themeColor="text1"/>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pageBreakBefore/>
        <w:spacing w:before="360" w:after="240" w:line="360" w:lineRule="auto"/>
        <w:ind w:firstLine="0" w:firstLineChars="0"/>
        <w:jc w:val="cente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pPr>
      <w:bookmarkStart w:id="9" w:name="_Toc15836"/>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第</w:t>
      </w:r>
      <w:r>
        <w:rPr>
          <w:rFonts w:hint="eastAsia"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三</w:t>
      </w:r>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 xml:space="preserve">章  </w:t>
      </w:r>
      <w:r>
        <w:rPr>
          <w:rFonts w:hint="eastAsia"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站场建设</w:t>
      </w:r>
      <w:bookmarkEnd w:id="9"/>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0" w:name="_Toc31892"/>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第一节  布点原则</w:t>
      </w:r>
      <w:bookmarkEnd w:id="10"/>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符合规划。</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搅拌站设立应当符合安化县国土空间总体规划、乡镇规划等的相关要求。</w:t>
      </w:r>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控制总量。</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搅拌站设立应根据安化县工程建设规模及市场需求，对预拌混凝土行业产能实行总量控制，科学发展与合理布局，做到行业产能规模与市场需求相匹配。</w:t>
      </w:r>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均衡分布。</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搅拌站设立应尽量避免在某一片区或某个路段分布过于密集或留有空白，避免给当地交通造成压力或是供给保障不充分。</w:t>
      </w:r>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交通便捷。</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搅拌站设立应考虑运输与生产条件，应具有方便快捷的对外交通条件。</w:t>
      </w:r>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环保安全。</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由于搅拌站在运行中散发出粉</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尘</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对环境有一定的影响，因此布点时要避开环境要求较高的地段，</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在设计施工中要符合环保部门的有关规定</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并取得相应的环评批复和验收报告</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同时，搅拌站的设计施工应符合消防、安全等国家相关法律法规的要求。</w:t>
      </w:r>
    </w:p>
    <w:p>
      <w:pPr>
        <w:spacing w:line="600" w:lineRule="exact"/>
        <w:ind w:firstLine="723" w:firstLineChars="200"/>
        <w:jc w:val="both"/>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科学</w:t>
      </w: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用地。</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搅拌站设立应贯彻集约节约用地原则，中心城区用地执行绿色环保型混凝土搅拌站场建设的有关规定；</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各乡镇站场</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用地应符合</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乡镇国土空间</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规划的有关规定</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，一般宜利用荒地和劣地，严禁使用永久基本农田。</w:t>
      </w:r>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1" w:name="_Toc15833"/>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 xml:space="preserve">第二节  </w:t>
      </w:r>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站场</w:t>
      </w:r>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选址要求</w:t>
      </w:r>
      <w:bookmarkEnd w:id="11"/>
    </w:p>
    <w:p>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搅拌站的选址应符合</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安化县国土空间总体</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规划，并充分考虑安全防火和环境保护的要求，站址的选择是否得当直接影响到搅拌站的经济效益和社会效益</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站址应选择在交通相对便利，又不影响城市主要交通的地方。</w:t>
      </w:r>
    </w:p>
    <w:p>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站址严禁设立在生态保护红线、永久基本农田保护控制范围内。</w:t>
      </w:r>
    </w:p>
    <w:p>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站址应尽量布置在工业集中区或开发区内，避开人流密集</w:t>
      </w:r>
      <w:r>
        <w:rPr>
          <w:rFonts w:hint="eastAsia"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区</w:t>
      </w: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和重要建筑物。</w:t>
      </w:r>
    </w:p>
    <w:p>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站址要符合建筑物防火规范和搅拌站的规范要求。</w:t>
      </w:r>
    </w:p>
    <w:p>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站址选择要避开地下构筑物。避免在塌陷地区及泄洪道旁建设。</w:t>
      </w:r>
    </w:p>
    <w:p>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注意环境保护。站址距离水库、河流应保持相应的距离，宜位于城镇和居民区的全年最小频率风向的下风侧。</w:t>
      </w:r>
    </w:p>
    <w:p>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u w:val="single"/>
          <w:lang w:val="en-US" w:eastAsia="zh-CN"/>
          <w14:textFill>
            <w14:solidFill>
              <w14:schemeClr w14:val="tx1"/>
            </w14:solidFill>
          </w14:textFill>
        </w:rPr>
        <w:t>搅拌站选址必须符合用地要求。</w:t>
      </w:r>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2" w:name="_Toc4079"/>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 xml:space="preserve">第三节  </w:t>
      </w:r>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站场</w:t>
      </w:r>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建设要求</w:t>
      </w:r>
      <w:bookmarkEnd w:id="12"/>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用地规模控制。</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为促进建设用地节约集约利用，预拌混凝土搅拌站建设规模在考虑行业发展需要的同时，要严格按照《湖南省建设用地定额标准（试行）》中的工业建设用地定额指标控制用地规模。</w:t>
      </w:r>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站场建设要求。</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搅拌站应有方便的供电条件，且要保证足够的生产用水。站内除生产区域外，应配套建设</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试验</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室、资料室、办公楼、停车场、洗车台等相关设施。搅拌站的生产、生活、办公应进行分区设置，试验室工作应当符合相关标准检验要求。</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站场的建设应满足</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安全防护要求</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和清洁生产要求。</w:t>
      </w:r>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站场服务半径。</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根据国家标准《预拌混凝土》（GB/T 14902）的相关规定，预拌混凝土从搅拌机卸入搅拌运输车至卸料时的运输时间不宜大于90分钟，如需延长运送时间，则应采取相应的有效技术措施，并应通过试验验证；当采用翻斗车时，运输时间不应大于45分钟。</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搅拌站需控制一定的运输距离</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，经济运输半径为10—20公里比较理想，此距离为预拌混凝土企业的区域最优服务半径，实际运输距离则在25—35公里之间</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3" w:name="_Toc28010"/>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w:t>
      </w:r>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四</w:t>
      </w:r>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节  节能</w:t>
      </w:r>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降耗和环保</w:t>
      </w:r>
      <w:bookmarkEnd w:id="13"/>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生产设备</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的选择</w:t>
      </w: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预拌混凝土搅拌站尽量选用低噪声、低能耗、低排放并满足环保标准的生产、运输、泵送、试验等设备，避免搅拌站长期超负荷运行造成的能耗浪费。</w:t>
      </w:r>
    </w:p>
    <w:p>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优化组织管理流程</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优化搅拌站生产系统的流程规划，全面梳理，促进混凝土的连续化、紧凑化和高效化生产。同时，尽量采用信息化设备，改进工艺技术，根据生产情况，合理调度，组织均衡生产，缩短车辆待料时间，提高生产效率。</w:t>
      </w:r>
    </w:p>
    <w:p>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环保设施。</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预拌混凝土搅拌站建成验收时，环境影响评价是必须检查的一项内容，也是建设绿色生产星级搅拌站必须考核的重要指标。搅拌站绿色环保达标主要</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包括</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有效地控制生产运输过程中产生的扬尘、废水、噪音、固体废弃物，实现混凝土绿色生产。</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其中</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粉尘排放浓度不超过30mg/Nm</w:t>
      </w:r>
      <w:r>
        <w:rPr>
          <w:rFonts w:hint="default" w:ascii="Times New Roman" w:hAnsi="Times New Roman" w:eastAsia="仿宋_GB2312" w:cs="Times New Roman"/>
          <w:b w:val="0"/>
          <w:bCs/>
          <w:color w:val="000000" w:themeColor="text1"/>
          <w:sz w:val="36"/>
          <w:szCs w:val="36"/>
          <w:highlight w:val="none"/>
          <w:vertAlign w:val="superscript"/>
          <w:lang w:val="en-US" w:eastAsia="zh-CN"/>
          <w14:textFill>
            <w14:solidFill>
              <w14:schemeClr w14:val="tx1"/>
            </w14:solidFill>
          </w14:textFill>
        </w:rPr>
        <w:t>3</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，站场应实现废水零排放，噪声昼间不超过60dB，夜间不超过50dB。</w:t>
      </w:r>
    </w:p>
    <w:p>
      <w:pPr>
        <w:pStyle w:val="3"/>
        <w:spacing w:before="240" w:after="120" w:line="360" w:lineRule="auto"/>
        <w:ind w:firstLine="0" w:firstLineChars="0"/>
        <w:jc w:val="cente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pageBreakBefore/>
        <w:spacing w:before="360" w:after="240" w:line="360" w:lineRule="auto"/>
        <w:ind w:firstLine="0" w:firstLineChars="0"/>
        <w:jc w:val="cente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pPr>
      <w:bookmarkStart w:id="14" w:name="_Toc22899"/>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第</w:t>
      </w:r>
      <w:r>
        <w:rPr>
          <w:rFonts w:hint="eastAsia"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四</w:t>
      </w:r>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 xml:space="preserve">章  </w:t>
      </w:r>
      <w:r>
        <w:rPr>
          <w:rFonts w:hint="eastAsia"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站场管理</w:t>
      </w:r>
      <w:bookmarkEnd w:id="14"/>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5" w:name="_Toc18646"/>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第一节  资质标准要求</w:t>
      </w:r>
      <w:bookmarkEnd w:id="15"/>
    </w:p>
    <w:p>
      <w:pPr>
        <w:spacing w:line="600" w:lineRule="exact"/>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根据《预拌混凝土专业承包企业资质等级标准》，预拌混凝土专业承包资质标准包括：</w:t>
      </w:r>
    </w:p>
    <w:p>
      <w:pPr>
        <w:pStyle w:val="4"/>
        <w:ind w:firstLine="723" w:firstLineChars="200"/>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企业资产。</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净资产2500万元以上。</w:t>
      </w:r>
    </w:p>
    <w:p>
      <w:pPr>
        <w:ind w:firstLine="723" w:firstLineChars="200"/>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企业主要人员。</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技术负责人具有5年以上从事工程施工技术管理工作经历，且具有工程序列高级职称或一级注册建造师执业资格。试验室负责人具有2年以上混凝土试验室工作经历，且具有工程序列中级以上职称或注册建造师执业资格。工程序列中级以上职称人员不少于4人，混凝土试验员不少于4人。</w:t>
      </w:r>
    </w:p>
    <w:p>
      <w:pPr>
        <w:pStyle w:val="4"/>
        <w:ind w:firstLine="723" w:firstLineChars="200"/>
        <w:rPr>
          <w:rFonts w:hint="default"/>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技术装备。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120立方米/小时以上混凝土搅拌设备1台，并具有混凝土试验室；混凝土运输车10辆，混凝土输送泵2台。</w:t>
      </w:r>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6" w:name="_Toc23908"/>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第二节  部门分工职责</w:t>
      </w:r>
      <w:bookmarkEnd w:id="16"/>
    </w:p>
    <w:p>
      <w:pPr>
        <w:spacing w:line="600" w:lineRule="exact"/>
        <w:ind w:firstLine="720"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加强相关各部门</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各乡镇</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的通力合作与协调配合，部门各司其职，</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建立</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预拌混凝土搅拌站建设项目审批和日常执法方面的联动机制</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w:t>
      </w:r>
    </w:p>
    <w:p>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县住房和城乡建设局。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负责工作协调和调度；预拌混凝土搅拌站的布点审批及专业承包资质的认定；场内建设工程及设施的施工许可审批；依法制止房建市政工程使用无资质预拌混凝土搅拌站的产品</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；负责预拌混凝土企业的安全生产监管</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县自然资源局。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负责项目建设用地审批和规划审批，并对其合法性进行核查。</w:t>
      </w:r>
    </w:p>
    <w:p>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市生态环境局安化分局。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负责项目环评及环保验收和排污许可的审批，并依法对其生产排污行为进行监管；指导新设站场办理相关环保手续。</w:t>
      </w:r>
    </w:p>
    <w:p>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县市场监督管理局。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负责工商营业执照的登记许可及核查；对预拌混凝土产品质量进行监管；依法处理超范围经营行为。</w:t>
      </w:r>
    </w:p>
    <w:p>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县发展和改革局。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负责项目立项工作。</w:t>
      </w:r>
    </w:p>
    <w:p>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县林业局。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负责项目用地涉及林地、湿地生态红线的审批，并对相关违法行为进行查处。</w:t>
      </w:r>
    </w:p>
    <w:p>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县水利局。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取水许可的审批；对全县水利行业工程使用预拌混凝土的情况进行排查、监督，并依法制止使用无资质预拌混凝土搅拌站的产品；对违反《中华人民共和国水法》《中华人民共和国河道管理条例》等法律法规的行为进行查处。</w:t>
      </w:r>
    </w:p>
    <w:p>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县交通运输局。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负责对全县交通行业工程使用预拌混凝土的情况进行排查、监督，并依法制止使用无资质预拌混凝土搅拌站的产品；对预拌混凝土搅拌运输车辆的超载行为进行查处。</w:t>
      </w:r>
    </w:p>
    <w:p>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县科学技术和工业信息化局。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负责预拌混凝土搅拌站设计产能的核定，对违法布设站场按程序向国网安化供电公司出具需关停预拌混凝土搅拌站的断电通知。</w:t>
      </w:r>
    </w:p>
    <w:p>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各乡镇人民政府</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对照组建工作专班，制定</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实施</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方案，</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负责辖区内预拌混凝土搅拌站规划专项整治工作，包括</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预拌混凝土搅拌站整合</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、拆除等工作。</w:t>
      </w:r>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7" w:name="_Toc16389"/>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第三节  临时站场设置</w:t>
      </w:r>
      <w:bookmarkEnd w:id="17"/>
    </w:p>
    <w:p>
      <w:pPr>
        <w:ind w:firstLine="720" w:firstLineChars="200"/>
        <w:rPr>
          <w:rFonts w:hint="default"/>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建设项目原则上不得配套设置预拌混凝土临时搅拌站，因特殊原因如</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县域交通、水利等基础设施</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或专业</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工程建设</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，确需建立临时搅拌站场的，</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应</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严格审批程序，取得项目所属行业主管部门、属地乡镇和自然资源、生态环境等其他相关部门意见，经同意后由建设单位报安化县住房和城乡建设局核查备案。行业主管部门负总责，项目建设单位具体负责对预拌混凝土临时搅拌站场的监管，主要包括：负责监管预拌混凝土临时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生产的混凝土只能供给所属工程项目，不得以任何形式及理由外供预拌混凝土；负责监管预拌混凝土临时搅拌站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的日常工作，包括材料抽检、质量控制、试验室管理、环境保护及安全生产等；工程完工后3个月内，项目建设单位负责督促施工单位对临时搅拌站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进行无条件拆除，并清理现场建筑垃圾，未及时拆除的，按相关规定依法查处。</w:t>
      </w:r>
    </w:p>
    <w:p>
      <w:pPr>
        <w:rPr>
          <w:rFonts w:hint="default" w:ascii="Times New Roman" w:hAnsi="Times New Roman" w:cs="Times New Roman"/>
          <w:b w:val="0"/>
          <w:bCs/>
          <w:color w:val="000000" w:themeColor="text1"/>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pageBreakBefore/>
        <w:spacing w:before="360" w:after="240" w:line="360" w:lineRule="auto"/>
        <w:ind w:firstLine="0" w:firstLineChars="0"/>
        <w:jc w:val="cente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pPr>
      <w:bookmarkStart w:id="18" w:name="_Toc7670"/>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第</w:t>
      </w:r>
      <w:r>
        <w:rPr>
          <w:rFonts w:hint="eastAsia"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五</w:t>
      </w:r>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章  实施措施</w:t>
      </w:r>
      <w:bookmarkEnd w:id="18"/>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9" w:name="_Toc32412"/>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第一节  健全规划落实责任</w:t>
      </w:r>
      <w:bookmarkEnd w:id="19"/>
    </w:p>
    <w:p>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加强组织领导，强化责任担当</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。《安化县混凝土搅拌站布局专项规划（2020—2035年）》由安化县人民政府发布并组织实施，实行领导负责制。各部门应按照职责分工，依据本规划和相关法律法规，加大行政执法力度，确保规划的实施。</w:t>
      </w:r>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20" w:name="_Toc17936"/>
      <w:bookmarkStart w:id="21" w:name="_Toc2412"/>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 xml:space="preserve">第二节  </w:t>
      </w:r>
      <w:bookmarkEnd w:id="20"/>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发挥规划导向作用</w:t>
      </w:r>
      <w:bookmarkEnd w:id="21"/>
    </w:p>
    <w:p>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规划期内</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安化县</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境内所有的搅拌站建设都必须服从搅拌站发展布点规划，各级政府及主管部门对符合规划及建站条件的搅拌站建设项目，在征地及办证等方面要给予大力支持。对不符合规划、违规建设的搅拌站不得办理各种证照，并限期搬迁或关闭。</w:t>
      </w:r>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22" w:name="_Toc3637"/>
      <w:bookmarkStart w:id="23" w:name="_Toc20000"/>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 xml:space="preserve">第三节  </w:t>
      </w:r>
      <w:bookmarkEnd w:id="22"/>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强化质量</w:t>
      </w:r>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w:t>
      </w:r>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控制监管</w:t>
      </w:r>
      <w:bookmarkEnd w:id="23"/>
    </w:p>
    <w:p>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完善预拌混凝土监</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管</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机制，建立健全质量控制体系，严格按照质量标准和规范进行生产供应，大力推进行业诚信体系建设，建立企业诚信评价与档案制度。加强规划指导和市场调控，以高起点、高标准发展预拌混凝土行业。制定并完善行业管理规定和市场准入退出机制，健全责任机制与工作制度，</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对项目</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实行审核制度</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定期开展资质动态核查。</w:t>
      </w:r>
    </w:p>
    <w:p>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24" w:name="_Toc28693"/>
      <w:bookmarkStart w:id="25" w:name="_Toc20040"/>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 xml:space="preserve">第四节  </w:t>
      </w:r>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绿色</w:t>
      </w:r>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创新</w:t>
      </w:r>
      <w:bookmarkEnd w:id="24"/>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，高质量发展</w:t>
      </w:r>
      <w:bookmarkEnd w:id="25"/>
    </w:p>
    <w:p>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坚持绿色低碳生产，积极宣传建筑废弃物循环利用，促进节能减排。坚持技术创新，不断提高行业技术含量。积极支持预拌混凝土企业增加研发投入，促进行业技术进步，为预拌混凝土行业高质量发展提供技术支撑。</w:t>
      </w:r>
    </w:p>
    <w:p>
      <w:pPr>
        <w:spacing w:line="360" w:lineRule="auto"/>
        <w:ind w:left="0" w:leftChars="0" w:firstLine="0" w:firstLineChars="0"/>
        <w:jc w:val="left"/>
        <w:outlineLvl w:val="0"/>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pPr>
      <w:bookmarkStart w:id="26" w:name="_Toc10738"/>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附表</w:t>
      </w:r>
      <w:bookmarkEnd w:id="26"/>
    </w:p>
    <w:p>
      <w:pPr>
        <w:spacing w:line="360" w:lineRule="auto"/>
        <w:ind w:left="0" w:leftChars="0" w:firstLine="0" w:firstLineChars="0"/>
        <w:jc w:val="center"/>
        <w:outlineLvl w:val="0"/>
        <w:rPr>
          <w:rFonts w:hint="default" w:ascii="黑体" w:hAnsi="黑体" w:eastAsia="黑体" w:cs="黑体"/>
          <w:b w:val="0"/>
          <w:bCs/>
          <w:color w:val="000000" w:themeColor="text1"/>
          <w:sz w:val="28"/>
          <w:szCs w:val="28"/>
          <w:highlight w:val="none"/>
          <w:lang w:val="en-US" w:eastAsia="zh-CN"/>
          <w14:textFill>
            <w14:solidFill>
              <w14:schemeClr w14:val="tx1"/>
            </w14:solidFill>
          </w14:textFill>
        </w:rPr>
      </w:pPr>
      <w:bookmarkStart w:id="27" w:name="_Toc28097"/>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附表1  安化县预拌混凝土搅拌站规划站场及产能布局表</w:t>
      </w:r>
      <w:bookmarkEnd w:id="27"/>
    </w:p>
    <w:tbl>
      <w:tblPr>
        <w:tblStyle w:val="10"/>
        <w:tblW w:w="532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851"/>
        <w:gridCol w:w="1200"/>
        <w:gridCol w:w="684"/>
        <w:gridCol w:w="1216"/>
        <w:gridCol w:w="650"/>
        <w:gridCol w:w="729"/>
        <w:gridCol w:w="750"/>
        <w:gridCol w:w="708"/>
        <w:gridCol w:w="717"/>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441"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区域名称</w:t>
            </w:r>
          </w:p>
        </w:tc>
        <w:tc>
          <w:tcPr>
            <w:tcW w:w="468"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分区序号</w:t>
            </w:r>
          </w:p>
        </w:tc>
        <w:tc>
          <w:tcPr>
            <w:tcW w:w="66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乡镇名称</w:t>
            </w:r>
          </w:p>
        </w:tc>
        <w:tc>
          <w:tcPr>
            <w:tcW w:w="37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669"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年设计产能引导</w:t>
            </w:r>
          </w:p>
        </w:tc>
        <w:tc>
          <w:tcPr>
            <w:tcW w:w="1172" w:type="pct"/>
            <w:gridSpan w:val="3"/>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站场</w:t>
            </w: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布局</w:t>
            </w:r>
          </w:p>
        </w:tc>
        <w:tc>
          <w:tcPr>
            <w:tcW w:w="1209" w:type="pct"/>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细化产能布局</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（万</w:t>
            </w: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立方米</w:t>
            </w: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441"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468"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66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37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669"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357" w:type="pct"/>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近期</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远期</w:t>
            </w:r>
          </w:p>
        </w:tc>
        <w:tc>
          <w:tcPr>
            <w:tcW w:w="389"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39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近期</w:t>
            </w:r>
          </w:p>
        </w:tc>
        <w:tc>
          <w:tcPr>
            <w:tcW w:w="42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远期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县城规划区</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年设计引导产能120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150万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100</w:t>
            </w:r>
          </w:p>
        </w:tc>
        <w:tc>
          <w:tcPr>
            <w:tcW w:w="39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100</w:t>
            </w:r>
          </w:p>
        </w:tc>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田庄乡</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（含经开区）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50</w:t>
            </w:r>
          </w:p>
        </w:tc>
        <w:tc>
          <w:tcPr>
            <w:tcW w:w="39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50</w:t>
            </w:r>
          </w:p>
        </w:tc>
        <w:tc>
          <w:tcPr>
            <w:tcW w:w="4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前乡片区</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3</w:t>
            </w:r>
          </w:p>
        </w:tc>
        <w:tc>
          <w:tcPr>
            <w:tcW w:w="66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年设计引导产能90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120万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3</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80</w:t>
            </w:r>
          </w:p>
        </w:tc>
        <w:tc>
          <w:tcPr>
            <w:tcW w:w="394"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60</w:t>
            </w:r>
          </w:p>
        </w:tc>
        <w:tc>
          <w:tcPr>
            <w:tcW w:w="425"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4</w:t>
            </w:r>
          </w:p>
        </w:tc>
        <w:tc>
          <w:tcPr>
            <w:tcW w:w="669"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清塘铺镇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w:t>
            </w:r>
          </w:p>
        </w:tc>
        <w:tc>
          <w:tcPr>
            <w:tcW w:w="669"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高明乡</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6</w:t>
            </w:r>
          </w:p>
        </w:tc>
        <w:tc>
          <w:tcPr>
            <w:tcW w:w="669"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（二）</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长塘镇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7</w:t>
            </w:r>
          </w:p>
        </w:tc>
        <w:tc>
          <w:tcPr>
            <w:tcW w:w="66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年设计引导产能40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70万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大福镇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8</w:t>
            </w:r>
          </w:p>
        </w:tc>
        <w:tc>
          <w:tcPr>
            <w:tcW w:w="669"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9</w:t>
            </w:r>
          </w:p>
        </w:tc>
        <w:tc>
          <w:tcPr>
            <w:tcW w:w="669"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中间片区</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小淹镇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10</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年设计引导产能30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60万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滔溪镇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11</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江南镇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12</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（二）</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13</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4</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60万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冷市镇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14</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龙塘镇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15</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库区片区</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柘溪镇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16</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20—</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30万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马路镇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17</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奎溪镇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18</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（二）</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平口镇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19</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年设计引导产能30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60万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渠江镇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20</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古楼乡</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21</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南金乡</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22</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烟溪镇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23</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合计</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年设计引导产能370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550万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34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27</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7</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550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455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95</w:t>
            </w:r>
          </w:p>
        </w:tc>
      </w:tr>
    </w:tbl>
    <w:p>
      <w:pPr>
        <w:spacing w:line="600" w:lineRule="exact"/>
        <w:ind w:left="0" w:leftChars="0" w:firstLine="0" w:firstLineChars="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ind w:left="0" w:leftChars="0" w:firstLine="0" w:firstLineChars="0"/>
        <w:jc w:val="center"/>
        <w:outlineLvl w:val="0"/>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pPr>
      <w:bookmarkStart w:id="28" w:name="_Toc7263"/>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附表2  安化县规划站场汇总表</w:t>
      </w:r>
      <w:bookmarkEnd w:id="28"/>
    </w:p>
    <w:p>
      <w:pPr>
        <w:pStyle w:val="4"/>
        <w:spacing w:line="360" w:lineRule="auto"/>
        <w:jc w:val="right"/>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24"/>
          <w:szCs w:val="24"/>
          <w:highlight w:val="none"/>
          <w:lang w:val="en-US" w:eastAsia="zh-CN"/>
          <w14:textFill>
            <w14:solidFill>
              <w14:schemeClr w14:val="tx1"/>
            </w14:solidFill>
          </w14:textFill>
        </w:rPr>
        <w:t>单位：个、万立方米/年</w:t>
      </w:r>
    </w:p>
    <w:tbl>
      <w:tblPr>
        <w:tblStyle w:val="10"/>
        <w:tblW w:w="54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841"/>
        <w:gridCol w:w="1258"/>
        <w:gridCol w:w="617"/>
        <w:gridCol w:w="1620"/>
        <w:gridCol w:w="960"/>
        <w:gridCol w:w="994"/>
        <w:gridCol w:w="2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区域名称</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分区序号</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乡镇名称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序号</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名称</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规划企业数量</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年设计产能</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县城规划区</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（一）</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DP—1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安化润昌混凝土有限公司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DP—2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安化金华混凝土有限公司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DP—3</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安化华锐混凝土有限公司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DP—4</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湖南安化南方新材料科技有限公司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安化昌隆混凝土有限公司</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田庄乡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TZ—1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安化县联合混凝土有限公司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田庄乡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安化县鑫旺沥青混凝土有限公司</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lang w:val="en-US"/>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前乡片区</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（一）</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MC—1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安化县梅山混凝土有限公司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MC—2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安化县骏文商品混凝土有限公司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MC—3</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安化云林混凝土制造有限公司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MC—4</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拟建站1（远期）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LA—1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安化乐安混凝土有限公司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LA—2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安化县恒鹏混凝土搅拌有限公司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清塘铺镇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QTP—1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湖南省同心源混凝土有限责任公司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高明乡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GM—1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（二）</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长塘镇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CT—1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安化县永顺混凝土有限责任公司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大福镇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DF—1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大福镇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DF—2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拟建站4（远期）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XX—1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lang w:val="en-US"/>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安化县盛达混凝土有限公司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中间片区</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（一）</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小淹镇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XY—1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安化建东混凝土有限责任公司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滔溪镇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TX—1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拟建站5（远期）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江南镇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JN—1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（二）</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YJT—1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安化县宇鑫混凝土有限公司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冷市镇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LS—1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安化华盛建材有限公司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龙塘镇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LT—1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拟建站7（远期）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库区片区</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（一）</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柘溪镇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ZX—1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安化固泰混凝土搅拌有限公司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马路镇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ML—1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安化立德建材有限公司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奎溪镇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KX—1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拟建站8（远期）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（二）</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平口镇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PK—1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平口镇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PK—2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拟建站10（远期）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渠江镇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QJ—1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拟建站11（远期）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古楼乡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GL—1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南金乡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NJ—1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烟溪镇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YX—1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拟建站1</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w:t>
            </w:r>
          </w:p>
        </w:tc>
      </w:tr>
    </w:tbl>
    <w:p>
      <w:pPr>
        <w:spacing w:line="600" w:lineRule="exact"/>
        <w:ind w:left="0" w:leftChars="0" w:firstLine="0" w:firstLineChars="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OTVhMWE1NjA5ODBjY2QwMzVhMjkxMDNjYjM0NWMifQ=="/>
    <w:docVar w:name="KSO_WPS_MARK_KEY" w:val="c7b0d2cc-f603-4c9e-b131-c6e9486a0a4d"/>
  </w:docVars>
  <w:rsids>
    <w:rsidRoot w:val="00172A27"/>
    <w:rsid w:val="003B643A"/>
    <w:rsid w:val="00572ED3"/>
    <w:rsid w:val="005913DC"/>
    <w:rsid w:val="00645991"/>
    <w:rsid w:val="00961783"/>
    <w:rsid w:val="00A2479E"/>
    <w:rsid w:val="00C6664C"/>
    <w:rsid w:val="00F24B60"/>
    <w:rsid w:val="01C42B8B"/>
    <w:rsid w:val="01E43685"/>
    <w:rsid w:val="01E44FDB"/>
    <w:rsid w:val="01E73CEC"/>
    <w:rsid w:val="01EC497F"/>
    <w:rsid w:val="022516DA"/>
    <w:rsid w:val="022C6982"/>
    <w:rsid w:val="023B0973"/>
    <w:rsid w:val="0293255D"/>
    <w:rsid w:val="02975B92"/>
    <w:rsid w:val="02C848FD"/>
    <w:rsid w:val="02CB619B"/>
    <w:rsid w:val="02FD11FF"/>
    <w:rsid w:val="03092820"/>
    <w:rsid w:val="03127926"/>
    <w:rsid w:val="03307F10"/>
    <w:rsid w:val="03622B70"/>
    <w:rsid w:val="03D53D8A"/>
    <w:rsid w:val="0426404B"/>
    <w:rsid w:val="04695C6C"/>
    <w:rsid w:val="04761ABD"/>
    <w:rsid w:val="047B1417"/>
    <w:rsid w:val="04A40A52"/>
    <w:rsid w:val="04BA2023"/>
    <w:rsid w:val="04F512AE"/>
    <w:rsid w:val="051E7C51"/>
    <w:rsid w:val="052D7210"/>
    <w:rsid w:val="05377B18"/>
    <w:rsid w:val="05791EDF"/>
    <w:rsid w:val="05A22FBE"/>
    <w:rsid w:val="05AB7BBE"/>
    <w:rsid w:val="05BD6C76"/>
    <w:rsid w:val="05BE78F1"/>
    <w:rsid w:val="06147E59"/>
    <w:rsid w:val="061E65E2"/>
    <w:rsid w:val="06281F2C"/>
    <w:rsid w:val="063353A5"/>
    <w:rsid w:val="066606B5"/>
    <w:rsid w:val="06C92CC5"/>
    <w:rsid w:val="06CD4801"/>
    <w:rsid w:val="070B300A"/>
    <w:rsid w:val="074C1913"/>
    <w:rsid w:val="076A5F83"/>
    <w:rsid w:val="0775613A"/>
    <w:rsid w:val="077961C6"/>
    <w:rsid w:val="07B23486"/>
    <w:rsid w:val="07C75183"/>
    <w:rsid w:val="07D8088C"/>
    <w:rsid w:val="07F25F78"/>
    <w:rsid w:val="081163FE"/>
    <w:rsid w:val="08163A15"/>
    <w:rsid w:val="082C4FE6"/>
    <w:rsid w:val="083E2F6B"/>
    <w:rsid w:val="085421BF"/>
    <w:rsid w:val="0854453D"/>
    <w:rsid w:val="086470D7"/>
    <w:rsid w:val="091B5625"/>
    <w:rsid w:val="09212671"/>
    <w:rsid w:val="099948FD"/>
    <w:rsid w:val="09C94AB7"/>
    <w:rsid w:val="09E57B43"/>
    <w:rsid w:val="09EF09C1"/>
    <w:rsid w:val="09F45FD8"/>
    <w:rsid w:val="09F50A27"/>
    <w:rsid w:val="0A0E1705"/>
    <w:rsid w:val="0A2148F3"/>
    <w:rsid w:val="0A2F0BDC"/>
    <w:rsid w:val="0A3463D4"/>
    <w:rsid w:val="0A5371A2"/>
    <w:rsid w:val="0A6A629A"/>
    <w:rsid w:val="0A984BB5"/>
    <w:rsid w:val="0ADF0A36"/>
    <w:rsid w:val="0AEE0C79"/>
    <w:rsid w:val="0B420FC5"/>
    <w:rsid w:val="0B754EF6"/>
    <w:rsid w:val="0B8B296C"/>
    <w:rsid w:val="0BC65752"/>
    <w:rsid w:val="0BDE0CED"/>
    <w:rsid w:val="0C1741FF"/>
    <w:rsid w:val="0C267346"/>
    <w:rsid w:val="0C540FAF"/>
    <w:rsid w:val="0C7130B3"/>
    <w:rsid w:val="0C7359B7"/>
    <w:rsid w:val="0C7933D0"/>
    <w:rsid w:val="0C994C14"/>
    <w:rsid w:val="0CCE2B10"/>
    <w:rsid w:val="0CF85DDF"/>
    <w:rsid w:val="0D093B48"/>
    <w:rsid w:val="0D260AB4"/>
    <w:rsid w:val="0D2A3ABE"/>
    <w:rsid w:val="0D3106F3"/>
    <w:rsid w:val="0D3704BF"/>
    <w:rsid w:val="0D4572B2"/>
    <w:rsid w:val="0D63594E"/>
    <w:rsid w:val="0D795E7F"/>
    <w:rsid w:val="0D8853B5"/>
    <w:rsid w:val="0DA35575"/>
    <w:rsid w:val="0E18716B"/>
    <w:rsid w:val="0E2A021A"/>
    <w:rsid w:val="0E4D6544"/>
    <w:rsid w:val="0E72396F"/>
    <w:rsid w:val="0E8A11F0"/>
    <w:rsid w:val="0E935EA6"/>
    <w:rsid w:val="0EAA3109"/>
    <w:rsid w:val="0ECE5049"/>
    <w:rsid w:val="0F070785"/>
    <w:rsid w:val="0F182768"/>
    <w:rsid w:val="0F39178A"/>
    <w:rsid w:val="0F6B6D3C"/>
    <w:rsid w:val="0FB80F7E"/>
    <w:rsid w:val="0FD03043"/>
    <w:rsid w:val="0FDA5C70"/>
    <w:rsid w:val="0FF112E6"/>
    <w:rsid w:val="0FFE4580"/>
    <w:rsid w:val="100827DD"/>
    <w:rsid w:val="10141182"/>
    <w:rsid w:val="104E5D16"/>
    <w:rsid w:val="10676AB0"/>
    <w:rsid w:val="107A6B0B"/>
    <w:rsid w:val="10973B61"/>
    <w:rsid w:val="10B85FB1"/>
    <w:rsid w:val="11055372"/>
    <w:rsid w:val="115469E9"/>
    <w:rsid w:val="118063A3"/>
    <w:rsid w:val="11991213"/>
    <w:rsid w:val="11B00A36"/>
    <w:rsid w:val="11C529F0"/>
    <w:rsid w:val="11F03528"/>
    <w:rsid w:val="1209400F"/>
    <w:rsid w:val="1254450F"/>
    <w:rsid w:val="125C0BBE"/>
    <w:rsid w:val="125E399B"/>
    <w:rsid w:val="126D4B79"/>
    <w:rsid w:val="12902616"/>
    <w:rsid w:val="13196AAF"/>
    <w:rsid w:val="132D60B6"/>
    <w:rsid w:val="13321EEF"/>
    <w:rsid w:val="13A7383D"/>
    <w:rsid w:val="13C54541"/>
    <w:rsid w:val="13DB5B12"/>
    <w:rsid w:val="140B63F8"/>
    <w:rsid w:val="14511DAE"/>
    <w:rsid w:val="147D6971"/>
    <w:rsid w:val="14DC7D94"/>
    <w:rsid w:val="14F14B90"/>
    <w:rsid w:val="15063063"/>
    <w:rsid w:val="15170DCC"/>
    <w:rsid w:val="15192D96"/>
    <w:rsid w:val="15413638"/>
    <w:rsid w:val="155344FA"/>
    <w:rsid w:val="15610299"/>
    <w:rsid w:val="15696F30"/>
    <w:rsid w:val="156D6C3E"/>
    <w:rsid w:val="15A25FF0"/>
    <w:rsid w:val="15B91E83"/>
    <w:rsid w:val="15E96C0C"/>
    <w:rsid w:val="1603178E"/>
    <w:rsid w:val="163448F4"/>
    <w:rsid w:val="1641312B"/>
    <w:rsid w:val="165D1EF2"/>
    <w:rsid w:val="166F3732"/>
    <w:rsid w:val="16726C02"/>
    <w:rsid w:val="167B6C54"/>
    <w:rsid w:val="167D3FF7"/>
    <w:rsid w:val="16F77107"/>
    <w:rsid w:val="173A36AF"/>
    <w:rsid w:val="176F6C9D"/>
    <w:rsid w:val="17991F6C"/>
    <w:rsid w:val="17BD10A3"/>
    <w:rsid w:val="17D132E6"/>
    <w:rsid w:val="17ED150C"/>
    <w:rsid w:val="18133ACD"/>
    <w:rsid w:val="182E4DAB"/>
    <w:rsid w:val="18730A0F"/>
    <w:rsid w:val="18890233"/>
    <w:rsid w:val="18956BD8"/>
    <w:rsid w:val="18A92683"/>
    <w:rsid w:val="18C63235"/>
    <w:rsid w:val="18F71640"/>
    <w:rsid w:val="18FA2EDF"/>
    <w:rsid w:val="193E726F"/>
    <w:rsid w:val="19445F08"/>
    <w:rsid w:val="19A07280"/>
    <w:rsid w:val="19C07C84"/>
    <w:rsid w:val="1A1A34C1"/>
    <w:rsid w:val="1A1D0C33"/>
    <w:rsid w:val="1A3A1B8F"/>
    <w:rsid w:val="1A491FB6"/>
    <w:rsid w:val="1A642D06"/>
    <w:rsid w:val="1A766595"/>
    <w:rsid w:val="1AD5775F"/>
    <w:rsid w:val="1B2139BE"/>
    <w:rsid w:val="1B5E7755"/>
    <w:rsid w:val="1B625EB0"/>
    <w:rsid w:val="1B705779"/>
    <w:rsid w:val="1B79458F"/>
    <w:rsid w:val="1BE553B5"/>
    <w:rsid w:val="1BF21E2B"/>
    <w:rsid w:val="1C2838BF"/>
    <w:rsid w:val="1C2853E9"/>
    <w:rsid w:val="1C2B7993"/>
    <w:rsid w:val="1C955104"/>
    <w:rsid w:val="1CB64253"/>
    <w:rsid w:val="1CBE452B"/>
    <w:rsid w:val="1CF739BD"/>
    <w:rsid w:val="1CFA525B"/>
    <w:rsid w:val="1D3547F8"/>
    <w:rsid w:val="1D3F7112"/>
    <w:rsid w:val="1D4B7A15"/>
    <w:rsid w:val="1D741E7E"/>
    <w:rsid w:val="1D7F59C3"/>
    <w:rsid w:val="1DA11B7B"/>
    <w:rsid w:val="1DAD49C3"/>
    <w:rsid w:val="1DB06820"/>
    <w:rsid w:val="1DBA6010"/>
    <w:rsid w:val="1DDA6E3B"/>
    <w:rsid w:val="1E2D0C94"/>
    <w:rsid w:val="1E3E6A86"/>
    <w:rsid w:val="1E4748F8"/>
    <w:rsid w:val="1E803E86"/>
    <w:rsid w:val="1E967206"/>
    <w:rsid w:val="1EB8717C"/>
    <w:rsid w:val="1EBB0A1A"/>
    <w:rsid w:val="1EC73863"/>
    <w:rsid w:val="1EE25291"/>
    <w:rsid w:val="1F02489B"/>
    <w:rsid w:val="1F1D7927"/>
    <w:rsid w:val="1F2B5BA0"/>
    <w:rsid w:val="1F8D23B7"/>
    <w:rsid w:val="1F9C6A9E"/>
    <w:rsid w:val="1FE22AB7"/>
    <w:rsid w:val="1FF94026"/>
    <w:rsid w:val="200A7EAB"/>
    <w:rsid w:val="202A40A9"/>
    <w:rsid w:val="203D20C5"/>
    <w:rsid w:val="209B0B03"/>
    <w:rsid w:val="21093CBF"/>
    <w:rsid w:val="210C7C53"/>
    <w:rsid w:val="211D59BC"/>
    <w:rsid w:val="21357E35"/>
    <w:rsid w:val="21537630"/>
    <w:rsid w:val="215E44A7"/>
    <w:rsid w:val="21687122"/>
    <w:rsid w:val="21FA3120"/>
    <w:rsid w:val="22066450"/>
    <w:rsid w:val="222A0391"/>
    <w:rsid w:val="2277734E"/>
    <w:rsid w:val="227B299A"/>
    <w:rsid w:val="22E124B7"/>
    <w:rsid w:val="2309269C"/>
    <w:rsid w:val="23240502"/>
    <w:rsid w:val="234B6811"/>
    <w:rsid w:val="237F295E"/>
    <w:rsid w:val="238E2BA1"/>
    <w:rsid w:val="23D507D0"/>
    <w:rsid w:val="23D902C0"/>
    <w:rsid w:val="23E518D4"/>
    <w:rsid w:val="241430A6"/>
    <w:rsid w:val="241E5CD3"/>
    <w:rsid w:val="24392B0D"/>
    <w:rsid w:val="246062EC"/>
    <w:rsid w:val="246B6A3F"/>
    <w:rsid w:val="247104F9"/>
    <w:rsid w:val="247D50F0"/>
    <w:rsid w:val="2484390C"/>
    <w:rsid w:val="24A85EE5"/>
    <w:rsid w:val="24B91EA0"/>
    <w:rsid w:val="24ED38F7"/>
    <w:rsid w:val="24EF6A2C"/>
    <w:rsid w:val="25173C60"/>
    <w:rsid w:val="25190905"/>
    <w:rsid w:val="25323A5B"/>
    <w:rsid w:val="25551BC9"/>
    <w:rsid w:val="257007B0"/>
    <w:rsid w:val="257B0F03"/>
    <w:rsid w:val="258C3110"/>
    <w:rsid w:val="2593624D"/>
    <w:rsid w:val="259F4BF2"/>
    <w:rsid w:val="25B6018D"/>
    <w:rsid w:val="25C54A2F"/>
    <w:rsid w:val="25DA3E7C"/>
    <w:rsid w:val="25E509D2"/>
    <w:rsid w:val="25E82A3D"/>
    <w:rsid w:val="26190E48"/>
    <w:rsid w:val="2652435A"/>
    <w:rsid w:val="26977FBF"/>
    <w:rsid w:val="27223D2C"/>
    <w:rsid w:val="275D3960"/>
    <w:rsid w:val="279F712B"/>
    <w:rsid w:val="27DF39CB"/>
    <w:rsid w:val="280451E0"/>
    <w:rsid w:val="28237D5C"/>
    <w:rsid w:val="283A6E54"/>
    <w:rsid w:val="285919D0"/>
    <w:rsid w:val="28D35520"/>
    <w:rsid w:val="290556B4"/>
    <w:rsid w:val="2939749F"/>
    <w:rsid w:val="294F692F"/>
    <w:rsid w:val="298A0B02"/>
    <w:rsid w:val="29AB625B"/>
    <w:rsid w:val="29BB2216"/>
    <w:rsid w:val="29E277A3"/>
    <w:rsid w:val="2A32072A"/>
    <w:rsid w:val="2A693A20"/>
    <w:rsid w:val="2AA35184"/>
    <w:rsid w:val="2AA44A58"/>
    <w:rsid w:val="2AE35581"/>
    <w:rsid w:val="2AE65071"/>
    <w:rsid w:val="2AF61758"/>
    <w:rsid w:val="2B1F74E2"/>
    <w:rsid w:val="2B212549"/>
    <w:rsid w:val="2B3478AE"/>
    <w:rsid w:val="2B381D70"/>
    <w:rsid w:val="2BB1742D"/>
    <w:rsid w:val="2BC03B14"/>
    <w:rsid w:val="2BD96984"/>
    <w:rsid w:val="2C1F083A"/>
    <w:rsid w:val="2C31056E"/>
    <w:rsid w:val="2C3D33B6"/>
    <w:rsid w:val="2C4B162F"/>
    <w:rsid w:val="2C4B6121"/>
    <w:rsid w:val="2C6D3C9C"/>
    <w:rsid w:val="2C7C64DD"/>
    <w:rsid w:val="2CD311AC"/>
    <w:rsid w:val="2CEC26A5"/>
    <w:rsid w:val="2CF021D7"/>
    <w:rsid w:val="2CF0667B"/>
    <w:rsid w:val="2D0A216B"/>
    <w:rsid w:val="2D102879"/>
    <w:rsid w:val="2D3C71CA"/>
    <w:rsid w:val="2D734D72"/>
    <w:rsid w:val="2D8017AD"/>
    <w:rsid w:val="2D9E60D7"/>
    <w:rsid w:val="2DB17BB8"/>
    <w:rsid w:val="2DD37B2E"/>
    <w:rsid w:val="2DEC6E42"/>
    <w:rsid w:val="2DF06932"/>
    <w:rsid w:val="2E0B376C"/>
    <w:rsid w:val="2E58230D"/>
    <w:rsid w:val="2E6D7F83"/>
    <w:rsid w:val="2EB86D24"/>
    <w:rsid w:val="2F0401BB"/>
    <w:rsid w:val="2F154177"/>
    <w:rsid w:val="2F1877C3"/>
    <w:rsid w:val="2F9B64F0"/>
    <w:rsid w:val="2FA355D6"/>
    <w:rsid w:val="30161F54"/>
    <w:rsid w:val="305D4027"/>
    <w:rsid w:val="306A53C9"/>
    <w:rsid w:val="308275EA"/>
    <w:rsid w:val="30963095"/>
    <w:rsid w:val="30D2231F"/>
    <w:rsid w:val="30E91417"/>
    <w:rsid w:val="30EB1633"/>
    <w:rsid w:val="312E32CE"/>
    <w:rsid w:val="31333A4A"/>
    <w:rsid w:val="31432AD1"/>
    <w:rsid w:val="31865A40"/>
    <w:rsid w:val="31977475"/>
    <w:rsid w:val="31CB6D6E"/>
    <w:rsid w:val="31DE4CF4"/>
    <w:rsid w:val="32180206"/>
    <w:rsid w:val="321E06FB"/>
    <w:rsid w:val="324234D5"/>
    <w:rsid w:val="3276317E"/>
    <w:rsid w:val="327B1D02"/>
    <w:rsid w:val="32963820"/>
    <w:rsid w:val="32C320A3"/>
    <w:rsid w:val="33A8793A"/>
    <w:rsid w:val="33EF2283"/>
    <w:rsid w:val="340D366E"/>
    <w:rsid w:val="34390907"/>
    <w:rsid w:val="34402563"/>
    <w:rsid w:val="344A518B"/>
    <w:rsid w:val="34841527"/>
    <w:rsid w:val="349D49F2"/>
    <w:rsid w:val="34CF1337"/>
    <w:rsid w:val="350A2F6C"/>
    <w:rsid w:val="350C1B78"/>
    <w:rsid w:val="35254735"/>
    <w:rsid w:val="35380BBF"/>
    <w:rsid w:val="35441312"/>
    <w:rsid w:val="3555351F"/>
    <w:rsid w:val="35867B7C"/>
    <w:rsid w:val="35B45818"/>
    <w:rsid w:val="35C81F43"/>
    <w:rsid w:val="364C4922"/>
    <w:rsid w:val="36857559"/>
    <w:rsid w:val="36F308D9"/>
    <w:rsid w:val="37135440"/>
    <w:rsid w:val="3727713D"/>
    <w:rsid w:val="37AB1B1C"/>
    <w:rsid w:val="37BE50AE"/>
    <w:rsid w:val="37D921E5"/>
    <w:rsid w:val="3820061D"/>
    <w:rsid w:val="38463C35"/>
    <w:rsid w:val="38490938"/>
    <w:rsid w:val="38BD5663"/>
    <w:rsid w:val="38F3532C"/>
    <w:rsid w:val="38F4304F"/>
    <w:rsid w:val="392A081F"/>
    <w:rsid w:val="39785322"/>
    <w:rsid w:val="39787EEB"/>
    <w:rsid w:val="398048E2"/>
    <w:rsid w:val="39CB3DB0"/>
    <w:rsid w:val="39F2758E"/>
    <w:rsid w:val="3A6164C2"/>
    <w:rsid w:val="3A6D30B9"/>
    <w:rsid w:val="3A704957"/>
    <w:rsid w:val="3A944AE9"/>
    <w:rsid w:val="3A9D6F1B"/>
    <w:rsid w:val="3ACC6031"/>
    <w:rsid w:val="3AD66EB0"/>
    <w:rsid w:val="3AEF602E"/>
    <w:rsid w:val="3AEF7B36"/>
    <w:rsid w:val="3B3077EE"/>
    <w:rsid w:val="3B3E47CB"/>
    <w:rsid w:val="3B3F7545"/>
    <w:rsid w:val="3B6E533A"/>
    <w:rsid w:val="3B800BCA"/>
    <w:rsid w:val="3B8013C1"/>
    <w:rsid w:val="3BAF321E"/>
    <w:rsid w:val="3BF861C1"/>
    <w:rsid w:val="3C123C2E"/>
    <w:rsid w:val="3C611F09"/>
    <w:rsid w:val="3C795D45"/>
    <w:rsid w:val="3CB44FCF"/>
    <w:rsid w:val="3CD236A7"/>
    <w:rsid w:val="3CF46D1B"/>
    <w:rsid w:val="3D0F66A9"/>
    <w:rsid w:val="3D126037"/>
    <w:rsid w:val="3D605157"/>
    <w:rsid w:val="3D89020A"/>
    <w:rsid w:val="3DB87384"/>
    <w:rsid w:val="3DE12FCE"/>
    <w:rsid w:val="3E0930F8"/>
    <w:rsid w:val="3E1A79B5"/>
    <w:rsid w:val="3E2919ED"/>
    <w:rsid w:val="3E6746A0"/>
    <w:rsid w:val="3E974BA8"/>
    <w:rsid w:val="3E9C3F92"/>
    <w:rsid w:val="3E9C5D1B"/>
    <w:rsid w:val="3EA90DE9"/>
    <w:rsid w:val="3EC6723B"/>
    <w:rsid w:val="3ED92ACB"/>
    <w:rsid w:val="3EE33949"/>
    <w:rsid w:val="3EFC2C5D"/>
    <w:rsid w:val="3F5D36FC"/>
    <w:rsid w:val="3F5E3DE2"/>
    <w:rsid w:val="3F7B0026"/>
    <w:rsid w:val="3F881C59"/>
    <w:rsid w:val="3F94000D"/>
    <w:rsid w:val="3FAE21A9"/>
    <w:rsid w:val="3FCD55F4"/>
    <w:rsid w:val="3FCE1D1B"/>
    <w:rsid w:val="3FDC4930"/>
    <w:rsid w:val="3FF00BEA"/>
    <w:rsid w:val="40526FD9"/>
    <w:rsid w:val="40730B2E"/>
    <w:rsid w:val="40754A75"/>
    <w:rsid w:val="40A47108"/>
    <w:rsid w:val="40A92971"/>
    <w:rsid w:val="40DE6ABE"/>
    <w:rsid w:val="415154E2"/>
    <w:rsid w:val="41780CC1"/>
    <w:rsid w:val="4180011A"/>
    <w:rsid w:val="41CE6B33"/>
    <w:rsid w:val="41E06866"/>
    <w:rsid w:val="42164036"/>
    <w:rsid w:val="42BC2E2F"/>
    <w:rsid w:val="42C615B8"/>
    <w:rsid w:val="42C910A8"/>
    <w:rsid w:val="43100A85"/>
    <w:rsid w:val="43B104BA"/>
    <w:rsid w:val="43CA691E"/>
    <w:rsid w:val="43EB71E3"/>
    <w:rsid w:val="4401299A"/>
    <w:rsid w:val="4441183E"/>
    <w:rsid w:val="44564BBE"/>
    <w:rsid w:val="44760DBC"/>
    <w:rsid w:val="449A0F4E"/>
    <w:rsid w:val="44A21BB1"/>
    <w:rsid w:val="44B32010"/>
    <w:rsid w:val="44BD4C3D"/>
    <w:rsid w:val="45392515"/>
    <w:rsid w:val="453B44DF"/>
    <w:rsid w:val="45482758"/>
    <w:rsid w:val="454A2974"/>
    <w:rsid w:val="45AE5F53"/>
    <w:rsid w:val="45DE4E6B"/>
    <w:rsid w:val="45E6078F"/>
    <w:rsid w:val="461C1B51"/>
    <w:rsid w:val="462A4554"/>
    <w:rsid w:val="464C03B4"/>
    <w:rsid w:val="469B3172"/>
    <w:rsid w:val="46B81B60"/>
    <w:rsid w:val="46EB1884"/>
    <w:rsid w:val="473D3E13"/>
    <w:rsid w:val="47491AAE"/>
    <w:rsid w:val="47767A51"/>
    <w:rsid w:val="47867568"/>
    <w:rsid w:val="47AD2D46"/>
    <w:rsid w:val="47C02A7A"/>
    <w:rsid w:val="47C87B80"/>
    <w:rsid w:val="47E726FC"/>
    <w:rsid w:val="48194880"/>
    <w:rsid w:val="48205C0E"/>
    <w:rsid w:val="484F3DFE"/>
    <w:rsid w:val="489E4A98"/>
    <w:rsid w:val="48A04659"/>
    <w:rsid w:val="48A51C70"/>
    <w:rsid w:val="48C52312"/>
    <w:rsid w:val="491863C9"/>
    <w:rsid w:val="495A5150"/>
    <w:rsid w:val="49C5081B"/>
    <w:rsid w:val="49D722FD"/>
    <w:rsid w:val="4A0B01F8"/>
    <w:rsid w:val="4A13120E"/>
    <w:rsid w:val="4A98628A"/>
    <w:rsid w:val="4AC46D25"/>
    <w:rsid w:val="4ACA1B25"/>
    <w:rsid w:val="4AFA62A3"/>
    <w:rsid w:val="4B143038"/>
    <w:rsid w:val="4B3D2633"/>
    <w:rsid w:val="4B4B11F4"/>
    <w:rsid w:val="4B6E4EE3"/>
    <w:rsid w:val="4BA6642B"/>
    <w:rsid w:val="4BDE7972"/>
    <w:rsid w:val="4BF90C50"/>
    <w:rsid w:val="4C0B44E0"/>
    <w:rsid w:val="4C4277CB"/>
    <w:rsid w:val="4CD90FCB"/>
    <w:rsid w:val="4D096C71"/>
    <w:rsid w:val="4D2E492A"/>
    <w:rsid w:val="4D333CEE"/>
    <w:rsid w:val="4D671BE9"/>
    <w:rsid w:val="4D930C30"/>
    <w:rsid w:val="4D956757"/>
    <w:rsid w:val="4D9C5D37"/>
    <w:rsid w:val="4E393586"/>
    <w:rsid w:val="4E451F2B"/>
    <w:rsid w:val="4EB90223"/>
    <w:rsid w:val="4ED65279"/>
    <w:rsid w:val="4F22226C"/>
    <w:rsid w:val="4F495A4B"/>
    <w:rsid w:val="4F7D74A2"/>
    <w:rsid w:val="4F9547EC"/>
    <w:rsid w:val="4F960564"/>
    <w:rsid w:val="4FB00EBF"/>
    <w:rsid w:val="4FB05ACA"/>
    <w:rsid w:val="4FBF28A3"/>
    <w:rsid w:val="4FE9558B"/>
    <w:rsid w:val="5020698A"/>
    <w:rsid w:val="504038B5"/>
    <w:rsid w:val="504D7190"/>
    <w:rsid w:val="506E3D67"/>
    <w:rsid w:val="511107EA"/>
    <w:rsid w:val="514069D9"/>
    <w:rsid w:val="51655D0B"/>
    <w:rsid w:val="51722469"/>
    <w:rsid w:val="51736DAF"/>
    <w:rsid w:val="518A40F8"/>
    <w:rsid w:val="519F7BA4"/>
    <w:rsid w:val="51B06689"/>
    <w:rsid w:val="51C8534D"/>
    <w:rsid w:val="51FF6894"/>
    <w:rsid w:val="52422A93"/>
    <w:rsid w:val="52845E02"/>
    <w:rsid w:val="52865D3B"/>
    <w:rsid w:val="52927709"/>
    <w:rsid w:val="530B6ED8"/>
    <w:rsid w:val="53447B5D"/>
    <w:rsid w:val="534626DF"/>
    <w:rsid w:val="5350386E"/>
    <w:rsid w:val="535B5D4C"/>
    <w:rsid w:val="53603363"/>
    <w:rsid w:val="53660ED9"/>
    <w:rsid w:val="53BA0CC5"/>
    <w:rsid w:val="53DC5A09"/>
    <w:rsid w:val="53ED7B61"/>
    <w:rsid w:val="54014B46"/>
    <w:rsid w:val="540706C6"/>
    <w:rsid w:val="543547EF"/>
    <w:rsid w:val="545509EE"/>
    <w:rsid w:val="546D21DB"/>
    <w:rsid w:val="54776BB6"/>
    <w:rsid w:val="547C41CC"/>
    <w:rsid w:val="54AB2899"/>
    <w:rsid w:val="54DB4516"/>
    <w:rsid w:val="54FF095A"/>
    <w:rsid w:val="550C37A2"/>
    <w:rsid w:val="55346855"/>
    <w:rsid w:val="555B64D8"/>
    <w:rsid w:val="5596306C"/>
    <w:rsid w:val="55990DAE"/>
    <w:rsid w:val="55B32AE8"/>
    <w:rsid w:val="55CC5E6E"/>
    <w:rsid w:val="55DA564E"/>
    <w:rsid w:val="56035D31"/>
    <w:rsid w:val="563F1955"/>
    <w:rsid w:val="56925F29"/>
    <w:rsid w:val="56A872DD"/>
    <w:rsid w:val="56D24578"/>
    <w:rsid w:val="56D260FB"/>
    <w:rsid w:val="56EE0C86"/>
    <w:rsid w:val="572726AC"/>
    <w:rsid w:val="578223FB"/>
    <w:rsid w:val="57A23F4A"/>
    <w:rsid w:val="57A9091D"/>
    <w:rsid w:val="57C2283E"/>
    <w:rsid w:val="583A0626"/>
    <w:rsid w:val="589130A4"/>
    <w:rsid w:val="58B52A3A"/>
    <w:rsid w:val="58FA1B64"/>
    <w:rsid w:val="590E560F"/>
    <w:rsid w:val="590F20C7"/>
    <w:rsid w:val="59103135"/>
    <w:rsid w:val="59162E41"/>
    <w:rsid w:val="59703F9D"/>
    <w:rsid w:val="59B52E9C"/>
    <w:rsid w:val="59D86349"/>
    <w:rsid w:val="5A025174"/>
    <w:rsid w:val="5A20511E"/>
    <w:rsid w:val="5A2A46CB"/>
    <w:rsid w:val="5A2B6347"/>
    <w:rsid w:val="5A7122F9"/>
    <w:rsid w:val="5A7C1159"/>
    <w:rsid w:val="5AC468CD"/>
    <w:rsid w:val="5AD20FEA"/>
    <w:rsid w:val="5ADF7263"/>
    <w:rsid w:val="5B0B44FC"/>
    <w:rsid w:val="5B3A1ABE"/>
    <w:rsid w:val="5B5B0FE0"/>
    <w:rsid w:val="5B6B21CB"/>
    <w:rsid w:val="5B7756EE"/>
    <w:rsid w:val="5B8D6CBF"/>
    <w:rsid w:val="5B9C6F02"/>
    <w:rsid w:val="5BC07095"/>
    <w:rsid w:val="5BE72873"/>
    <w:rsid w:val="5C0A47B4"/>
    <w:rsid w:val="5C7F26D6"/>
    <w:rsid w:val="5CC42BB4"/>
    <w:rsid w:val="5CD01559"/>
    <w:rsid w:val="5CD10E2D"/>
    <w:rsid w:val="5CF214D0"/>
    <w:rsid w:val="5CF36FF6"/>
    <w:rsid w:val="5CFA0384"/>
    <w:rsid w:val="5D0905C7"/>
    <w:rsid w:val="5D2D2508"/>
    <w:rsid w:val="5D3970FE"/>
    <w:rsid w:val="5D4D4958"/>
    <w:rsid w:val="5D8A795A"/>
    <w:rsid w:val="5DB1138B"/>
    <w:rsid w:val="5DF66D9E"/>
    <w:rsid w:val="5DF9688E"/>
    <w:rsid w:val="5E04332E"/>
    <w:rsid w:val="5E280F21"/>
    <w:rsid w:val="5E324496"/>
    <w:rsid w:val="5E373AEB"/>
    <w:rsid w:val="5E48511F"/>
    <w:rsid w:val="5E767EDE"/>
    <w:rsid w:val="5E800D5D"/>
    <w:rsid w:val="5E912C90"/>
    <w:rsid w:val="5E987E55"/>
    <w:rsid w:val="5EE237C6"/>
    <w:rsid w:val="5F0D2AEB"/>
    <w:rsid w:val="5F3F4774"/>
    <w:rsid w:val="5F4426E4"/>
    <w:rsid w:val="5F555D46"/>
    <w:rsid w:val="5F631AB9"/>
    <w:rsid w:val="5F7A369E"/>
    <w:rsid w:val="5FDD5E02"/>
    <w:rsid w:val="600D03CE"/>
    <w:rsid w:val="603A5A8F"/>
    <w:rsid w:val="604162CA"/>
    <w:rsid w:val="604A0FC0"/>
    <w:rsid w:val="60665494"/>
    <w:rsid w:val="606D5EAE"/>
    <w:rsid w:val="61243C22"/>
    <w:rsid w:val="614147D4"/>
    <w:rsid w:val="6162474A"/>
    <w:rsid w:val="616A3388"/>
    <w:rsid w:val="616A5F93"/>
    <w:rsid w:val="616B1851"/>
    <w:rsid w:val="61BC3E5A"/>
    <w:rsid w:val="61E82EA1"/>
    <w:rsid w:val="61E84C4F"/>
    <w:rsid w:val="61FF3C05"/>
    <w:rsid w:val="621B66C6"/>
    <w:rsid w:val="6224535E"/>
    <w:rsid w:val="6356208C"/>
    <w:rsid w:val="63640CDB"/>
    <w:rsid w:val="637A7EA5"/>
    <w:rsid w:val="63A177AC"/>
    <w:rsid w:val="63A64DC2"/>
    <w:rsid w:val="63B374DF"/>
    <w:rsid w:val="64414AEB"/>
    <w:rsid w:val="64765B52"/>
    <w:rsid w:val="653576F9"/>
    <w:rsid w:val="65BD2897"/>
    <w:rsid w:val="65BF0EC2"/>
    <w:rsid w:val="662B7800"/>
    <w:rsid w:val="663E7534"/>
    <w:rsid w:val="66756CCD"/>
    <w:rsid w:val="66857B88"/>
    <w:rsid w:val="66AF0431"/>
    <w:rsid w:val="66DB4D83"/>
    <w:rsid w:val="6712451C"/>
    <w:rsid w:val="67423054"/>
    <w:rsid w:val="6753700F"/>
    <w:rsid w:val="6764121C"/>
    <w:rsid w:val="67646A06"/>
    <w:rsid w:val="677A5E8B"/>
    <w:rsid w:val="677F35B3"/>
    <w:rsid w:val="67BD6B7E"/>
    <w:rsid w:val="67C25F42"/>
    <w:rsid w:val="682E35D8"/>
    <w:rsid w:val="68432C8D"/>
    <w:rsid w:val="684468EB"/>
    <w:rsid w:val="685F7C35"/>
    <w:rsid w:val="687051D2"/>
    <w:rsid w:val="687874D2"/>
    <w:rsid w:val="68923B67"/>
    <w:rsid w:val="689874F9"/>
    <w:rsid w:val="68E5638C"/>
    <w:rsid w:val="68F16ADF"/>
    <w:rsid w:val="69366BE8"/>
    <w:rsid w:val="695B03FD"/>
    <w:rsid w:val="696B5C50"/>
    <w:rsid w:val="69733998"/>
    <w:rsid w:val="69A04061"/>
    <w:rsid w:val="69BD2E65"/>
    <w:rsid w:val="69CE4E6D"/>
    <w:rsid w:val="69F06D97"/>
    <w:rsid w:val="6A0665BA"/>
    <w:rsid w:val="6A3A2708"/>
    <w:rsid w:val="6A4946F9"/>
    <w:rsid w:val="6A570BC4"/>
    <w:rsid w:val="6A611A43"/>
    <w:rsid w:val="6AB37DC4"/>
    <w:rsid w:val="6ABA1153"/>
    <w:rsid w:val="6AD761A9"/>
    <w:rsid w:val="6B146AB5"/>
    <w:rsid w:val="6B1C0AB8"/>
    <w:rsid w:val="6B6A4927"/>
    <w:rsid w:val="6B730171"/>
    <w:rsid w:val="6B7C41BC"/>
    <w:rsid w:val="6B7C5892"/>
    <w:rsid w:val="6B8005EE"/>
    <w:rsid w:val="6BA0659B"/>
    <w:rsid w:val="6BB219D3"/>
    <w:rsid w:val="6BFD4F0F"/>
    <w:rsid w:val="6C1256EA"/>
    <w:rsid w:val="6C147F6F"/>
    <w:rsid w:val="6C283CFA"/>
    <w:rsid w:val="6D286848"/>
    <w:rsid w:val="6D3722AC"/>
    <w:rsid w:val="6D7E5F90"/>
    <w:rsid w:val="6DF57072"/>
    <w:rsid w:val="6DFB56B9"/>
    <w:rsid w:val="6E5D4C17"/>
    <w:rsid w:val="6E71421E"/>
    <w:rsid w:val="6E895A0C"/>
    <w:rsid w:val="6E985C4F"/>
    <w:rsid w:val="6EA4278C"/>
    <w:rsid w:val="6ED0363B"/>
    <w:rsid w:val="6EF2710D"/>
    <w:rsid w:val="6EF54966"/>
    <w:rsid w:val="6F0926A9"/>
    <w:rsid w:val="6F1A7314"/>
    <w:rsid w:val="6F3B6A55"/>
    <w:rsid w:val="6F3B6D06"/>
    <w:rsid w:val="6F743FC6"/>
    <w:rsid w:val="6F8561D3"/>
    <w:rsid w:val="6F8D32DA"/>
    <w:rsid w:val="6FA523D2"/>
    <w:rsid w:val="6FA859A1"/>
    <w:rsid w:val="6FF2492C"/>
    <w:rsid w:val="700510C2"/>
    <w:rsid w:val="7014565A"/>
    <w:rsid w:val="704F233D"/>
    <w:rsid w:val="707149AA"/>
    <w:rsid w:val="70812E3F"/>
    <w:rsid w:val="708C3591"/>
    <w:rsid w:val="70D30D5F"/>
    <w:rsid w:val="70F4261B"/>
    <w:rsid w:val="7121017E"/>
    <w:rsid w:val="715E0A8A"/>
    <w:rsid w:val="71706A0F"/>
    <w:rsid w:val="71887C3A"/>
    <w:rsid w:val="71FB09CF"/>
    <w:rsid w:val="72247F25"/>
    <w:rsid w:val="7249798C"/>
    <w:rsid w:val="72D336FA"/>
    <w:rsid w:val="72D8486C"/>
    <w:rsid w:val="72E31331"/>
    <w:rsid w:val="72E41463"/>
    <w:rsid w:val="73133962"/>
    <w:rsid w:val="73403702"/>
    <w:rsid w:val="735008A6"/>
    <w:rsid w:val="735F0AE9"/>
    <w:rsid w:val="7375030D"/>
    <w:rsid w:val="73C05A2C"/>
    <w:rsid w:val="73CF5D79"/>
    <w:rsid w:val="73E3796C"/>
    <w:rsid w:val="73F6588F"/>
    <w:rsid w:val="74213FF1"/>
    <w:rsid w:val="743838D5"/>
    <w:rsid w:val="744C72C0"/>
    <w:rsid w:val="74E21D58"/>
    <w:rsid w:val="74E33939"/>
    <w:rsid w:val="74E7348C"/>
    <w:rsid w:val="75984DDE"/>
    <w:rsid w:val="75A26A30"/>
    <w:rsid w:val="75BC2223"/>
    <w:rsid w:val="760616F0"/>
    <w:rsid w:val="764A02A2"/>
    <w:rsid w:val="769F401E"/>
    <w:rsid w:val="76A41635"/>
    <w:rsid w:val="76CA0970"/>
    <w:rsid w:val="76DF14BC"/>
    <w:rsid w:val="76EC6B38"/>
    <w:rsid w:val="7702635B"/>
    <w:rsid w:val="772462D2"/>
    <w:rsid w:val="77291B3A"/>
    <w:rsid w:val="772B4D77"/>
    <w:rsid w:val="77383B2B"/>
    <w:rsid w:val="77620B11"/>
    <w:rsid w:val="77811F60"/>
    <w:rsid w:val="7783749C"/>
    <w:rsid w:val="77862AE9"/>
    <w:rsid w:val="779C67B0"/>
    <w:rsid w:val="779D47FF"/>
    <w:rsid w:val="77B92EBE"/>
    <w:rsid w:val="77C00271"/>
    <w:rsid w:val="77C17FC5"/>
    <w:rsid w:val="7830547D"/>
    <w:rsid w:val="78775D9F"/>
    <w:rsid w:val="78850FF2"/>
    <w:rsid w:val="788B412F"/>
    <w:rsid w:val="789E422F"/>
    <w:rsid w:val="78A43CB2"/>
    <w:rsid w:val="78EF290F"/>
    <w:rsid w:val="79AF6F1F"/>
    <w:rsid w:val="79ED3101"/>
    <w:rsid w:val="7A0128FA"/>
    <w:rsid w:val="7A081EDB"/>
    <w:rsid w:val="7A454EDD"/>
    <w:rsid w:val="7A707A80"/>
    <w:rsid w:val="7AF61B6C"/>
    <w:rsid w:val="7B304F7F"/>
    <w:rsid w:val="7B3A5651"/>
    <w:rsid w:val="7B476A33"/>
    <w:rsid w:val="7B6273C9"/>
    <w:rsid w:val="7B6969A9"/>
    <w:rsid w:val="7BBE787A"/>
    <w:rsid w:val="7C574A54"/>
    <w:rsid w:val="7CBA1362"/>
    <w:rsid w:val="7CDB5685"/>
    <w:rsid w:val="7D584F27"/>
    <w:rsid w:val="7D676F18"/>
    <w:rsid w:val="7DC46119"/>
    <w:rsid w:val="7DD81BC4"/>
    <w:rsid w:val="7DDA2983"/>
    <w:rsid w:val="7DE14F1D"/>
    <w:rsid w:val="7DE40569"/>
    <w:rsid w:val="7E024E93"/>
    <w:rsid w:val="7E183F11"/>
    <w:rsid w:val="7E635E8E"/>
    <w:rsid w:val="7EDA25C7"/>
    <w:rsid w:val="7EF12E18"/>
    <w:rsid w:val="7F1B7FBA"/>
    <w:rsid w:val="7F247CA3"/>
    <w:rsid w:val="7F425E54"/>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keepNext/>
      <w:keepLines/>
      <w:spacing w:before="340" w:after="330" w:line="576" w:lineRule="auto"/>
      <w:outlineLvl w:val="0"/>
    </w:pPr>
    <w:rPr>
      <w:b/>
      <w:kern w:val="44"/>
      <w:sz w:val="44"/>
    </w:rPr>
  </w:style>
  <w:style w:type="paragraph" w:styleId="3">
    <w:name w:val="heading 2"/>
    <w:basedOn w:val="1"/>
    <w:next w:val="1"/>
    <w:unhideWhenUsed/>
    <w:qFormat/>
    <w:uiPriority w:val="1"/>
    <w:pPr>
      <w:keepNext/>
      <w:keepLines/>
      <w:spacing w:before="260" w:after="260" w:line="413" w:lineRule="auto"/>
      <w:outlineLvl w:val="1"/>
    </w:pPr>
    <w:rPr>
      <w:rFonts w:ascii="Arial" w:hAnsi="Arial" w:eastAsia="楷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文本正文"/>
    <w:basedOn w:val="1"/>
    <w:qFormat/>
    <w:uiPriority w:val="0"/>
    <w:pPr>
      <w:ind w:firstLine="200"/>
    </w:pPr>
    <w:rPr>
      <w:rFonts w:ascii="仿宋_GB2312" w:hAnsi="仿宋_GB2312"/>
    </w:rPr>
  </w:style>
  <w:style w:type="paragraph" w:customStyle="1" w:styleId="13">
    <w:name w:val="列出段落1"/>
    <w:basedOn w:val="1"/>
    <w:qFormat/>
    <w:uiPriority w:val="34"/>
    <w:pPr>
      <w:spacing w:line="360" w:lineRule="auto"/>
      <w:ind w:firstLine="420" w:firstLineChars="200"/>
    </w:pPr>
    <w:rPr>
      <w:rFonts w:ascii="Calibri" w:hAnsi="Calibri"/>
      <w:sz w:val="24"/>
      <w:szCs w:val="22"/>
    </w:rPr>
  </w:style>
  <w:style w:type="character" w:customStyle="1" w:styleId="14">
    <w:name w:val="font81"/>
    <w:basedOn w:val="11"/>
    <w:qFormat/>
    <w:uiPriority w:val="0"/>
    <w:rPr>
      <w:rFonts w:hint="default" w:ascii="Times New Roman" w:hAnsi="Times New Roman" w:cs="Times New Roman"/>
      <w:color w:val="000000"/>
      <w:sz w:val="24"/>
      <w:szCs w:val="24"/>
      <w:u w:val="none"/>
    </w:rPr>
  </w:style>
  <w:style w:type="character" w:customStyle="1" w:styleId="15">
    <w:name w:val="font41"/>
    <w:basedOn w:val="11"/>
    <w:qFormat/>
    <w:uiPriority w:val="0"/>
    <w:rPr>
      <w:rFonts w:hint="eastAsia" w:ascii="仿宋_GB2312" w:eastAsia="仿宋_GB2312" w:cs="仿宋_GB2312"/>
      <w:color w:val="000000"/>
      <w:sz w:val="24"/>
      <w:szCs w:val="24"/>
      <w:u w:val="none"/>
    </w:rPr>
  </w:style>
  <w:style w:type="character" w:customStyle="1" w:styleId="16">
    <w:name w:val="font101"/>
    <w:basedOn w:val="11"/>
    <w:qFormat/>
    <w:uiPriority w:val="0"/>
    <w:rPr>
      <w:rFonts w:hint="default" w:ascii="Times New Roman" w:hAnsi="Times New Roman" w:cs="Times New Roman"/>
      <w:color w:val="0000FF"/>
      <w:sz w:val="24"/>
      <w:szCs w:val="24"/>
      <w:u w:val="none"/>
    </w:rPr>
  </w:style>
  <w:style w:type="character" w:customStyle="1" w:styleId="17">
    <w:name w:val="font112"/>
    <w:basedOn w:val="11"/>
    <w:qFormat/>
    <w:uiPriority w:val="0"/>
    <w:rPr>
      <w:rFonts w:hint="eastAsia" w:ascii="仿宋_GB2312" w:eastAsia="仿宋_GB2312" w:cs="仿宋_GB2312"/>
      <w:color w:val="0000FF"/>
      <w:sz w:val="24"/>
      <w:szCs w:val="24"/>
      <w:u w:val="none"/>
    </w:rPr>
  </w:style>
  <w:style w:type="character" w:customStyle="1" w:styleId="18">
    <w:name w:val="font31"/>
    <w:basedOn w:val="11"/>
    <w:qFormat/>
    <w:uiPriority w:val="0"/>
    <w:rPr>
      <w:rFonts w:hint="default" w:ascii="Times New Roman" w:hAnsi="Times New Roman" w:cs="Times New Roman"/>
      <w:color w:val="000000"/>
      <w:sz w:val="24"/>
      <w:szCs w:val="24"/>
      <w:u w:val="none"/>
    </w:rPr>
  </w:style>
  <w:style w:type="character" w:customStyle="1" w:styleId="19">
    <w:name w:val="font11"/>
    <w:basedOn w:val="11"/>
    <w:qFormat/>
    <w:uiPriority w:val="0"/>
    <w:rPr>
      <w:rFonts w:hint="eastAsia" w:ascii="仿宋_GB2312" w:eastAsia="仿宋_GB2312" w:cs="仿宋_GB2312"/>
      <w:color w:val="000000"/>
      <w:sz w:val="24"/>
      <w:szCs w:val="24"/>
      <w:u w:val="none"/>
    </w:rPr>
  </w:style>
  <w:style w:type="character" w:customStyle="1" w:styleId="20">
    <w:name w:val="font51"/>
    <w:basedOn w:val="11"/>
    <w:qFormat/>
    <w:uiPriority w:val="0"/>
    <w:rPr>
      <w:rFonts w:hint="default" w:ascii="Times New Roman" w:hAnsi="Times New Roman" w:cs="Times New Roman"/>
      <w:color w:val="0000FF"/>
      <w:sz w:val="24"/>
      <w:szCs w:val="24"/>
      <w:u w:val="none"/>
    </w:rPr>
  </w:style>
  <w:style w:type="character" w:customStyle="1" w:styleId="21">
    <w:name w:val="font61"/>
    <w:basedOn w:val="11"/>
    <w:qFormat/>
    <w:uiPriority w:val="0"/>
    <w:rPr>
      <w:rFonts w:hint="eastAsia" w:ascii="仿宋_GB2312" w:eastAsia="仿宋_GB2312" w:cs="仿宋_GB2312"/>
      <w:color w:val="0000FF"/>
      <w:sz w:val="24"/>
      <w:szCs w:val="24"/>
      <w:u w:val="none"/>
    </w:rPr>
  </w:style>
  <w:style w:type="character" w:customStyle="1" w:styleId="22">
    <w:name w:val="font71"/>
    <w:basedOn w:val="11"/>
    <w:qFormat/>
    <w:uiPriority w:val="0"/>
    <w:rPr>
      <w:rFonts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8308</Words>
  <Characters>8743</Characters>
  <Lines>0</Lines>
  <Paragraphs>0</Paragraphs>
  <TotalTime>52</TotalTime>
  <ScaleCrop>false</ScaleCrop>
  <LinksUpToDate>false</LinksUpToDate>
  <CharactersWithSpaces>8872</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2024-05-10T02:32:00Z</dcterms:created>
  <dc:creator>hh</dc:creator>
  <cp:lastModifiedBy>请多给我一点时间</cp:lastModifiedBy>
  <cp:lastPrinted>2024-08-02T04:00:00Z</cp:lastPrinted>
  <dcterms:modified xsi:type="dcterms:W3CDTF">2024-08-12T09:28:32Z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B839FF35BD2349748BC292EA48D4FBE8</vt:lpwstr>
  </property>
</Properties>
</file>