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96D3E">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hint="eastAsia" w:ascii="黑体" w:hAnsi="黑体" w:eastAsia="黑体" w:cs="黑体"/>
          <w:b w:val="0"/>
          <w:bCs/>
          <w:color w:val="000000"/>
          <w:kern w:val="0"/>
          <w:sz w:val="44"/>
          <w:szCs w:val="44"/>
        </w:rPr>
      </w:pPr>
    </w:p>
    <w:p w14:paraId="6A80151B">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hint="eastAsia" w:ascii="黑体" w:hAnsi="黑体" w:eastAsia="黑体" w:cs="黑体"/>
          <w:b w:val="0"/>
          <w:bCs/>
          <w:color w:val="000000"/>
          <w:kern w:val="0"/>
          <w:sz w:val="44"/>
          <w:szCs w:val="44"/>
        </w:rPr>
      </w:pPr>
      <w:bookmarkStart w:id="0" w:name="_GoBack"/>
      <w:bookmarkEnd w:id="0"/>
      <w:r>
        <w:rPr>
          <w:rFonts w:hint="eastAsia" w:ascii="黑体" w:hAnsi="黑体" w:eastAsia="黑体" w:cs="黑体"/>
          <w:b w:val="0"/>
          <w:bCs/>
          <w:color w:val="000000"/>
          <w:kern w:val="0"/>
          <w:sz w:val="44"/>
          <w:szCs w:val="44"/>
        </w:rPr>
        <w:t>202</w:t>
      </w:r>
      <w:r>
        <w:rPr>
          <w:rFonts w:hint="eastAsia" w:ascii="黑体" w:hAnsi="黑体" w:eastAsia="黑体" w:cs="黑体"/>
          <w:b w:val="0"/>
          <w:bCs/>
          <w:color w:val="000000"/>
          <w:kern w:val="0"/>
          <w:sz w:val="44"/>
          <w:szCs w:val="44"/>
          <w:lang w:val="en-US" w:eastAsia="zh-CN"/>
        </w:rPr>
        <w:t>2</w:t>
      </w:r>
      <w:r>
        <w:rPr>
          <w:rFonts w:hint="eastAsia" w:ascii="黑体" w:hAnsi="黑体" w:eastAsia="黑体" w:cs="黑体"/>
          <w:b w:val="0"/>
          <w:bCs/>
          <w:color w:val="000000"/>
          <w:kern w:val="0"/>
          <w:sz w:val="44"/>
          <w:szCs w:val="44"/>
        </w:rPr>
        <w:t>年度部门整体支出绩效评价报告</w:t>
      </w:r>
    </w:p>
    <w:p w14:paraId="31B153B0">
      <w:pPr>
        <w:pStyle w:val="2"/>
        <w:keepNext w:val="0"/>
        <w:keepLines w:val="0"/>
        <w:pageBreakBefore w:val="0"/>
        <w:kinsoku/>
        <w:wordWrap/>
        <w:overflowPunct/>
        <w:topLinePunct w:val="0"/>
        <w:autoSpaceDE/>
        <w:autoSpaceDN/>
        <w:bidi w:val="0"/>
        <w:adjustRightInd/>
        <w:spacing w:beforeAutospacing="0" w:afterAutospacing="0" w:line="560" w:lineRule="exact"/>
        <w:ind w:firstLine="654" w:firstLineChars="200"/>
        <w:textAlignment w:val="auto"/>
        <w:rPr>
          <w:rFonts w:hint="eastAsia" w:ascii="仿宋_GB2312" w:hAnsi="仿宋_GB2312" w:eastAsia="仿宋_GB2312" w:cs="仿宋_GB2312"/>
          <w:sz w:val="32"/>
          <w:szCs w:val="32"/>
        </w:rPr>
      </w:pPr>
    </w:p>
    <w:p w14:paraId="1675CD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一、部门概况</w:t>
      </w:r>
    </w:p>
    <w:p w14:paraId="3078E52A">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（一）部门基本情况</w:t>
      </w:r>
    </w:p>
    <w:p w14:paraId="32241D19">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1.主要职能</w:t>
      </w:r>
    </w:p>
    <w:p w14:paraId="663DA8B2">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1、</w:t>
      </w:r>
      <w:r>
        <w:rPr>
          <w:rFonts w:hint="eastAsia" w:ascii="Arial" w:hAnsi="Arial" w:cs="Arial"/>
          <w:color w:val="333333"/>
          <w:sz w:val="30"/>
          <w:szCs w:val="30"/>
        </w:rPr>
        <w:t>贯彻执行上级党委、政府关于行政管理体制改革和机构改革及机构编制工作的方针、政策和法律法规；研究拟定全县行政管理体制改革和机构改革及机构编制管理的规定、办法和实施细则，并认真组织实施；统一管理全县各级党政机关、人大、政协机关以及各民主党派、人民团体机关的机构编制工作；检查监督各级机关行政管理体制改革和机构改革方案以及机构编制的执行情况。</w:t>
      </w:r>
    </w:p>
    <w:p w14:paraId="38B3F16D">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2、</w:t>
      </w:r>
      <w:r>
        <w:rPr>
          <w:rFonts w:hint="eastAsia" w:ascii="Arial" w:hAnsi="Arial" w:cs="Arial"/>
          <w:color w:val="333333"/>
          <w:sz w:val="30"/>
          <w:szCs w:val="30"/>
        </w:rPr>
        <w:t>研究拟定全县行政管理体制改革与机构改革方案及相关规定；指导、协调全县各级行政管理体制改革和机构改革及机构编制管理工作。</w:t>
      </w:r>
    </w:p>
    <w:p w14:paraId="7FABA9D2">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3、</w:t>
      </w:r>
      <w:r>
        <w:rPr>
          <w:rFonts w:hint="eastAsia" w:ascii="Arial" w:hAnsi="Arial" w:cs="Arial"/>
          <w:color w:val="333333"/>
          <w:sz w:val="30"/>
          <w:szCs w:val="30"/>
        </w:rPr>
        <w:t>负责审核县委、县人民政府各部门职能配置、人员编制、内设机构及其领导职数；审核股级机构设置及副科级以上机构设置的呈报。</w:t>
      </w:r>
    </w:p>
    <w:p w14:paraId="30EB0A63">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4、</w:t>
      </w:r>
      <w:r>
        <w:rPr>
          <w:rFonts w:hint="eastAsia" w:ascii="Arial" w:hAnsi="Arial" w:cs="Arial"/>
          <w:color w:val="333333"/>
          <w:sz w:val="30"/>
          <w:szCs w:val="30"/>
        </w:rPr>
        <w:t>审核县人大、县政协和各民主党派、人民团体机关的人员编制、内设机构及其领导职数。</w:t>
      </w:r>
    </w:p>
    <w:p w14:paraId="76E72E7B">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5、</w:t>
      </w:r>
      <w:r>
        <w:rPr>
          <w:rFonts w:hint="eastAsia" w:ascii="Arial" w:hAnsi="Arial" w:cs="Arial"/>
          <w:color w:val="333333"/>
          <w:sz w:val="30"/>
          <w:szCs w:val="30"/>
        </w:rPr>
        <w:t>研究拟定全县事业单位管理体制和机构改革方案，负责事业单位机构编制管理工作；审核县委、县人民政府直属、各部门和乡镇所属事业单位的机构设置、职能配置、领导职数、人员编制；指导、协调全县各级各类事业单位管理体制改革和机构编制管理工作。会同县委组织部拟定县直副科级以上行政事业单位领导班子职数配备的意见。</w:t>
      </w:r>
    </w:p>
    <w:p w14:paraId="2F978D48">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6、</w:t>
      </w:r>
      <w:r>
        <w:rPr>
          <w:rFonts w:hint="eastAsia" w:ascii="Arial" w:hAnsi="Arial" w:cs="Arial"/>
          <w:color w:val="333333"/>
          <w:sz w:val="30"/>
          <w:szCs w:val="30"/>
        </w:rPr>
        <w:t>贯彻执行国家和省市有关事业单位登记管理的法律、法规、规章，拟定全县事业单位登记管理的规定、办法和实施细则，并组织实施；负责本级登记管辖范围内事业单位法人登记、变更、年检、注销管理和监督管理工作。</w:t>
      </w:r>
    </w:p>
    <w:p w14:paraId="2FEC3FDB">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7、</w:t>
      </w:r>
      <w:r>
        <w:rPr>
          <w:rFonts w:hint="eastAsia" w:ascii="Arial" w:hAnsi="Arial" w:cs="Arial"/>
          <w:color w:val="333333"/>
          <w:sz w:val="30"/>
          <w:szCs w:val="30"/>
        </w:rPr>
        <w:t>负责全县机关事业单位机构编制实名制管理工作。维护和管理全县机构编制人员实名制信息库，建立健全机构编制实名制管理机制。</w:t>
      </w:r>
    </w:p>
    <w:p w14:paraId="3B0EF446">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8、</w:t>
      </w:r>
      <w:r>
        <w:rPr>
          <w:rFonts w:hint="eastAsia" w:ascii="Arial" w:hAnsi="Arial" w:cs="Arial"/>
          <w:color w:val="333333"/>
          <w:sz w:val="30"/>
          <w:szCs w:val="30"/>
        </w:rPr>
        <w:t>负责对涉及人员调任、调动、人才引进、军转干部和退伍军人政策性安置、社会公开招考工作人员等人员调整的机关、事业单位进行编制核准，提出编制审核意见，报编委会审定。严格执行机构编制管理政策，负责人员入编审批手续。建立健全机构编制与人员工资、财政预算相互配合制约机制。</w:t>
      </w:r>
    </w:p>
    <w:p w14:paraId="04AE5F17">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rPr>
      </w:pPr>
      <w:r>
        <w:rPr>
          <w:rFonts w:hint="eastAsia" w:ascii="Arial" w:hAnsi="Arial" w:cs="Arial"/>
          <w:color w:val="333333"/>
          <w:sz w:val="30"/>
          <w:szCs w:val="30"/>
          <w:lang w:val="en-US" w:eastAsia="zh-CN"/>
        </w:rPr>
        <w:t>9、</w:t>
      </w:r>
      <w:r>
        <w:rPr>
          <w:rFonts w:hint="eastAsia" w:ascii="Arial" w:hAnsi="Arial" w:cs="Arial"/>
          <w:color w:val="333333"/>
          <w:sz w:val="30"/>
          <w:szCs w:val="30"/>
        </w:rPr>
        <w:t>负责全县党政群机关和事业单位网上名称管理工作。推动“政务”、“公益”中文专用域名的应用普及，推动中文专用域名的规范注册和使用，加强对网上名称的监督检查工作。</w:t>
      </w:r>
    </w:p>
    <w:p w14:paraId="4983E7A0">
      <w:pPr>
        <w:pStyle w:val="4"/>
        <w:shd w:val="clear" w:color="auto" w:fill="FFFFFF"/>
        <w:spacing w:before="0" w:beforeLines="0" w:beforeAutospacing="0" w:after="0" w:afterLines="0" w:afterAutospacing="0"/>
        <w:ind w:firstLine="614" w:firstLineChars="200"/>
        <w:rPr>
          <w:rFonts w:hint="default" w:ascii="Arial" w:hAnsi="Arial" w:eastAsia="宋体" w:cs="Arial"/>
          <w:color w:val="333333"/>
          <w:sz w:val="30"/>
          <w:szCs w:val="30"/>
          <w:lang w:val="en-US" w:eastAsia="zh-CN"/>
        </w:rPr>
      </w:pPr>
      <w:r>
        <w:rPr>
          <w:rFonts w:hint="eastAsia" w:ascii="Arial" w:hAnsi="Arial" w:cs="Arial"/>
          <w:color w:val="333333"/>
          <w:sz w:val="30"/>
          <w:szCs w:val="30"/>
          <w:lang w:val="en-US" w:eastAsia="zh-CN"/>
        </w:rPr>
        <w:t>10、</w:t>
      </w:r>
      <w:r>
        <w:rPr>
          <w:rFonts w:hint="eastAsia" w:ascii="Arial" w:hAnsi="Arial" w:cs="Arial"/>
          <w:color w:val="333333"/>
          <w:sz w:val="30"/>
          <w:szCs w:val="30"/>
        </w:rPr>
        <w:t>完成县委和县委机构编制委员会交办的其他任务。</w:t>
      </w:r>
    </w:p>
    <w:p w14:paraId="167918F9">
      <w:pPr>
        <w:pStyle w:val="4"/>
        <w:shd w:val="clear" w:color="auto" w:fill="FFFFFF"/>
        <w:spacing w:before="0" w:beforeLines="0" w:beforeAutospacing="0" w:after="0" w:afterLines="0" w:afterAutospacing="0"/>
        <w:ind w:firstLine="614" w:firstLineChars="200"/>
        <w:rPr>
          <w:rFonts w:hint="eastAsia" w:ascii="Arial" w:hAnsi="Arial" w:cs="Arial"/>
          <w:color w:val="333333"/>
          <w:sz w:val="30"/>
          <w:szCs w:val="30"/>
          <w:lang w:eastAsia="zh-CN"/>
        </w:rPr>
      </w:pPr>
      <w:r>
        <w:rPr>
          <w:rFonts w:hint="eastAsia" w:ascii="Arial" w:hAnsi="Arial" w:cs="Arial"/>
          <w:color w:val="333333"/>
          <w:sz w:val="30"/>
          <w:szCs w:val="30"/>
          <w:lang w:eastAsia="zh-CN"/>
        </w:rPr>
        <w:t>（二）机构设置</w:t>
      </w:r>
    </w:p>
    <w:p w14:paraId="70A2858F">
      <w:pPr>
        <w:pStyle w:val="4"/>
        <w:shd w:val="clear" w:color="auto" w:fill="FFFFFF"/>
        <w:spacing w:before="0" w:beforeLines="0" w:beforeAutospacing="0" w:after="0" w:afterLines="0" w:afterAutospacing="0"/>
        <w:rPr>
          <w:rFonts w:hint="eastAsia" w:ascii="Arial" w:hAnsi="Arial" w:eastAsia="宋体" w:cs="Arial"/>
          <w:color w:val="333333"/>
          <w:sz w:val="30"/>
          <w:szCs w:val="30"/>
          <w:lang w:eastAsia="zh-CN"/>
        </w:rPr>
      </w:pPr>
      <w:r>
        <w:rPr>
          <w:rFonts w:ascii="Arial" w:hAnsi="Arial" w:cs="Arial"/>
          <w:color w:val="333333"/>
          <w:sz w:val="30"/>
          <w:szCs w:val="30"/>
        </w:rPr>
        <w:t>　　</w:t>
      </w:r>
      <w:r>
        <w:rPr>
          <w:rFonts w:hint="eastAsia" w:ascii="Arial" w:hAnsi="Arial" w:cs="Arial"/>
          <w:color w:val="333333"/>
          <w:sz w:val="30"/>
          <w:szCs w:val="30"/>
        </w:rPr>
        <w:t>根据编委核定，我办内设股室4个，内设股室分别是综合股、事业单位登记管理股、机构编制管理股、监督检查股。</w:t>
      </w:r>
    </w:p>
    <w:p w14:paraId="5760D150">
      <w:pPr>
        <w:pStyle w:val="4"/>
        <w:shd w:val="clear" w:color="auto" w:fill="FFFFFF"/>
        <w:spacing w:before="0" w:beforeAutospacing="0" w:after="0" w:afterAutospacing="0"/>
        <w:rPr>
          <w:rFonts w:ascii="Arial" w:hAnsi="Arial" w:cs="Arial"/>
          <w:color w:val="333333"/>
          <w:sz w:val="30"/>
          <w:szCs w:val="30"/>
        </w:rPr>
      </w:pPr>
      <w:r>
        <w:rPr>
          <w:rFonts w:hint="eastAsia" w:ascii="Arial" w:hAnsi="Arial" w:cs="Arial"/>
          <w:color w:val="333333"/>
          <w:sz w:val="30"/>
          <w:szCs w:val="30"/>
        </w:rPr>
        <w:t>　　所属事业单位是</w:t>
      </w:r>
      <w:r>
        <w:rPr>
          <w:rFonts w:hint="eastAsia" w:ascii="Arial" w:hAnsi="Arial" w:cs="Arial"/>
          <w:color w:val="333333"/>
          <w:sz w:val="30"/>
          <w:szCs w:val="30"/>
          <w:lang w:eastAsia="zh-CN"/>
        </w:rPr>
        <w:t>安化县机构编制事务中心</w:t>
      </w:r>
      <w:r>
        <w:rPr>
          <w:rFonts w:hint="eastAsia" w:ascii="Arial" w:hAnsi="Arial" w:cs="Arial"/>
          <w:color w:val="333333"/>
          <w:sz w:val="30"/>
          <w:szCs w:val="30"/>
        </w:rPr>
        <w:t>。</w:t>
      </w:r>
    </w:p>
    <w:p w14:paraId="1A81C6C3">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3.在职人员情况</w:t>
      </w:r>
    </w:p>
    <w:p w14:paraId="5F94B58E">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年12月,</w:t>
      </w:r>
      <w:r>
        <w:rPr>
          <w:rFonts w:hint="eastAsia" w:ascii="仿宋_GB2312" w:hAnsi="仿宋_GB2312" w:eastAsia="仿宋_GB2312" w:cs="仿宋_GB2312"/>
          <w:sz w:val="32"/>
          <w:szCs w:val="32"/>
          <w:lang w:eastAsia="zh-CN"/>
        </w:rPr>
        <w:t>我</w:t>
      </w:r>
      <w:r>
        <w:rPr>
          <w:rFonts w:hint="eastAsia" w:ascii="仿宋_GB2312" w:hAnsi="仿宋_GB2312" w:cs="仿宋_GB2312"/>
          <w:sz w:val="32"/>
          <w:szCs w:val="32"/>
          <w:lang w:eastAsia="zh-CN"/>
        </w:rPr>
        <w:t>办</w:t>
      </w:r>
      <w:r>
        <w:rPr>
          <w:rFonts w:hint="eastAsia" w:ascii="仿宋_GB2312" w:hAnsi="仿宋_GB2312" w:eastAsia="仿宋_GB2312" w:cs="仿宋_GB2312"/>
          <w:sz w:val="32"/>
          <w:szCs w:val="32"/>
        </w:rPr>
        <w:t>实有人数</w:t>
      </w:r>
      <w:r>
        <w:rPr>
          <w:rFonts w:hint="eastAsia" w:ascii="仿宋_GB2312" w:hAnsi="仿宋_GB2312" w:cs="仿宋_GB2312"/>
          <w:sz w:val="32"/>
          <w:szCs w:val="32"/>
          <w:lang w:val="en-US" w:eastAsia="zh-CN"/>
        </w:rPr>
        <w:t>11</w:t>
      </w:r>
      <w:r>
        <w:rPr>
          <w:rFonts w:hint="eastAsia" w:ascii="仿宋_GB2312" w:hAnsi="仿宋_GB2312" w:eastAsia="仿宋_GB2312" w:cs="仿宋_GB2312"/>
          <w:sz w:val="32"/>
          <w:szCs w:val="32"/>
        </w:rPr>
        <w:t>人。其中在职</w:t>
      </w:r>
      <w:r>
        <w:rPr>
          <w:rFonts w:hint="eastAsia" w:ascii="仿宋_GB2312" w:hAnsi="仿宋_GB2312" w:cs="仿宋_GB2312"/>
          <w:sz w:val="32"/>
          <w:szCs w:val="32"/>
          <w:lang w:val="en-US" w:eastAsia="zh-CN"/>
        </w:rPr>
        <w:t>11人。</w:t>
      </w:r>
    </w:p>
    <w:p w14:paraId="0F9225AC">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4.重点工作计划</w:t>
      </w:r>
    </w:p>
    <w:p w14:paraId="1A8F6A1B">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Times New Roman"/>
          <w:b w:val="0"/>
          <w:bCs/>
          <w:color w:val="auto"/>
          <w:kern w:val="2"/>
          <w:sz w:val="32"/>
          <w:szCs w:val="32"/>
          <w:lang w:val="en-US" w:eastAsia="zh-CN"/>
        </w:rPr>
        <w:t>1</w:t>
      </w:r>
      <w:r>
        <w:rPr>
          <w:rFonts w:hint="eastAsia" w:ascii="仿宋_GB2312" w:hAnsi="仿宋_GB2312" w:eastAsia="仿宋_GB2312" w:cs="仿宋_GB2312"/>
          <w:sz w:val="32"/>
          <w:szCs w:val="32"/>
          <w:lang w:val="en-US" w:eastAsia="zh-CN"/>
        </w:rPr>
        <w:t>.聚焦发展大局，着力深化体制机制改革</w:t>
      </w:r>
    </w:p>
    <w:p w14:paraId="3DE8FEF3">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2.坚持改革创新，不断优化编制资源配置</w:t>
      </w:r>
    </w:p>
    <w:p w14:paraId="0FEBB18C">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3.严肃编制纪律， 持续强化监督检查保障</w:t>
      </w:r>
    </w:p>
    <w:p w14:paraId="70281D7A">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4.坚持政治引领，全面加强干部队伍建设</w:t>
      </w:r>
    </w:p>
    <w:p w14:paraId="5A65C113">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部门整体支出规模、使用方向和主要内容、涉及范围</w:t>
      </w:r>
      <w:r>
        <w:rPr>
          <w:rFonts w:hint="eastAsia" w:ascii="仿宋_GB2312" w:hAnsi="仿宋_GB2312" w:eastAsia="仿宋_GB2312" w:cs="仿宋_GB2312"/>
          <w:sz w:val="32"/>
          <w:szCs w:val="32"/>
        </w:rPr>
        <w:t>。</w:t>
      </w:r>
    </w:p>
    <w:p w14:paraId="1CD8BEA4">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w:t>
      </w: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年度</w:t>
      </w:r>
      <w:r>
        <w:rPr>
          <w:rFonts w:hint="eastAsia" w:ascii="仿宋_GB2312" w:hAnsi="仿宋_GB2312" w:cs="仿宋_GB2312"/>
          <w:kern w:val="2"/>
          <w:sz w:val="32"/>
          <w:szCs w:val="32"/>
          <w:lang w:val="en-US" w:eastAsia="zh-CN" w:bidi="ar-SA"/>
        </w:rPr>
        <w:t>支出</w:t>
      </w:r>
      <w:r>
        <w:rPr>
          <w:rFonts w:hint="eastAsia" w:ascii="仿宋_GB2312" w:hAnsi="仿宋_GB2312" w:eastAsia="仿宋_GB2312" w:cs="仿宋_GB2312"/>
          <w:kern w:val="2"/>
          <w:sz w:val="32"/>
          <w:szCs w:val="32"/>
          <w:lang w:val="en-US" w:eastAsia="zh-CN" w:bidi="ar-SA"/>
        </w:rPr>
        <w:t>总额</w:t>
      </w:r>
      <w:r>
        <w:rPr>
          <w:rFonts w:hint="eastAsia" w:ascii="仿宋_GB2312" w:hAnsi="仿宋_GB2312" w:cs="仿宋_GB2312"/>
          <w:kern w:val="2"/>
          <w:sz w:val="32"/>
          <w:szCs w:val="32"/>
          <w:lang w:val="en-US" w:eastAsia="zh-CN" w:bidi="ar-SA"/>
        </w:rPr>
        <w:t>233.44</w:t>
      </w:r>
      <w:r>
        <w:rPr>
          <w:rFonts w:hint="eastAsia" w:ascii="仿宋_GB2312" w:hAnsi="仿宋_GB2312" w:eastAsia="仿宋_GB2312" w:cs="仿宋_GB2312"/>
          <w:kern w:val="2"/>
          <w:sz w:val="32"/>
          <w:szCs w:val="32"/>
          <w:lang w:val="en-US" w:eastAsia="zh-CN" w:bidi="ar-SA"/>
        </w:rPr>
        <w:t>万元，其中，财政拨款收入</w:t>
      </w:r>
      <w:r>
        <w:rPr>
          <w:rFonts w:hint="eastAsia" w:ascii="仿宋_GB2312" w:hAnsi="仿宋_GB2312" w:cs="仿宋_GB2312"/>
          <w:kern w:val="2"/>
          <w:sz w:val="32"/>
          <w:szCs w:val="32"/>
          <w:lang w:val="en-US" w:eastAsia="zh-CN" w:bidi="ar-SA"/>
        </w:rPr>
        <w:t>233.44</w:t>
      </w:r>
      <w:r>
        <w:rPr>
          <w:rFonts w:hint="eastAsia" w:ascii="仿宋_GB2312" w:hAnsi="仿宋_GB2312" w:eastAsia="仿宋_GB2312" w:cs="仿宋_GB2312"/>
          <w:kern w:val="2"/>
          <w:sz w:val="32"/>
          <w:szCs w:val="32"/>
          <w:lang w:val="en-US" w:eastAsia="zh-CN" w:bidi="ar-SA"/>
        </w:rPr>
        <w:t>万元,其他收入</w:t>
      </w:r>
      <w:r>
        <w:rPr>
          <w:rFonts w:hint="eastAsia" w:ascii="仿宋_GB2312" w:hAnsi="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万元，按支出性质区分，</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kern w:val="2"/>
          <w:sz w:val="32"/>
          <w:szCs w:val="32"/>
          <w:lang w:val="en-US" w:eastAsia="zh-CN" w:bidi="ar-SA"/>
        </w:rPr>
        <w:t>，基本支出</w:t>
      </w:r>
      <w:r>
        <w:rPr>
          <w:rFonts w:hint="eastAsia" w:ascii="仿宋_GB2312" w:hAnsi="仿宋_GB2312" w:cs="仿宋_GB2312"/>
          <w:kern w:val="2"/>
          <w:sz w:val="32"/>
          <w:szCs w:val="32"/>
          <w:lang w:val="en-US" w:eastAsia="zh-CN" w:bidi="ar-SA"/>
        </w:rPr>
        <w:t>188.85</w:t>
      </w:r>
      <w:r>
        <w:rPr>
          <w:rFonts w:hint="eastAsia" w:ascii="仿宋_GB2312" w:hAnsi="仿宋_GB2312" w:eastAsia="仿宋_GB2312" w:cs="仿宋_GB2312"/>
          <w:kern w:val="2"/>
          <w:sz w:val="32"/>
          <w:szCs w:val="32"/>
          <w:lang w:val="en-US" w:eastAsia="zh-CN" w:bidi="ar-SA"/>
        </w:rPr>
        <w:t>万元 ，项目支出</w:t>
      </w:r>
      <w:r>
        <w:rPr>
          <w:rFonts w:hint="eastAsia" w:ascii="仿宋_GB2312" w:hAnsi="仿宋_GB2312" w:cs="仿宋_GB2312"/>
          <w:kern w:val="2"/>
          <w:sz w:val="32"/>
          <w:szCs w:val="32"/>
          <w:lang w:val="en-US" w:eastAsia="zh-CN" w:bidi="ar-SA"/>
        </w:rPr>
        <w:t>54.59</w:t>
      </w:r>
      <w:r>
        <w:rPr>
          <w:rFonts w:hint="eastAsia" w:ascii="仿宋_GB2312" w:hAnsi="仿宋_GB2312" w:eastAsia="仿宋_GB2312" w:cs="仿宋_GB2312"/>
          <w:kern w:val="2"/>
          <w:sz w:val="32"/>
          <w:szCs w:val="32"/>
          <w:lang w:val="en-US" w:eastAsia="zh-CN" w:bidi="ar-SA"/>
        </w:rPr>
        <w:t>万元。</w:t>
      </w:r>
    </w:p>
    <w:p w14:paraId="0608C2C9">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内容和涉及范围：人员经费包括基本工资、津贴补贴、奖金、机关事业单位基本养老保险缴费、职工医疗保险缴费、其他社会保障缴费、住房公积金等；日常公用经费包括办公费、邮电费、差旅费、租赁费、培训费、公务接待费、劳务费、工会</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kern w:val="2"/>
          <w:sz w:val="32"/>
          <w:szCs w:val="32"/>
          <w:lang w:val="en-US" w:eastAsia="zh-CN" w:bidi="ar-SA"/>
        </w:rPr>
        <w:t>、福利费、其他交通费用、其他商品和服务支出等；项目支出主要包括其他对个人和家庭的补助支出、办公费、印刷费、电费、邮电费、差旅费、维修（护）费、租赁费、会议费、培训费、公务接待费、劳务费、委托业务费、其他交通费。涉及人员经费、保障基本运转、</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kern w:val="2"/>
          <w:sz w:val="32"/>
          <w:szCs w:val="32"/>
          <w:lang w:val="en-US" w:eastAsia="zh-CN" w:bidi="ar-SA"/>
        </w:rPr>
        <w:t>各项专项业务工作、精准扶贫、乡村振兴、党建所发生的全部支出。</w:t>
      </w:r>
    </w:p>
    <w:p w14:paraId="45B060DD">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Chars="200" w:right="0" w:rightChars="0" w:firstLine="654"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（三）绩效目标设立情况</w:t>
      </w:r>
    </w:p>
    <w:p w14:paraId="1313FDBF">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1.预算配置</w:t>
      </w:r>
      <w:r>
        <w:rPr>
          <w:rFonts w:hint="eastAsia" w:ascii="仿宋_GB2312" w:hAnsi="仿宋_GB2312" w:eastAsia="仿宋_GB2312" w:cs="仿宋_GB2312"/>
          <w:sz w:val="32"/>
          <w:szCs w:val="32"/>
          <w:lang w:val="en-US" w:eastAsia="zh-CN"/>
        </w:rPr>
        <w:t>科学</w:t>
      </w:r>
      <w:r>
        <w:rPr>
          <w:rFonts w:hint="eastAsia" w:ascii="仿宋_GB2312" w:hAnsi="仿宋_GB2312" w:eastAsia="仿宋_GB2312" w:cs="仿宋_GB2312"/>
          <w:kern w:val="2"/>
          <w:sz w:val="32"/>
          <w:szCs w:val="32"/>
          <w:lang w:val="en-US" w:eastAsia="zh-CN" w:bidi="ar-SA"/>
        </w:rPr>
        <w:t>：预算编制科学，基本支出足额保障，确保重点支出安排，严控“三公经费”支出；</w:t>
      </w:r>
    </w:p>
    <w:p w14:paraId="0919329C">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2.预算执行</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kern w:val="2"/>
          <w:sz w:val="32"/>
          <w:szCs w:val="32"/>
          <w:lang w:val="en-US" w:eastAsia="zh-CN" w:bidi="ar-SA"/>
        </w:rPr>
        <w:t>：严格预算执行，严控结转结余，项目组织良好，“三公经费”节支增效；</w:t>
      </w:r>
    </w:p>
    <w:p w14:paraId="74B117A8">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3.预算管理</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kern w:val="2"/>
          <w:sz w:val="32"/>
          <w:szCs w:val="32"/>
          <w:lang w:val="en-US" w:eastAsia="zh-CN" w:bidi="ar-SA"/>
        </w:rPr>
        <w:t>：管理制度健全，信息公开及时完整;</w:t>
      </w:r>
    </w:p>
    <w:p w14:paraId="50A2A224">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4.资产管理：</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kern w:val="2"/>
          <w:sz w:val="32"/>
          <w:szCs w:val="32"/>
          <w:lang w:val="en-US" w:eastAsia="zh-CN" w:bidi="ar-SA"/>
        </w:rPr>
        <w:t>制度健全，国有资产得到有效使用;</w:t>
      </w:r>
    </w:p>
    <w:p w14:paraId="1C7BAF03">
      <w:pPr>
        <w:pStyle w:val="4"/>
        <w:shd w:val="clear" w:color="auto" w:fill="FFFFFF"/>
        <w:spacing w:before="0" w:beforeAutospacing="0" w:after="0" w:afterAutospacing="0" w:line="480" w:lineRule="auto"/>
        <w:ind w:firstLine="654" w:firstLineChars="200"/>
        <w:rPr>
          <w:rFonts w:hint="eastAsia" w:ascii="仿宋_GB2312" w:hAnsi="宋体" w:eastAsia="仿宋_GB2312"/>
          <w:color w:val="000000"/>
          <w:sz w:val="32"/>
          <w:szCs w:val="32"/>
        </w:rPr>
      </w:pPr>
      <w:r>
        <w:rPr>
          <w:rFonts w:hint="eastAsia" w:ascii="仿宋_GB2312"/>
          <w:color w:val="000000"/>
          <w:sz w:val="32"/>
          <w:szCs w:val="32"/>
          <w:lang w:val="en-US" w:eastAsia="zh-CN"/>
        </w:rPr>
        <w:t>5.</w:t>
      </w:r>
      <w:r>
        <w:rPr>
          <w:rFonts w:hint="eastAsia" w:ascii="仿宋_GB2312" w:hAnsi="宋体" w:eastAsia="仿宋_GB2312"/>
          <w:color w:val="000000"/>
          <w:sz w:val="32"/>
          <w:szCs w:val="32"/>
          <w:lang w:eastAsia="zh-CN"/>
        </w:rPr>
        <w:t>完成本年度统一社会信用代码证赋码工作</w:t>
      </w:r>
      <w:r>
        <w:rPr>
          <w:rFonts w:hint="eastAsia" w:ascii="仿宋_GB2312" w:hAnsi="宋体" w:eastAsia="仿宋_GB2312"/>
          <w:color w:val="000000"/>
          <w:sz w:val="32"/>
          <w:szCs w:val="32"/>
        </w:rPr>
        <w:t>；</w:t>
      </w:r>
    </w:p>
    <w:p w14:paraId="7E3BCEC4">
      <w:pPr>
        <w:pStyle w:val="4"/>
        <w:shd w:val="clear" w:color="auto" w:fill="FFFFFF"/>
        <w:spacing w:before="0" w:beforeAutospacing="0" w:after="0" w:afterAutospacing="0" w:line="480" w:lineRule="auto"/>
        <w:ind w:firstLine="654" w:firstLineChars="200"/>
        <w:rPr>
          <w:rFonts w:hint="eastAsia" w:ascii="仿宋_GB2312" w:hAnsi="宋体" w:eastAsia="仿宋_GB2312"/>
          <w:color w:val="000000"/>
          <w:sz w:val="32"/>
          <w:szCs w:val="32"/>
        </w:rPr>
      </w:pPr>
      <w:r>
        <w:rPr>
          <w:rFonts w:hint="eastAsia" w:ascii="仿宋_GB2312"/>
          <w:color w:val="000000"/>
          <w:sz w:val="32"/>
          <w:szCs w:val="32"/>
          <w:lang w:val="en-US" w:eastAsia="zh-CN"/>
        </w:rPr>
        <w:t>6.</w:t>
      </w:r>
      <w:r>
        <w:rPr>
          <w:rFonts w:hint="eastAsia" w:ascii="仿宋_GB2312" w:hAnsi="宋体" w:eastAsia="仿宋_GB2312"/>
          <w:color w:val="000000"/>
          <w:sz w:val="32"/>
          <w:szCs w:val="32"/>
          <w:lang w:eastAsia="zh-CN"/>
        </w:rPr>
        <w:t>完成本年度事业单位登记管理工作</w:t>
      </w:r>
      <w:r>
        <w:rPr>
          <w:rFonts w:hint="eastAsia" w:ascii="仿宋_GB2312" w:hAnsi="宋体" w:eastAsia="仿宋_GB2312"/>
          <w:color w:val="000000"/>
          <w:sz w:val="32"/>
          <w:szCs w:val="32"/>
        </w:rPr>
        <w:t>；</w:t>
      </w:r>
    </w:p>
    <w:p w14:paraId="73D29411">
      <w:pPr>
        <w:pStyle w:val="4"/>
        <w:shd w:val="clear" w:color="auto" w:fill="FFFFFF"/>
        <w:spacing w:before="0" w:beforeAutospacing="0" w:after="0" w:afterAutospacing="0" w:line="480" w:lineRule="auto"/>
        <w:ind w:firstLine="654" w:firstLineChars="200"/>
        <w:rPr>
          <w:rFonts w:hint="eastAsia" w:ascii="仿宋_GB2312" w:hAnsi="宋体" w:eastAsia="仿宋_GB2312"/>
          <w:color w:val="000000"/>
          <w:sz w:val="32"/>
          <w:szCs w:val="32"/>
          <w:lang w:eastAsia="zh-CN"/>
        </w:rPr>
      </w:pPr>
      <w:r>
        <w:rPr>
          <w:rFonts w:hint="eastAsia" w:ascii="仿宋_GB2312"/>
          <w:color w:val="000000"/>
          <w:sz w:val="32"/>
          <w:szCs w:val="32"/>
          <w:lang w:val="en-US" w:eastAsia="zh-CN"/>
        </w:rPr>
        <w:t>7.</w:t>
      </w:r>
      <w:r>
        <w:rPr>
          <w:rFonts w:hint="eastAsia" w:ascii="仿宋_GB2312" w:hAnsi="宋体" w:eastAsia="仿宋_GB2312"/>
          <w:color w:val="000000"/>
          <w:sz w:val="32"/>
          <w:szCs w:val="32"/>
          <w:lang w:eastAsia="zh-CN"/>
        </w:rPr>
        <w:t>完成本年度机构编制综合管理平台建设维护工作；</w:t>
      </w:r>
    </w:p>
    <w:p w14:paraId="190C51D1">
      <w:pPr>
        <w:pStyle w:val="4"/>
        <w:shd w:val="clear" w:color="auto" w:fill="FFFFFF"/>
        <w:spacing w:before="0" w:beforeAutospacing="0" w:after="0" w:afterAutospacing="0" w:line="480" w:lineRule="auto"/>
        <w:ind w:firstLine="654" w:firstLineChars="200"/>
        <w:rPr>
          <w:rFonts w:hint="eastAsia" w:ascii="仿宋_GB2312" w:hAnsi="宋体" w:eastAsia="仿宋_GB2312"/>
          <w:color w:val="000000"/>
          <w:sz w:val="32"/>
          <w:szCs w:val="32"/>
          <w:lang w:eastAsia="zh-CN"/>
        </w:rPr>
      </w:pPr>
      <w:r>
        <w:rPr>
          <w:rFonts w:hint="eastAsia" w:ascii="仿宋_GB2312"/>
          <w:color w:val="000000"/>
          <w:sz w:val="32"/>
          <w:szCs w:val="32"/>
          <w:lang w:val="en-US" w:eastAsia="zh-CN"/>
        </w:rPr>
        <w:t>8.</w:t>
      </w:r>
      <w:r>
        <w:rPr>
          <w:rFonts w:hint="eastAsia" w:ascii="仿宋_GB2312" w:hAnsi="宋体" w:eastAsia="仿宋_GB2312"/>
          <w:color w:val="000000"/>
          <w:sz w:val="32"/>
          <w:szCs w:val="32"/>
          <w:lang w:eastAsia="zh-CN"/>
        </w:rPr>
        <w:t>完成本年度议事协调机构和临时机构管理工作；</w:t>
      </w:r>
    </w:p>
    <w:p w14:paraId="113C0E74">
      <w:pPr>
        <w:pStyle w:val="4"/>
        <w:shd w:val="clear" w:color="auto" w:fill="FFFFFF"/>
        <w:spacing w:before="0" w:beforeAutospacing="0" w:after="0" w:afterAutospacing="0" w:line="480" w:lineRule="auto"/>
        <w:ind w:firstLine="654" w:firstLineChars="200"/>
        <w:rPr>
          <w:rFonts w:hint="eastAsia" w:ascii="仿宋_GB2312" w:hAnsi="宋体" w:eastAsia="仿宋_GB2312"/>
          <w:color w:val="000000"/>
          <w:sz w:val="32"/>
          <w:szCs w:val="32"/>
          <w:lang w:val="en-US" w:eastAsia="zh-CN"/>
        </w:rPr>
      </w:pPr>
      <w:r>
        <w:rPr>
          <w:rFonts w:hint="eastAsia" w:ascii="仿宋_GB2312"/>
          <w:color w:val="000000"/>
          <w:sz w:val="32"/>
          <w:szCs w:val="32"/>
          <w:lang w:val="en-US" w:eastAsia="zh-CN"/>
        </w:rPr>
        <w:t>9.</w:t>
      </w:r>
      <w:r>
        <w:rPr>
          <w:rFonts w:hint="eastAsia" w:ascii="仿宋_GB2312" w:hAnsi="宋体" w:eastAsia="仿宋_GB2312"/>
          <w:color w:val="000000"/>
          <w:sz w:val="32"/>
          <w:szCs w:val="32"/>
          <w:lang w:val="en-US" w:eastAsia="zh-CN"/>
        </w:rPr>
        <w:t>完成本年度中文域名注册工作；</w:t>
      </w:r>
    </w:p>
    <w:p w14:paraId="478C59E3">
      <w:pPr>
        <w:pStyle w:val="4"/>
        <w:shd w:val="clear" w:color="auto" w:fill="FFFFFF"/>
        <w:spacing w:before="0" w:beforeAutospacing="0" w:after="0" w:afterAutospacing="0" w:line="480" w:lineRule="auto"/>
        <w:ind w:firstLine="654" w:firstLineChars="200"/>
        <w:rPr>
          <w:rFonts w:hint="eastAsia" w:ascii="仿宋_GB2312" w:hAnsi="宋体" w:eastAsia="仿宋_GB2312"/>
          <w:color w:val="000000"/>
          <w:sz w:val="32"/>
          <w:szCs w:val="32"/>
          <w:lang w:val="en-US" w:eastAsia="zh-CN"/>
        </w:rPr>
      </w:pPr>
      <w:r>
        <w:rPr>
          <w:rFonts w:hint="eastAsia" w:ascii="仿宋_GB2312"/>
          <w:color w:val="000000"/>
          <w:sz w:val="32"/>
          <w:szCs w:val="32"/>
          <w:lang w:val="en-US" w:eastAsia="zh-CN"/>
        </w:rPr>
        <w:t>10.</w:t>
      </w:r>
      <w:r>
        <w:rPr>
          <w:rFonts w:hint="eastAsia" w:ascii="仿宋_GB2312" w:hAnsi="宋体" w:eastAsia="仿宋_GB2312"/>
          <w:color w:val="000000"/>
          <w:sz w:val="32"/>
          <w:szCs w:val="32"/>
          <w:lang w:val="en-US" w:eastAsia="zh-CN"/>
        </w:rPr>
        <w:t>完成本年度大编委相关工作。</w:t>
      </w:r>
    </w:p>
    <w:p w14:paraId="2D187C09">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p>
    <w:p w14:paraId="7A375C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二、部门整体支出管理及使用情况分析</w:t>
      </w:r>
    </w:p>
    <w:p w14:paraId="312E00CA">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（一）基本支出</w:t>
      </w:r>
    </w:p>
    <w:p w14:paraId="5F04BE66">
      <w:pPr>
        <w:pStyle w:val="4"/>
        <w:shd w:val="clear" w:color="auto" w:fill="FFFFFF"/>
        <w:spacing w:before="0" w:beforeAutospacing="0" w:after="0" w:afterAutospacing="0" w:line="480" w:lineRule="auto"/>
        <w:ind w:firstLine="48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202</w:t>
      </w:r>
      <w:r>
        <w:rPr>
          <w:rFonts w:hint="eastAsia" w:ascii="仿宋_GB2312"/>
          <w:color w:val="000000"/>
          <w:sz w:val="32"/>
          <w:szCs w:val="32"/>
          <w:lang w:val="en-US" w:eastAsia="zh-CN"/>
        </w:rPr>
        <w:t>2</w:t>
      </w:r>
      <w:r>
        <w:rPr>
          <w:rFonts w:hint="eastAsia" w:ascii="仿宋_GB2312" w:hAnsi="宋体" w:eastAsia="仿宋_GB2312"/>
          <w:color w:val="000000"/>
          <w:sz w:val="32"/>
          <w:szCs w:val="32"/>
          <w:lang w:val="en-US" w:eastAsia="zh-CN"/>
        </w:rPr>
        <w:t>年我办基本支出</w:t>
      </w:r>
      <w:r>
        <w:rPr>
          <w:rFonts w:hint="eastAsia" w:ascii="仿宋_GB2312"/>
          <w:color w:val="000000"/>
          <w:sz w:val="32"/>
          <w:szCs w:val="32"/>
          <w:lang w:val="en-US" w:eastAsia="zh-CN"/>
        </w:rPr>
        <w:t>188.85</w:t>
      </w:r>
      <w:r>
        <w:rPr>
          <w:rFonts w:hint="eastAsia" w:ascii="仿宋_GB2312" w:hAnsi="宋体" w:eastAsia="仿宋_GB2312"/>
          <w:color w:val="000000"/>
          <w:sz w:val="32"/>
          <w:szCs w:val="32"/>
          <w:lang w:val="en-US" w:eastAsia="zh-CN"/>
        </w:rPr>
        <w:t>万元，其中工资福利支出</w:t>
      </w:r>
      <w:r>
        <w:rPr>
          <w:rFonts w:hint="eastAsia" w:ascii="仿宋_GB2312"/>
          <w:color w:val="000000"/>
          <w:sz w:val="32"/>
          <w:szCs w:val="32"/>
          <w:lang w:val="en-US" w:eastAsia="zh-CN"/>
        </w:rPr>
        <w:t>154.96</w:t>
      </w:r>
      <w:r>
        <w:rPr>
          <w:rFonts w:hint="eastAsia" w:ascii="仿宋_GB2312" w:hAnsi="宋体" w:eastAsia="仿宋_GB2312"/>
          <w:color w:val="000000"/>
          <w:sz w:val="32"/>
          <w:szCs w:val="32"/>
          <w:lang w:val="en-US" w:eastAsia="zh-CN"/>
        </w:rPr>
        <w:t>万元、商品和服务支出</w:t>
      </w:r>
      <w:r>
        <w:rPr>
          <w:rFonts w:hint="eastAsia" w:ascii="仿宋_GB2312"/>
          <w:color w:val="000000"/>
          <w:sz w:val="32"/>
          <w:szCs w:val="32"/>
          <w:lang w:val="en-US" w:eastAsia="zh-CN"/>
        </w:rPr>
        <w:t>31.43</w:t>
      </w:r>
      <w:r>
        <w:rPr>
          <w:rFonts w:hint="eastAsia" w:ascii="仿宋_GB2312" w:hAnsi="宋体" w:eastAsia="仿宋_GB2312"/>
          <w:color w:val="000000"/>
          <w:sz w:val="32"/>
          <w:szCs w:val="32"/>
          <w:lang w:val="en-US" w:eastAsia="zh-CN"/>
        </w:rPr>
        <w:t>万元、对个人和家庭补助</w:t>
      </w:r>
      <w:r>
        <w:rPr>
          <w:rFonts w:hint="eastAsia" w:ascii="仿宋_GB2312"/>
          <w:color w:val="000000"/>
          <w:sz w:val="32"/>
          <w:szCs w:val="32"/>
          <w:lang w:val="en-US" w:eastAsia="zh-CN"/>
        </w:rPr>
        <w:t>1.53</w:t>
      </w:r>
      <w:r>
        <w:rPr>
          <w:rFonts w:hint="eastAsia" w:ascii="仿宋_GB2312" w:hAnsi="宋体" w:eastAsia="仿宋_GB2312"/>
          <w:color w:val="000000"/>
          <w:sz w:val="32"/>
          <w:szCs w:val="32"/>
          <w:lang w:val="en-US" w:eastAsia="zh-CN"/>
        </w:rPr>
        <w:t>万元</w:t>
      </w:r>
      <w:r>
        <w:rPr>
          <w:rFonts w:hint="eastAsia" w:ascii="仿宋_GB2312"/>
          <w:color w:val="000000"/>
          <w:sz w:val="32"/>
          <w:szCs w:val="32"/>
          <w:lang w:val="en-US" w:eastAsia="zh-CN"/>
        </w:rPr>
        <w:t>、资本性支出0.93万元</w:t>
      </w:r>
      <w:r>
        <w:rPr>
          <w:rFonts w:hint="eastAsia" w:ascii="仿宋_GB2312" w:hAnsi="宋体" w:eastAsia="仿宋_GB2312"/>
          <w:color w:val="000000"/>
          <w:sz w:val="32"/>
          <w:szCs w:val="32"/>
          <w:lang w:val="en-US" w:eastAsia="zh-CN"/>
        </w:rPr>
        <w:t>。</w:t>
      </w:r>
    </w:p>
    <w:p w14:paraId="755D3515">
      <w:pPr>
        <w:pStyle w:val="4"/>
        <w:shd w:val="clear" w:color="auto" w:fill="FFFFFF"/>
        <w:spacing w:before="0" w:beforeAutospacing="0" w:after="0" w:afterAutospacing="0" w:line="480" w:lineRule="auto"/>
        <w:ind w:firstLine="480"/>
        <w:rPr>
          <w:rFonts w:hint="eastAsia" w:eastAsia="楷体_GB2312"/>
          <w:kern w:val="0"/>
          <w:szCs w:val="32"/>
          <w:lang w:val="en-US" w:eastAsia="zh-CN"/>
        </w:rPr>
      </w:pPr>
      <w:r>
        <w:rPr>
          <w:rFonts w:hint="eastAsia" w:ascii="仿宋_GB2312" w:hAnsi="宋体" w:eastAsia="仿宋_GB2312"/>
          <w:color w:val="000000"/>
          <w:sz w:val="32"/>
          <w:szCs w:val="32"/>
        </w:rPr>
        <w:t>“三公经费”控制情况：贯彻落实上级有关精神，严格控制“三公经费”支出，取得了良好效果。年度“三公经费”</w:t>
      </w:r>
      <w:r>
        <w:rPr>
          <w:rFonts w:hint="eastAsia" w:ascii="仿宋_GB2312"/>
          <w:color w:val="000000"/>
          <w:sz w:val="32"/>
          <w:szCs w:val="32"/>
          <w:lang w:val="en-US" w:eastAsia="zh-CN"/>
        </w:rPr>
        <w:t>2.97</w:t>
      </w:r>
      <w:r>
        <w:rPr>
          <w:rFonts w:hint="eastAsia" w:ascii="仿宋_GB2312" w:hAnsi="宋体" w:eastAsia="仿宋_GB2312"/>
          <w:color w:val="000000"/>
          <w:sz w:val="32"/>
          <w:szCs w:val="32"/>
        </w:rPr>
        <w:t>万元，其中：公务接待费</w:t>
      </w:r>
      <w:r>
        <w:rPr>
          <w:rFonts w:hint="eastAsia" w:ascii="仿宋_GB2312"/>
          <w:color w:val="000000"/>
          <w:sz w:val="32"/>
          <w:szCs w:val="32"/>
          <w:lang w:val="en-US" w:eastAsia="zh-CN"/>
        </w:rPr>
        <w:t>2.97</w:t>
      </w:r>
      <w:r>
        <w:rPr>
          <w:rFonts w:hint="eastAsia" w:ascii="仿宋_GB2312" w:hAnsi="宋体" w:eastAsia="仿宋_GB2312"/>
          <w:color w:val="000000"/>
          <w:sz w:val="32"/>
          <w:szCs w:val="32"/>
        </w:rPr>
        <w:t>万元。同时，按按照上级的要求，在在政府网站和财政局的网站上对“三公”经费情况进行了公示。</w:t>
      </w:r>
    </w:p>
    <w:p w14:paraId="4F40E407">
      <w:pPr>
        <w:widowControl/>
        <w:tabs>
          <w:tab w:val="left" w:pos="3396"/>
        </w:tabs>
        <w:spacing w:line="594" w:lineRule="exact"/>
        <w:ind w:firstLine="654" w:firstLineChars="200"/>
        <w:rPr>
          <w:rFonts w:eastAsia="楷体_GB2312"/>
          <w:kern w:val="0"/>
          <w:szCs w:val="32"/>
        </w:rPr>
      </w:pPr>
      <w:r>
        <w:rPr>
          <w:rFonts w:eastAsia="楷体_GB2312"/>
          <w:kern w:val="0"/>
          <w:szCs w:val="32"/>
        </w:rPr>
        <w:t>（二）项目支出</w:t>
      </w:r>
      <w:r>
        <w:rPr>
          <w:rFonts w:eastAsia="楷体_GB2312"/>
          <w:kern w:val="0"/>
          <w:szCs w:val="32"/>
        </w:rPr>
        <w:tab/>
      </w:r>
    </w:p>
    <w:p w14:paraId="5F043579">
      <w:pPr>
        <w:pStyle w:val="4"/>
        <w:shd w:val="clear" w:color="auto" w:fill="FFFFFF"/>
        <w:spacing w:before="0" w:beforeAutospacing="0" w:after="0" w:afterAutospacing="0" w:line="480" w:lineRule="auto"/>
        <w:ind w:firstLine="480"/>
        <w:rPr>
          <w:rFonts w:hint="eastAsia" w:ascii="仿宋_GB2312"/>
          <w:color w:val="000000"/>
          <w:sz w:val="32"/>
          <w:szCs w:val="32"/>
          <w:lang w:val="en-US" w:eastAsia="zh-CN"/>
        </w:rPr>
      </w:pPr>
      <w:r>
        <w:rPr>
          <w:rFonts w:hint="eastAsia" w:ascii="仿宋_GB2312" w:hAnsi="宋体" w:eastAsia="仿宋_GB2312"/>
          <w:color w:val="000000"/>
          <w:sz w:val="32"/>
          <w:szCs w:val="32"/>
          <w:lang w:val="en-US" w:eastAsia="zh-CN"/>
        </w:rPr>
        <w:t>202</w:t>
      </w:r>
      <w:r>
        <w:rPr>
          <w:rFonts w:hint="eastAsia" w:ascii="仿宋_GB2312"/>
          <w:color w:val="000000"/>
          <w:sz w:val="32"/>
          <w:szCs w:val="32"/>
          <w:lang w:val="en-US" w:eastAsia="zh-CN"/>
        </w:rPr>
        <w:t>2</w:t>
      </w:r>
      <w:r>
        <w:rPr>
          <w:rFonts w:hint="eastAsia" w:ascii="仿宋_GB2312" w:hAnsi="宋体" w:eastAsia="仿宋_GB2312"/>
          <w:color w:val="000000"/>
          <w:sz w:val="32"/>
          <w:szCs w:val="32"/>
          <w:lang w:val="en-US" w:eastAsia="zh-CN"/>
        </w:rPr>
        <w:t>年项目支出58万元，其中离退休干部公用经费0.</w:t>
      </w:r>
      <w:r>
        <w:rPr>
          <w:rFonts w:hint="eastAsia" w:ascii="仿宋_GB2312"/>
          <w:color w:val="000000"/>
          <w:sz w:val="32"/>
          <w:szCs w:val="32"/>
          <w:lang w:val="en-US" w:eastAsia="zh-CN"/>
        </w:rPr>
        <w:t>2</w:t>
      </w:r>
      <w:r>
        <w:rPr>
          <w:rFonts w:hint="eastAsia" w:ascii="仿宋_GB2312" w:hAnsi="宋体" w:eastAsia="仿宋_GB2312"/>
          <w:color w:val="000000"/>
          <w:sz w:val="32"/>
          <w:szCs w:val="32"/>
          <w:lang w:val="en-US" w:eastAsia="zh-CN"/>
        </w:rPr>
        <w:t>万元、</w:t>
      </w:r>
      <w:r>
        <w:rPr>
          <w:rFonts w:hint="eastAsia" w:ascii="仿宋_GB2312" w:hAnsi="宋体" w:eastAsia="仿宋_GB2312"/>
          <w:color w:val="000000"/>
          <w:sz w:val="32"/>
          <w:szCs w:val="32"/>
        </w:rPr>
        <w:t>议事协调机构和临时机构管理费</w:t>
      </w:r>
      <w:r>
        <w:rPr>
          <w:rFonts w:hint="eastAsia" w:ascii="仿宋_GB2312" w:hAnsi="宋体" w:eastAsia="仿宋_GB2312"/>
          <w:color w:val="000000"/>
          <w:sz w:val="32"/>
          <w:szCs w:val="32"/>
          <w:lang w:val="en-US" w:eastAsia="zh-CN"/>
        </w:rPr>
        <w:t>5万元、</w:t>
      </w:r>
      <w:r>
        <w:rPr>
          <w:rFonts w:hint="eastAsia" w:ascii="仿宋_GB2312" w:hAnsi="宋体" w:eastAsia="仿宋_GB2312"/>
          <w:color w:val="000000"/>
          <w:sz w:val="32"/>
          <w:szCs w:val="32"/>
        </w:rPr>
        <w:t>大编委工作经费</w:t>
      </w:r>
      <w:r>
        <w:rPr>
          <w:rFonts w:hint="eastAsia" w:ascii="仿宋_GB2312" w:hAnsi="宋体" w:eastAsia="仿宋_GB2312"/>
          <w:color w:val="000000"/>
          <w:sz w:val="32"/>
          <w:szCs w:val="32"/>
          <w:lang w:val="en-US" w:eastAsia="zh-CN"/>
        </w:rPr>
        <w:t>4万元、</w:t>
      </w:r>
      <w:r>
        <w:rPr>
          <w:rFonts w:hint="eastAsia" w:ascii="仿宋_GB2312"/>
          <w:color w:val="000000"/>
          <w:sz w:val="32"/>
          <w:szCs w:val="32"/>
          <w:lang w:eastAsia="zh-CN"/>
        </w:rPr>
        <w:t>深化机构改革</w:t>
      </w:r>
      <w:r>
        <w:rPr>
          <w:rFonts w:hint="eastAsia" w:ascii="仿宋_GB2312" w:hAnsi="宋体" w:eastAsia="仿宋_GB2312"/>
          <w:color w:val="000000"/>
          <w:sz w:val="32"/>
          <w:szCs w:val="32"/>
        </w:rPr>
        <w:t>工作经费</w:t>
      </w:r>
      <w:r>
        <w:rPr>
          <w:rFonts w:hint="eastAsia" w:ascii="仿宋_GB2312" w:hAnsi="宋体" w:eastAsia="仿宋_GB2312"/>
          <w:color w:val="000000"/>
          <w:sz w:val="32"/>
          <w:szCs w:val="32"/>
          <w:lang w:val="en-US" w:eastAsia="zh-CN"/>
        </w:rPr>
        <w:t>10万元、</w:t>
      </w:r>
      <w:r>
        <w:rPr>
          <w:rFonts w:hint="eastAsia" w:ascii="仿宋_GB2312" w:hAnsi="宋体" w:eastAsia="仿宋_GB2312"/>
          <w:color w:val="000000"/>
          <w:sz w:val="32"/>
          <w:szCs w:val="32"/>
        </w:rPr>
        <w:t>事业单位登记管理和统一社会信用代码赋码工作经费</w:t>
      </w:r>
      <w:r>
        <w:rPr>
          <w:rFonts w:hint="eastAsia" w:ascii="仿宋_GB2312"/>
          <w:color w:val="000000"/>
          <w:sz w:val="32"/>
          <w:szCs w:val="32"/>
          <w:lang w:val="en-US" w:eastAsia="zh-CN"/>
        </w:rPr>
        <w:t>16.3</w:t>
      </w:r>
      <w:r>
        <w:rPr>
          <w:rFonts w:hint="eastAsia" w:ascii="仿宋_GB2312" w:hAnsi="宋体" w:eastAsia="仿宋_GB2312"/>
          <w:color w:val="000000"/>
          <w:sz w:val="32"/>
          <w:szCs w:val="32"/>
          <w:lang w:val="en-US" w:eastAsia="zh-CN"/>
        </w:rPr>
        <w:t>万元、</w:t>
      </w:r>
      <w:r>
        <w:rPr>
          <w:rFonts w:hint="eastAsia" w:ascii="仿宋_GB2312" w:hAnsi="宋体" w:eastAsia="仿宋_GB2312"/>
          <w:color w:val="000000"/>
          <w:sz w:val="32"/>
          <w:szCs w:val="32"/>
        </w:rPr>
        <w:t>机构编制综合管理平台建设维护费</w:t>
      </w:r>
      <w:r>
        <w:rPr>
          <w:rFonts w:hint="eastAsia" w:ascii="仿宋_GB2312" w:hAnsi="宋体" w:eastAsia="仿宋_GB2312"/>
          <w:color w:val="000000"/>
          <w:sz w:val="32"/>
          <w:szCs w:val="32"/>
          <w:lang w:val="en-US" w:eastAsia="zh-CN"/>
        </w:rPr>
        <w:t>5万元、</w:t>
      </w:r>
      <w:r>
        <w:rPr>
          <w:rFonts w:hint="eastAsia" w:ascii="仿宋_GB2312" w:hAnsi="宋体" w:eastAsia="仿宋_GB2312"/>
          <w:color w:val="000000"/>
          <w:sz w:val="32"/>
          <w:szCs w:val="32"/>
        </w:rPr>
        <w:t>中文域名注册专项经费</w:t>
      </w:r>
      <w:r>
        <w:rPr>
          <w:rFonts w:hint="eastAsia" w:ascii="仿宋_GB2312"/>
          <w:color w:val="000000"/>
          <w:sz w:val="32"/>
          <w:szCs w:val="32"/>
          <w:lang w:val="en-US" w:eastAsia="zh-CN"/>
        </w:rPr>
        <w:t>16</w:t>
      </w:r>
      <w:r>
        <w:rPr>
          <w:rFonts w:hint="eastAsia" w:ascii="仿宋_GB2312" w:hAnsi="宋体" w:eastAsia="仿宋_GB2312"/>
          <w:color w:val="000000"/>
          <w:sz w:val="32"/>
          <w:szCs w:val="32"/>
          <w:lang w:val="en-US" w:eastAsia="zh-CN"/>
        </w:rPr>
        <w:t>万元、</w:t>
      </w:r>
      <w:r>
        <w:rPr>
          <w:rFonts w:hint="eastAsia" w:ascii="仿宋_GB2312" w:hAnsi="宋体" w:eastAsia="仿宋_GB2312"/>
          <w:color w:val="000000"/>
          <w:sz w:val="32"/>
          <w:szCs w:val="32"/>
        </w:rPr>
        <w:t>党建经费</w:t>
      </w:r>
      <w:r>
        <w:rPr>
          <w:rFonts w:hint="eastAsia" w:ascii="仿宋_GB2312" w:hAnsi="宋体" w:eastAsia="仿宋_GB2312"/>
          <w:color w:val="000000"/>
          <w:sz w:val="32"/>
          <w:szCs w:val="32"/>
          <w:lang w:val="en-US" w:eastAsia="zh-CN"/>
        </w:rPr>
        <w:t>1.</w:t>
      </w:r>
      <w:r>
        <w:rPr>
          <w:rFonts w:hint="eastAsia" w:ascii="仿宋_GB2312"/>
          <w:color w:val="000000"/>
          <w:sz w:val="32"/>
          <w:szCs w:val="32"/>
          <w:lang w:val="en-US" w:eastAsia="zh-CN"/>
        </w:rPr>
        <w:t>5</w:t>
      </w:r>
      <w:r>
        <w:rPr>
          <w:rFonts w:hint="eastAsia" w:ascii="仿宋_GB2312" w:hAnsi="宋体" w:eastAsia="仿宋_GB2312"/>
          <w:color w:val="000000"/>
          <w:sz w:val="32"/>
          <w:szCs w:val="32"/>
          <w:lang w:val="en-US" w:eastAsia="zh-CN"/>
        </w:rPr>
        <w:t>万元</w:t>
      </w:r>
      <w:r>
        <w:rPr>
          <w:rFonts w:hint="eastAsia" w:ascii="仿宋_GB2312"/>
          <w:color w:val="000000"/>
          <w:sz w:val="32"/>
          <w:szCs w:val="32"/>
          <w:lang w:val="en-US" w:eastAsia="zh-CN"/>
        </w:rPr>
        <w:t>。</w:t>
      </w:r>
    </w:p>
    <w:p w14:paraId="040CF492">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3.项目资金管理情况分析 </w:t>
      </w:r>
    </w:p>
    <w:p w14:paraId="3F2273FB">
      <w:pPr>
        <w:keepNext w:val="0"/>
        <w:keepLines w:val="0"/>
        <w:pageBreakBefore w:val="0"/>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1F319B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三、项目组织实施情况分析</w:t>
      </w:r>
    </w:p>
    <w:p w14:paraId="039EBA94">
      <w:pPr>
        <w:spacing w:line="594" w:lineRule="exact"/>
        <w:ind w:firstLine="654" w:firstLineChars="200"/>
        <w:rPr>
          <w:rFonts w:hint="eastAsia" w:eastAsia="仿宋_GB2312"/>
          <w:kern w:val="0"/>
          <w:szCs w:val="32"/>
          <w:lang w:eastAsia="zh-CN"/>
        </w:rPr>
      </w:pPr>
      <w:r>
        <w:rPr>
          <w:kern w:val="0"/>
          <w:szCs w:val="32"/>
        </w:rPr>
        <w:t>（一）项目组织情况分析，主要包括项目招投标、调整、竣工验收等情况。</w:t>
      </w:r>
      <w:r>
        <w:rPr>
          <w:rFonts w:hint="eastAsia"/>
          <w:kern w:val="0"/>
          <w:szCs w:val="32"/>
          <w:lang w:eastAsia="zh-CN"/>
        </w:rPr>
        <w:t>部门项目资金主要是用于预防青少年违法犯罪工作经常性支出，开展青少年活动和机关基层党组织活动，开展希望工程工作，保障乡村振兴帮扶和驻村工作。由于本部门的专项资金不涉及经济发展项目，不属于招投标管理范围，故没进行项目的招投标。</w:t>
      </w:r>
    </w:p>
    <w:p w14:paraId="70D11F97">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Times New Roman" w:hAnsi="Times New Roman" w:eastAsia="仿宋_GB2312" w:cs="Times New Roman"/>
          <w:kern w:val="0"/>
          <w:sz w:val="32"/>
          <w:szCs w:val="32"/>
          <w:lang w:val="en-US" w:eastAsia="zh-CN" w:bidi="ar-SA"/>
        </w:rPr>
      </w:pPr>
      <w:r>
        <w:rPr>
          <w:rFonts w:ascii="Times New Roman" w:hAnsi="Times New Roman" w:eastAsia="仿宋_GB2312" w:cs="Times New Roman"/>
          <w:kern w:val="0"/>
          <w:sz w:val="32"/>
          <w:szCs w:val="32"/>
          <w:lang w:val="en-US" w:eastAsia="zh-CN" w:bidi="ar-SA"/>
        </w:rPr>
        <w:t>（二）项目管理情况分析，</w:t>
      </w:r>
      <w:r>
        <w:rPr>
          <w:rFonts w:hint="eastAsia" w:ascii="仿宋_GB2312" w:hAnsi="宋体" w:eastAsia="仿宋_GB2312"/>
          <w:color w:val="000000"/>
          <w:sz w:val="32"/>
          <w:szCs w:val="32"/>
        </w:rPr>
        <w:t>近年来，</w:t>
      </w:r>
      <w:r>
        <w:rPr>
          <w:rFonts w:hint="eastAsia" w:ascii="仿宋_GB2312" w:eastAsia="仿宋_GB2312"/>
          <w:color w:val="000000"/>
          <w:sz w:val="32"/>
          <w:szCs w:val="32"/>
          <w:lang w:eastAsia="zh-CN"/>
        </w:rPr>
        <w:t>我办</w:t>
      </w:r>
      <w:r>
        <w:rPr>
          <w:rFonts w:hint="eastAsia" w:ascii="仿宋_GB2312" w:hAnsi="宋体" w:eastAsia="仿宋_GB2312"/>
          <w:color w:val="000000"/>
          <w:sz w:val="32"/>
          <w:szCs w:val="32"/>
        </w:rPr>
        <w:t>制定完善了《</w:t>
      </w:r>
      <w:r>
        <w:rPr>
          <w:rFonts w:hint="eastAsia" w:ascii="仿宋_GB2312"/>
          <w:color w:val="000000"/>
          <w:sz w:val="32"/>
          <w:szCs w:val="32"/>
          <w:lang w:eastAsia="zh-CN"/>
        </w:rPr>
        <w:t>中共安化县委</w:t>
      </w:r>
      <w:r>
        <w:rPr>
          <w:rFonts w:hint="eastAsia" w:ascii="仿宋_GB2312" w:eastAsia="仿宋_GB2312"/>
          <w:color w:val="000000"/>
          <w:sz w:val="32"/>
          <w:szCs w:val="32"/>
          <w:lang w:eastAsia="zh-CN"/>
        </w:rPr>
        <w:t>编办</w:t>
      </w:r>
      <w:r>
        <w:rPr>
          <w:rFonts w:hint="eastAsia" w:ascii="仿宋_GB2312" w:hAnsi="宋体" w:eastAsia="仿宋_GB2312"/>
          <w:color w:val="000000"/>
          <w:sz w:val="32"/>
          <w:szCs w:val="32"/>
        </w:rPr>
        <w:t>财务管理制度》、《</w:t>
      </w:r>
      <w:r>
        <w:rPr>
          <w:rFonts w:hint="eastAsia" w:ascii="仿宋_GB2312"/>
          <w:color w:val="000000"/>
          <w:sz w:val="32"/>
          <w:szCs w:val="32"/>
          <w:lang w:eastAsia="zh-CN"/>
        </w:rPr>
        <w:t>中共安化县委</w:t>
      </w:r>
      <w:r>
        <w:rPr>
          <w:rFonts w:hint="eastAsia" w:ascii="仿宋_GB2312" w:eastAsia="仿宋_GB2312"/>
          <w:color w:val="000000"/>
          <w:sz w:val="32"/>
          <w:szCs w:val="32"/>
          <w:lang w:eastAsia="zh-CN"/>
        </w:rPr>
        <w:t>编办</w:t>
      </w:r>
      <w:r>
        <w:rPr>
          <w:rFonts w:hint="eastAsia" w:ascii="仿宋_GB2312" w:hAnsi="宋体" w:eastAsia="仿宋_GB2312"/>
          <w:color w:val="000000"/>
          <w:sz w:val="32"/>
          <w:szCs w:val="32"/>
        </w:rPr>
        <w:t>差旅费管理实施办法》、《</w:t>
      </w:r>
      <w:r>
        <w:rPr>
          <w:rFonts w:hint="eastAsia" w:ascii="仿宋_GB2312"/>
          <w:color w:val="000000"/>
          <w:sz w:val="32"/>
          <w:szCs w:val="32"/>
          <w:lang w:eastAsia="zh-CN"/>
        </w:rPr>
        <w:t>中共安化县委</w:t>
      </w:r>
      <w:r>
        <w:rPr>
          <w:rFonts w:hint="eastAsia" w:ascii="仿宋_GB2312" w:eastAsia="仿宋_GB2312"/>
          <w:color w:val="000000"/>
          <w:sz w:val="32"/>
          <w:szCs w:val="32"/>
          <w:lang w:eastAsia="zh-CN"/>
        </w:rPr>
        <w:t>编办</w:t>
      </w:r>
      <w:r>
        <w:rPr>
          <w:rFonts w:hint="eastAsia" w:ascii="仿宋_GB2312" w:hAnsi="宋体" w:eastAsia="仿宋_GB2312"/>
          <w:color w:val="000000"/>
          <w:sz w:val="32"/>
          <w:szCs w:val="32"/>
        </w:rPr>
        <w:t>机关管理制度》等一系列内部制度。</w:t>
      </w:r>
    </w:p>
    <w:p w14:paraId="61F490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四、部门整体支出绩效情况分析</w:t>
      </w:r>
    </w:p>
    <w:p w14:paraId="2C6B4B74">
      <w:pPr>
        <w:pStyle w:val="4"/>
        <w:shd w:val="clear" w:color="auto" w:fill="FFFFFF"/>
        <w:spacing w:before="0" w:beforeAutospacing="0" w:after="0" w:afterAutospacing="0" w:line="480" w:lineRule="auto"/>
        <w:ind w:firstLine="654"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从整体情况来看，</w:t>
      </w:r>
      <w:r>
        <w:rPr>
          <w:rFonts w:hint="eastAsia" w:ascii="仿宋_GB2312" w:eastAsia="仿宋_GB2312"/>
          <w:color w:val="000000"/>
          <w:sz w:val="32"/>
          <w:szCs w:val="32"/>
          <w:lang w:eastAsia="zh-CN"/>
        </w:rPr>
        <w:t>我办</w:t>
      </w:r>
      <w:r>
        <w:rPr>
          <w:rFonts w:hint="eastAsia" w:ascii="仿宋_GB2312" w:hAnsi="宋体" w:eastAsia="仿宋_GB2312"/>
          <w:color w:val="000000"/>
          <w:sz w:val="32"/>
          <w:szCs w:val="32"/>
        </w:rPr>
        <w:t>严格按照年初预算进行部门整体支出。在支出过程中，能严格遵守各项规章制度，“三公经费”明显下降。所有项目都详细制定了方案，严格按方案组织实施，并加强了监督。尤其是在专项经费支出上，我们能专款专用，按项目实施计划的进度情况进行资金拨付，无截留、无挪用等现象。实行了先有预算、后有执行、“用钱必问效、无效必问责”的新常态。</w:t>
      </w:r>
    </w:p>
    <w:p w14:paraId="45AD18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五、绩效评价工作开展情况</w:t>
      </w:r>
    </w:p>
    <w:p w14:paraId="2C874B73">
      <w:pPr>
        <w:pStyle w:val="4"/>
        <w:shd w:val="clear" w:color="auto" w:fill="FFFFFF"/>
        <w:spacing w:before="0" w:beforeAutospacing="0" w:after="0" w:afterAutospacing="0" w:line="480" w:lineRule="auto"/>
        <w:ind w:firstLine="480"/>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（一）绩效评价目的</w:t>
      </w:r>
    </w:p>
    <w:p w14:paraId="56C8908C">
      <w:pPr>
        <w:pStyle w:val="4"/>
        <w:shd w:val="clear" w:color="auto" w:fill="FFFFFF"/>
        <w:spacing w:before="0" w:beforeAutospacing="0" w:after="0" w:afterAutospacing="0" w:line="480" w:lineRule="auto"/>
        <w:ind w:firstLine="480"/>
        <w:rPr>
          <w:rFonts w:hint="eastAsia" w:ascii="仿宋_GB2312" w:hAnsi="宋体" w:eastAsia="仿宋_GB2312"/>
          <w:color w:val="000000"/>
          <w:sz w:val="32"/>
          <w:szCs w:val="32"/>
        </w:rPr>
      </w:pPr>
      <w:r>
        <w:rPr>
          <w:rFonts w:hint="eastAsia" w:ascii="仿宋_GB2312" w:hAnsi="宋体" w:eastAsia="仿宋_GB2312"/>
          <w:color w:val="000000"/>
          <w:sz w:val="32"/>
          <w:szCs w:val="32"/>
        </w:rPr>
        <w:t>此次绩效评价的目的是：严格落实《预算法》及省、市、县绩效管理工作的有关规定，进一步规范财政资金的管理，强化财政支出绩效理念，提升部门责任意识，提高资金使用效益，促进机构编制事业的发展。</w:t>
      </w:r>
    </w:p>
    <w:p w14:paraId="4D8BAFDF">
      <w:pPr>
        <w:pStyle w:val="4"/>
        <w:shd w:val="clear" w:color="auto" w:fill="FFFFFF"/>
        <w:spacing w:before="0" w:beforeAutospacing="0" w:after="0" w:afterAutospacing="0" w:line="480" w:lineRule="auto"/>
        <w:ind w:firstLine="480"/>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（二）绩效评价的主要过程</w:t>
      </w:r>
    </w:p>
    <w:p w14:paraId="6ECA71F4">
      <w:pPr>
        <w:pStyle w:val="4"/>
        <w:shd w:val="clear" w:color="auto" w:fill="FFFFFF"/>
        <w:spacing w:before="0" w:beforeAutospacing="0" w:after="0" w:afterAutospacing="0" w:line="480" w:lineRule="auto"/>
        <w:ind w:firstLine="480"/>
        <w:rPr>
          <w:rFonts w:hint="eastAsia" w:ascii="仿宋_GB2312" w:hAnsi="宋体" w:eastAsia="仿宋_GB2312"/>
          <w:color w:val="000000"/>
          <w:sz w:val="32"/>
          <w:szCs w:val="32"/>
        </w:rPr>
      </w:pPr>
      <w:r>
        <w:rPr>
          <w:rFonts w:hint="eastAsia" w:ascii="仿宋_GB2312" w:hAnsi="宋体" w:eastAsia="仿宋_GB2312"/>
          <w:color w:val="000000"/>
          <w:sz w:val="32"/>
          <w:szCs w:val="32"/>
        </w:rPr>
        <w:t>根据绩效评价的要求，我们成立了自评工作领导小组，对照自评方案进行研究和布署，党组成员、机关各股室全程参与，按照自评方案的要求，对照各实施项目的内容逐条逐项自评。通过核实数据、查阅资料、归纳汇总、讨论分析等环节，形成绩效评价报告。</w:t>
      </w:r>
    </w:p>
    <w:p w14:paraId="31D9329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54" w:firstLineChars="200"/>
        <w:textAlignment w:val="auto"/>
        <w:rPr>
          <w:rFonts w:hint="eastAsia" w:ascii="仿宋_GB2312" w:hAnsi="仿宋_GB2312" w:eastAsia="仿宋_GB2312" w:cs="仿宋_GB2312"/>
          <w:kern w:val="0"/>
          <w:sz w:val="32"/>
          <w:szCs w:val="32"/>
          <w:lang w:val="en-US" w:eastAsia="zh-CN" w:bidi="ar-SA"/>
        </w:rPr>
      </w:pPr>
    </w:p>
    <w:p w14:paraId="109785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六、存在的主要问题</w:t>
      </w:r>
    </w:p>
    <w:p w14:paraId="6D1DC24B">
      <w:pPr>
        <w:pStyle w:val="4"/>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54"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部门预算的人员经费和公用经费不足。单位日常运转的刚性支出大，现有的部门预算资金不能满足日益增长的工作需要。</w:t>
      </w:r>
    </w:p>
    <w:p w14:paraId="567D33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七、改进措施和有关建议</w:t>
      </w:r>
    </w:p>
    <w:p w14:paraId="19D263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54"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预算管理意识，优化预算执行管理。认真贯彻落实预算法，提高对预算资金使用效益的认识，严格执行预算编制的相关制度和要求。本着“勤俭节约、保障运转”的原则做好预算编制工作，进一步提高预算编制的科学性、合理性、严谨性。</w:t>
      </w:r>
    </w:p>
    <w:p w14:paraId="2C5A9B8C"/>
    <w:p w14:paraId="2E7E487D"/>
    <w:sectPr>
      <w:footerReference r:id="rId3" w:type="default"/>
      <w:pgSz w:w="11906" w:h="16838"/>
      <w:pgMar w:top="720" w:right="720" w:bottom="720" w:left="720" w:header="851" w:footer="992" w:gutter="0"/>
      <w:cols w:space="0" w:num="1"/>
      <w:rtlGutter w:val="0"/>
      <w:docGrid w:type="linesAndChars" w:linePitch="312" w:charSpace="14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F8AB9">
    <w:pPr>
      <w:pStyle w:val="3"/>
      <w:framePr w:w="1701" w:wrap="around" w:vAnchor="text" w:hAnchor="margin" w:xAlign="outside" w:y="1"/>
      <w:jc w:val="center"/>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w:t>
    </w:r>
    <w:r>
      <w:rPr>
        <w:sz w:val="28"/>
        <w:szCs w:val="28"/>
      </w:rPr>
      <w:fldChar w:fldCharType="end"/>
    </w:r>
    <w:r>
      <w:rPr>
        <w:rFonts w:hint="eastAsia"/>
        <w:sz w:val="28"/>
        <w:szCs w:val="28"/>
      </w:rPr>
      <w:t xml:space="preserve"> </w:t>
    </w:r>
    <w:r>
      <w:rPr>
        <w:rStyle w:val="7"/>
        <w:rFonts w:hint="eastAsia"/>
        <w:sz w:val="28"/>
        <w:szCs w:val="28"/>
      </w:rPr>
      <w:t>—</w:t>
    </w:r>
  </w:p>
  <w:p w14:paraId="3335FC06">
    <w:pPr>
      <w:pStyle w:val="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2U1MzdkY2I2ODQ5MzlkYTY0ZTQ0M2U5ZjM3ZTUifQ=="/>
  </w:docVars>
  <w:rsids>
    <w:rsidRoot w:val="495B0ACB"/>
    <w:rsid w:val="32EE7AC1"/>
    <w:rsid w:val="495B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pacing w:line="400" w:lineRule="exact"/>
      <w:jc w:val="center"/>
    </w:pPr>
    <w:rPr>
      <w:rFonts w:ascii="Calibri" w:hAnsi="Calibri" w:eastAsia="宋体" w:cs="Times New Roman"/>
      <w:caps/>
      <w:sz w:val="21"/>
      <w:szCs w:val="22"/>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7">
    <w:name w:val="page number"/>
    <w:basedOn w:val="6"/>
    <w:uiPriority w:val="0"/>
  </w:style>
  <w:style w:type="paragraph" w:customStyle="1" w:styleId="8">
    <w:name w:val="普通(网站)1"/>
    <w:basedOn w:val="1"/>
    <w:qFormat/>
    <w:uiPriority w:val="99"/>
    <w:pPr>
      <w:widowControl/>
      <w:spacing w:beforeAutospacing="1"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6485</Words>
  <Characters>6766</Characters>
  <Lines>0</Lines>
  <Paragraphs>0</Paragraphs>
  <TotalTime>18</TotalTime>
  <ScaleCrop>false</ScaleCrop>
  <LinksUpToDate>false</LinksUpToDate>
  <CharactersWithSpaces>6993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2023-07-25T06:51:00Z</dcterms:created>
  <dc:creator>Administrator</dc:creator>
  <cp:lastModifiedBy>Administrator</cp:lastModifiedBy>
  <dcterms:modified xsi:type="dcterms:W3CDTF">2024-08-23T01:22:35Z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7AE7559947CA4B93B5FAB194D76396FD_11</vt:lpwstr>
  </property>
</Properties>
</file>