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62F6FB">
      <w:pPr>
        <w:spacing w:line="594" w:lineRule="exact"/>
        <w:jc w:val="left"/>
        <w:rPr>
          <w:rFonts w:eastAsia="黑体"/>
          <w:bCs/>
          <w:kern w:val="0"/>
          <w:szCs w:val="32"/>
          <w:highlight w:val="none"/>
        </w:rPr>
      </w:pPr>
      <w:bookmarkStart w:id="0" w:name="RANGE!A1:G4"/>
      <w:r>
        <w:rPr>
          <w:rFonts w:eastAsia="黑体"/>
          <w:bCs/>
          <w:kern w:val="0"/>
          <w:szCs w:val="32"/>
          <w:highlight w:val="none"/>
        </w:rPr>
        <w:t>附件3</w:t>
      </w:r>
      <w:bookmarkEnd w:id="0"/>
    </w:p>
    <w:p w14:paraId="4B9D1F5A">
      <w:pPr>
        <w:spacing w:line="594" w:lineRule="exact"/>
        <w:jc w:val="center"/>
        <w:rPr>
          <w:rFonts w:hint="eastAsia" w:eastAsia="方正小标宋简体"/>
          <w:kern w:val="0"/>
          <w:sz w:val="44"/>
          <w:szCs w:val="44"/>
          <w:highlight w:val="none"/>
        </w:rPr>
      </w:pPr>
      <w:bookmarkStart w:id="1" w:name="_GoBack"/>
      <w:r>
        <w:rPr>
          <w:rFonts w:hint="eastAsia" w:eastAsia="方正小标宋简体"/>
          <w:kern w:val="0"/>
          <w:sz w:val="44"/>
          <w:szCs w:val="44"/>
          <w:highlight w:val="none"/>
        </w:rPr>
        <w:t>2022年度</w:t>
      </w:r>
      <w:r>
        <w:rPr>
          <w:rFonts w:eastAsia="方正小标宋简体"/>
          <w:kern w:val="0"/>
          <w:sz w:val="44"/>
          <w:szCs w:val="44"/>
          <w:highlight w:val="none"/>
        </w:rPr>
        <w:t>部门整体支出绩效报告</w:t>
      </w:r>
    </w:p>
    <w:bookmarkEnd w:id="1"/>
    <w:p w14:paraId="0CDB2FC3">
      <w:pPr>
        <w:spacing w:line="594" w:lineRule="exact"/>
        <w:jc w:val="center"/>
        <w:rPr>
          <w:rFonts w:eastAsia="楷体_GB2312"/>
          <w:kern w:val="0"/>
          <w:szCs w:val="32"/>
          <w:highlight w:val="none"/>
        </w:rPr>
      </w:pPr>
    </w:p>
    <w:p w14:paraId="43EAAC5F">
      <w:pPr>
        <w:spacing w:line="594" w:lineRule="exact"/>
        <w:jc w:val="left"/>
        <w:rPr>
          <w:rFonts w:eastAsia="黑体"/>
          <w:kern w:val="0"/>
          <w:szCs w:val="32"/>
          <w:highlight w:val="none"/>
        </w:rPr>
      </w:pPr>
      <w:r>
        <w:rPr>
          <w:kern w:val="0"/>
          <w:szCs w:val="32"/>
          <w:highlight w:val="none"/>
        </w:rPr>
        <w:t xml:space="preserve">   </w:t>
      </w:r>
      <w:r>
        <w:rPr>
          <w:rFonts w:eastAsia="黑体"/>
          <w:bCs/>
          <w:kern w:val="0"/>
          <w:szCs w:val="32"/>
          <w:highlight w:val="none"/>
        </w:rPr>
        <w:t xml:space="preserve"> 一、部门概况</w:t>
      </w:r>
    </w:p>
    <w:p w14:paraId="555DE694">
      <w:pPr>
        <w:spacing w:line="594" w:lineRule="exact"/>
        <w:ind w:firstLine="640" w:firstLineChars="200"/>
        <w:rPr>
          <w:kern w:val="0"/>
          <w:szCs w:val="32"/>
          <w:highlight w:val="none"/>
        </w:rPr>
      </w:pPr>
      <w:r>
        <w:rPr>
          <w:kern w:val="0"/>
          <w:szCs w:val="32"/>
          <w:highlight w:val="none"/>
        </w:rPr>
        <w:t>（一）部门基本情况</w:t>
      </w:r>
    </w:p>
    <w:p w14:paraId="4BF21781">
      <w:pPr>
        <w:ind w:firstLine="640" w:firstLineChars="200"/>
        <w:rPr>
          <w:rFonts w:hint="eastAsia" w:ascii="仿宋_GB2312" w:eastAsia="仿宋_GB2312"/>
          <w:sz w:val="32"/>
          <w:szCs w:val="32"/>
          <w:lang w:eastAsia="zh-CN"/>
        </w:rPr>
      </w:pPr>
      <w:r>
        <w:rPr>
          <w:rFonts w:hint="eastAsia" w:ascii="仿宋_GB2312"/>
          <w:sz w:val="32"/>
          <w:szCs w:val="32"/>
          <w:lang w:val="en-US" w:eastAsia="zh-CN"/>
        </w:rPr>
        <w:t>1</w:t>
      </w:r>
      <w:r>
        <w:rPr>
          <w:rFonts w:hint="eastAsia" w:ascii="仿宋_GB2312"/>
          <w:sz w:val="32"/>
          <w:szCs w:val="32"/>
          <w:lang w:eastAsia="zh-CN"/>
        </w:rPr>
        <w:t>、部门的在职工员情况</w:t>
      </w:r>
    </w:p>
    <w:p w14:paraId="24F0B634">
      <w:pPr>
        <w:widowControl/>
        <w:spacing w:line="594" w:lineRule="exact"/>
        <w:ind w:firstLine="640" w:firstLineChars="200"/>
        <w:rPr>
          <w:rFonts w:hint="eastAsia"/>
          <w:lang w:val="en-US" w:eastAsia="zh-CN"/>
        </w:rPr>
      </w:pPr>
      <w:r>
        <w:rPr>
          <w:rFonts w:hint="eastAsia"/>
          <w:lang w:val="en-US" w:eastAsia="zh-CN"/>
        </w:rPr>
        <w:t>安化县古楼乡人民政府在编人数为62人，其中行政编制人数22人，事业编制人数40人。</w:t>
      </w:r>
    </w:p>
    <w:p w14:paraId="6EFD60F0">
      <w:pPr>
        <w:ind w:firstLine="640" w:firstLineChars="200"/>
        <w:rPr>
          <w:rFonts w:hint="eastAsia" w:ascii="仿宋_GB2312" w:eastAsia="仿宋_GB2312"/>
          <w:sz w:val="32"/>
          <w:szCs w:val="32"/>
          <w:lang w:eastAsia="zh-CN"/>
        </w:rPr>
      </w:pPr>
      <w:r>
        <w:rPr>
          <w:rFonts w:hint="eastAsia" w:ascii="仿宋_GB2312"/>
          <w:sz w:val="32"/>
          <w:szCs w:val="32"/>
          <w:lang w:val="en-US" w:eastAsia="zh-CN"/>
        </w:rPr>
        <w:t>2</w:t>
      </w:r>
      <w:r>
        <w:rPr>
          <w:rFonts w:hint="eastAsia" w:ascii="仿宋_GB2312"/>
          <w:sz w:val="32"/>
          <w:szCs w:val="32"/>
          <w:lang w:eastAsia="zh-CN"/>
        </w:rPr>
        <w:t>、机构设置及主要职能</w:t>
      </w:r>
    </w:p>
    <w:p w14:paraId="422D1C2E">
      <w:pPr>
        <w:ind w:firstLine="640" w:firstLineChars="200"/>
        <w:rPr>
          <w:rFonts w:hint="eastAsia" w:ascii="仿宋_GB2312"/>
          <w:sz w:val="32"/>
          <w:szCs w:val="32"/>
          <w:lang w:val="en-US" w:eastAsia="zh-CN"/>
        </w:rPr>
      </w:pPr>
      <w:r>
        <w:rPr>
          <w:rFonts w:hint="eastAsia" w:ascii="仿宋_GB2312" w:eastAsia="仿宋_GB2312"/>
          <w:sz w:val="32"/>
          <w:szCs w:val="32"/>
        </w:rPr>
        <w:t>古楼乡设置党政机构7个，均为正股级。</w:t>
      </w:r>
      <w:r>
        <w:rPr>
          <w:rFonts w:hint="eastAsia" w:ascii="仿宋_GB2312"/>
          <w:sz w:val="32"/>
          <w:szCs w:val="32"/>
          <w:lang w:eastAsia="zh-CN"/>
        </w:rPr>
        <w:t>分别为</w:t>
      </w:r>
      <w:r>
        <w:rPr>
          <w:rFonts w:hint="eastAsia" w:ascii="仿宋_GB2312" w:eastAsia="仿宋_GB2312"/>
          <w:sz w:val="32"/>
          <w:szCs w:val="32"/>
        </w:rPr>
        <w:t>党政办公室、党建办公室、经济发展办公室、社会事务办公室、自然资源和生态环境办公室</w:t>
      </w:r>
      <w:r>
        <w:rPr>
          <w:rFonts w:hint="eastAsia" w:ascii="仿宋_GB2312"/>
          <w:sz w:val="32"/>
          <w:szCs w:val="32"/>
          <w:lang w:eastAsia="zh-CN"/>
        </w:rPr>
        <w:t>、</w:t>
      </w:r>
      <w:r>
        <w:rPr>
          <w:rFonts w:hint="eastAsia" w:ascii="仿宋_GB2312" w:eastAsia="仿宋_GB2312"/>
          <w:sz w:val="32"/>
          <w:szCs w:val="32"/>
        </w:rPr>
        <w:t>社会治安与应急管理办公室、财政所。</w:t>
      </w:r>
      <w:r>
        <w:rPr>
          <w:rFonts w:hint="eastAsia" w:ascii="仿宋_GB2312"/>
          <w:sz w:val="32"/>
          <w:szCs w:val="32"/>
          <w:lang w:eastAsia="zh-CN"/>
        </w:rPr>
        <w:t>设置</w:t>
      </w:r>
      <w:r>
        <w:rPr>
          <w:rFonts w:hint="eastAsia" w:ascii="仿宋_GB2312"/>
          <w:sz w:val="32"/>
          <w:szCs w:val="32"/>
          <w:lang w:val="en-US" w:eastAsia="zh-CN"/>
        </w:rPr>
        <w:t>4个事业单位，正股级。分别为社会事务综合服务中心（挂文化综合服务站牌子)、农业综合服务中心、党群和政务服务中心、退役军人服务站。</w:t>
      </w:r>
    </w:p>
    <w:p w14:paraId="7238D434">
      <w:pPr>
        <w:ind w:firstLine="640" w:firstLineChars="200"/>
        <w:rPr>
          <w:rFonts w:hint="eastAsia" w:ascii="仿宋_GB2312"/>
          <w:sz w:val="32"/>
          <w:szCs w:val="32"/>
          <w:lang w:val="en-US" w:eastAsia="zh-CN"/>
        </w:rPr>
      </w:pPr>
      <w:r>
        <w:rPr>
          <w:rFonts w:hint="eastAsia" w:ascii="仿宋_GB2312"/>
          <w:sz w:val="32"/>
          <w:szCs w:val="32"/>
          <w:lang w:val="en-US" w:eastAsia="zh-CN"/>
        </w:rPr>
        <w:t>主要职能</w:t>
      </w:r>
    </w:p>
    <w:p w14:paraId="06EE1C17">
      <w:pPr>
        <w:numPr>
          <w:ilvl w:val="0"/>
          <w:numId w:val="0"/>
        </w:numPr>
        <w:ind w:firstLine="640" w:firstLineChars="200"/>
        <w:rPr>
          <w:rFonts w:hint="eastAsia" w:ascii="仿宋_GB2312"/>
          <w:sz w:val="32"/>
          <w:szCs w:val="32"/>
          <w:lang w:val="en-US" w:eastAsia="zh-CN"/>
        </w:rPr>
      </w:pPr>
      <w:r>
        <w:rPr>
          <w:rFonts w:hint="eastAsia" w:ascii="仿宋_GB2312"/>
          <w:sz w:val="32"/>
          <w:szCs w:val="32"/>
          <w:lang w:val="en-US" w:eastAsia="zh-CN"/>
        </w:rPr>
        <w:t>（1）、执行本级人民代表大会的决议和上级国家行政机关的决定和命令。</w:t>
      </w:r>
    </w:p>
    <w:p w14:paraId="0E147DB2">
      <w:pPr>
        <w:numPr>
          <w:ilvl w:val="0"/>
          <w:numId w:val="0"/>
        </w:numPr>
        <w:ind w:firstLine="640" w:firstLineChars="200"/>
        <w:rPr>
          <w:rFonts w:hint="default" w:ascii="仿宋_GB2312"/>
          <w:sz w:val="32"/>
          <w:szCs w:val="32"/>
          <w:lang w:val="en-US" w:eastAsia="zh-CN"/>
        </w:rPr>
      </w:pPr>
      <w:r>
        <w:rPr>
          <w:rFonts w:hint="eastAsia" w:ascii="仿宋_GB2312"/>
          <w:sz w:val="32"/>
          <w:szCs w:val="32"/>
          <w:lang w:val="en-US" w:eastAsia="zh-CN"/>
        </w:rPr>
        <w:t>（2）、执行本行政区域内的经济和社会发展计划、预算，管本行政区域内的经济、教育、科学、文化、卫生、体育事业和财政、民政、公安、司法行政、计划生育等行政工作。</w:t>
      </w:r>
    </w:p>
    <w:p w14:paraId="2DEA7F83">
      <w:pPr>
        <w:numPr>
          <w:ilvl w:val="0"/>
          <w:numId w:val="0"/>
        </w:numPr>
        <w:ind w:firstLine="320" w:firstLineChars="100"/>
        <w:rPr>
          <w:rFonts w:hint="default" w:ascii="仿宋_GB2312"/>
          <w:sz w:val="32"/>
          <w:szCs w:val="32"/>
          <w:lang w:val="en-US" w:eastAsia="zh-CN"/>
        </w:rPr>
      </w:pPr>
      <w:r>
        <w:rPr>
          <w:rFonts w:hint="eastAsia" w:ascii="仿宋_GB2312"/>
          <w:sz w:val="32"/>
          <w:szCs w:val="32"/>
          <w:lang w:val="en-US" w:eastAsia="zh-CN"/>
        </w:rPr>
        <w:t xml:space="preserve">  （3）、保护社会主义的全民所有的财产和劳动群众集体所有财产，保护公民私有的合法财产，维护社会秩序，保障公司的人身权利、民主权利和其他权利。</w:t>
      </w:r>
    </w:p>
    <w:p w14:paraId="40AA8817">
      <w:pPr>
        <w:numPr>
          <w:ilvl w:val="0"/>
          <w:numId w:val="0"/>
        </w:numPr>
        <w:ind w:firstLine="640" w:firstLineChars="200"/>
        <w:rPr>
          <w:rFonts w:hint="default" w:ascii="仿宋_GB2312"/>
          <w:sz w:val="32"/>
          <w:szCs w:val="32"/>
          <w:lang w:val="en-US" w:eastAsia="zh-CN"/>
        </w:rPr>
      </w:pPr>
      <w:r>
        <w:rPr>
          <w:rFonts w:hint="eastAsia" w:ascii="仿宋_GB2312"/>
          <w:sz w:val="32"/>
          <w:szCs w:val="32"/>
          <w:lang w:val="en-US" w:eastAsia="zh-CN"/>
        </w:rPr>
        <w:t>（4）、保障农村集体经济组织应有的自主权。</w:t>
      </w:r>
    </w:p>
    <w:p w14:paraId="17AB7501">
      <w:pPr>
        <w:numPr>
          <w:ilvl w:val="0"/>
          <w:numId w:val="0"/>
        </w:numPr>
        <w:tabs>
          <w:tab w:val="left" w:pos="212"/>
        </w:tabs>
        <w:ind w:firstLine="640" w:firstLineChars="200"/>
        <w:rPr>
          <w:rFonts w:hint="eastAsia" w:ascii="仿宋_GB2312"/>
          <w:sz w:val="32"/>
          <w:szCs w:val="32"/>
          <w:lang w:val="en-US" w:eastAsia="zh-CN"/>
        </w:rPr>
      </w:pPr>
      <w:r>
        <w:rPr>
          <w:rFonts w:hint="eastAsia" w:ascii="仿宋_GB2312"/>
          <w:sz w:val="32"/>
          <w:szCs w:val="32"/>
          <w:lang w:val="en-US" w:eastAsia="zh-CN"/>
        </w:rPr>
        <w:t>（5)、保障少数民族的权利和尊重少数民族的风俗习惯。</w:t>
      </w:r>
    </w:p>
    <w:p w14:paraId="21AA6E37">
      <w:pPr>
        <w:numPr>
          <w:ilvl w:val="0"/>
          <w:numId w:val="0"/>
        </w:numPr>
        <w:ind w:firstLine="640" w:firstLineChars="200"/>
        <w:rPr>
          <w:rFonts w:hint="eastAsia" w:ascii="仿宋_GB2312"/>
          <w:sz w:val="32"/>
          <w:szCs w:val="32"/>
          <w:lang w:val="en-US" w:eastAsia="zh-CN"/>
        </w:rPr>
      </w:pPr>
      <w:r>
        <w:rPr>
          <w:rFonts w:hint="eastAsia" w:ascii="仿宋_GB2312"/>
          <w:sz w:val="32"/>
          <w:szCs w:val="32"/>
          <w:lang w:val="en-US" w:eastAsia="zh-CN"/>
        </w:rPr>
        <w:t>（6）、保障宪法和法律赋予妇女的男女平等、同工同酬和婚烟自由等各项权利。</w:t>
      </w:r>
    </w:p>
    <w:p w14:paraId="0E90B9CB">
      <w:pPr>
        <w:numPr>
          <w:ilvl w:val="0"/>
          <w:numId w:val="0"/>
        </w:numPr>
        <w:ind w:firstLine="640" w:firstLineChars="200"/>
        <w:rPr>
          <w:kern w:val="0"/>
          <w:szCs w:val="32"/>
          <w:highlight w:val="none"/>
        </w:rPr>
      </w:pPr>
      <w:r>
        <w:rPr>
          <w:rFonts w:hint="eastAsia" w:ascii="仿宋_GB2312"/>
          <w:sz w:val="32"/>
          <w:szCs w:val="32"/>
          <w:lang w:val="en-US" w:eastAsia="zh-CN"/>
        </w:rPr>
        <w:t>（7）、办理上级人民政府交办的其他事项。</w:t>
      </w:r>
    </w:p>
    <w:p w14:paraId="6BEBBED9">
      <w:pPr>
        <w:spacing w:line="594" w:lineRule="exact"/>
        <w:ind w:firstLine="640" w:firstLineChars="200"/>
        <w:rPr>
          <w:kern w:val="0"/>
          <w:szCs w:val="32"/>
          <w:highlight w:val="none"/>
        </w:rPr>
      </w:pPr>
      <w:r>
        <w:rPr>
          <w:kern w:val="0"/>
          <w:szCs w:val="32"/>
          <w:highlight w:val="none"/>
        </w:rPr>
        <w:t>（二）部门整体支出规模、使用方向和主要内容、涉及范围等。</w:t>
      </w:r>
    </w:p>
    <w:p w14:paraId="32B2F3FA">
      <w:pPr>
        <w:widowControl/>
        <w:spacing w:line="594" w:lineRule="exact"/>
        <w:ind w:firstLine="640" w:firstLineChars="200"/>
        <w:rPr>
          <w:rFonts w:hint="eastAsia"/>
          <w:kern w:val="0"/>
          <w:szCs w:val="32"/>
          <w:lang w:val="en-US" w:eastAsia="zh-CN"/>
        </w:rPr>
      </w:pPr>
      <w:r>
        <w:rPr>
          <w:rFonts w:hint="eastAsia"/>
          <w:kern w:val="0"/>
          <w:szCs w:val="32"/>
          <w:lang w:eastAsia="zh-CN"/>
        </w:rPr>
        <w:t>我乡镇</w:t>
      </w:r>
      <w:r>
        <w:rPr>
          <w:rFonts w:hint="eastAsia"/>
          <w:kern w:val="0"/>
          <w:szCs w:val="32"/>
          <w:lang w:val="en-US" w:eastAsia="zh-CN"/>
        </w:rPr>
        <w:t>2022年</w:t>
      </w:r>
      <w:r>
        <w:rPr>
          <w:rFonts w:hint="eastAsia"/>
          <w:kern w:val="0"/>
          <w:szCs w:val="32"/>
          <w:lang w:eastAsia="zh-CN"/>
        </w:rPr>
        <w:t>总支出</w:t>
      </w:r>
      <w:r>
        <w:rPr>
          <w:rFonts w:hint="eastAsia"/>
          <w:kern w:val="0"/>
          <w:szCs w:val="32"/>
          <w:lang w:val="en-US" w:eastAsia="zh-CN"/>
        </w:rPr>
        <w:t>1499.73万元，基本支出1107.55万元，项目支出392.19万元。</w:t>
      </w:r>
    </w:p>
    <w:p w14:paraId="6486EB8F">
      <w:pPr>
        <w:widowControl/>
        <w:spacing w:line="594" w:lineRule="exact"/>
        <w:ind w:firstLine="640" w:firstLineChars="200"/>
        <w:rPr>
          <w:rFonts w:hint="default"/>
          <w:kern w:val="0"/>
          <w:szCs w:val="32"/>
          <w:lang w:val="en-US" w:eastAsia="zh-CN"/>
        </w:rPr>
      </w:pPr>
      <w:r>
        <w:rPr>
          <w:rFonts w:hint="eastAsia"/>
          <w:kern w:val="0"/>
          <w:szCs w:val="32"/>
          <w:lang w:val="en-US" w:eastAsia="zh-CN"/>
        </w:rPr>
        <w:t>基本支出1107.55万元，其中工资福利支出780.42万元，占基本支出的70.46%，主要用基本工资，津补贴、奖金、伙食 补助费、绩效工资、机关事业单位基本养老保险缴费、职工基本医疗保险费、其他社会保障缴费、住房公积金、其他工资福利支出；商品和服务支出301.79万元，占其本支出的27.25%，主要用于办公费、印刷费、会议费、培训费、电费、差旅费、公务接待费、公务用车运行维护费、工会经费、其他交通费、其他商品和服务支出；对个人和家庭的补助支出25.34万元，占基本支出的2.29%，主要用于抚恤金、生活补助、医疗费补助。</w:t>
      </w:r>
    </w:p>
    <w:p w14:paraId="6561A158">
      <w:pPr>
        <w:widowControl/>
        <w:spacing w:line="594" w:lineRule="exact"/>
        <w:ind w:firstLine="640" w:firstLineChars="200"/>
        <w:rPr>
          <w:kern w:val="0"/>
          <w:szCs w:val="32"/>
          <w:highlight w:val="none"/>
        </w:rPr>
      </w:pPr>
      <w:r>
        <w:rPr>
          <w:rFonts w:hint="eastAsia"/>
          <w:kern w:val="0"/>
          <w:szCs w:val="32"/>
          <w:lang w:val="en-US" w:eastAsia="zh-CN"/>
        </w:rPr>
        <w:t>项目支出392.19万元，其中革命老区资金14万元，乡镇财政监管资金14万元，水利建设基金（道路维修）18万元，乡镇公用经费12万元，美丽乡村建设200万元，村级产业发展及基础建设15万元，村级运转资金59.19万元，化债资金40万元，中央彩票公益项目资金20万元。</w:t>
      </w:r>
    </w:p>
    <w:p w14:paraId="0937254F">
      <w:pPr>
        <w:numPr>
          <w:ilvl w:val="0"/>
          <w:numId w:val="1"/>
        </w:numPr>
        <w:spacing w:line="594" w:lineRule="exact"/>
        <w:ind w:firstLine="640" w:firstLineChars="200"/>
        <w:rPr>
          <w:kern w:val="0"/>
          <w:szCs w:val="32"/>
          <w:highlight w:val="none"/>
        </w:rPr>
      </w:pPr>
      <w:r>
        <w:rPr>
          <w:kern w:val="0"/>
          <w:szCs w:val="32"/>
          <w:highlight w:val="none"/>
        </w:rPr>
        <w:t>绩效目标设立情况，主要包括部门中长期绩效目标和年度绩效目标。</w:t>
      </w:r>
    </w:p>
    <w:p w14:paraId="03ED4614">
      <w:pPr>
        <w:numPr>
          <w:ilvl w:val="0"/>
          <w:numId w:val="0"/>
        </w:numPr>
        <w:spacing w:line="594" w:lineRule="exact"/>
        <w:ind w:firstLine="640" w:firstLineChars="200"/>
        <w:rPr>
          <w:kern w:val="0"/>
          <w:szCs w:val="32"/>
          <w:highlight w:val="none"/>
        </w:rPr>
      </w:pPr>
      <w:r>
        <w:rPr>
          <w:rFonts w:hint="eastAsia"/>
          <w:lang w:val="en-US" w:eastAsia="zh-CN"/>
        </w:rPr>
        <w:t>通过对安化县古楼乡人民政府开展部门整体绩效评价，全面了解、分析该部门预算执行及公开、“三公”经费管理、相关政策制度执行、资产管理及部门工作绩效等情部分，督促部门、单位进一步规范资金管理围绕绩效目标开展工作，加强财务管理，强化支出责任，提高财政资金使用绩效。</w:t>
      </w:r>
    </w:p>
    <w:p w14:paraId="23489846">
      <w:pPr>
        <w:spacing w:line="594" w:lineRule="exact"/>
        <w:ind w:firstLine="640" w:firstLineChars="200"/>
        <w:rPr>
          <w:kern w:val="0"/>
          <w:szCs w:val="32"/>
          <w:highlight w:val="none"/>
        </w:rPr>
      </w:pPr>
      <w:r>
        <w:rPr>
          <w:rFonts w:eastAsia="黑体"/>
          <w:bCs/>
          <w:kern w:val="0"/>
          <w:szCs w:val="32"/>
          <w:highlight w:val="none"/>
        </w:rPr>
        <w:t>二、部门整体支出管理及使用情况分析</w:t>
      </w:r>
    </w:p>
    <w:p w14:paraId="380E5F7C">
      <w:pPr>
        <w:spacing w:line="594" w:lineRule="exact"/>
        <w:ind w:firstLine="640" w:firstLineChars="200"/>
        <w:rPr>
          <w:rFonts w:eastAsia="楷体_GB2312"/>
          <w:kern w:val="0"/>
          <w:szCs w:val="32"/>
          <w:highlight w:val="none"/>
        </w:rPr>
      </w:pPr>
      <w:r>
        <w:rPr>
          <w:rFonts w:eastAsia="楷体_GB2312"/>
          <w:kern w:val="0"/>
          <w:szCs w:val="32"/>
          <w:highlight w:val="none"/>
        </w:rPr>
        <w:t>（一）基本支出</w:t>
      </w:r>
    </w:p>
    <w:p w14:paraId="688F03BB">
      <w:pPr>
        <w:widowControl/>
        <w:spacing w:line="594" w:lineRule="exact"/>
        <w:ind w:firstLine="640" w:firstLineChars="200"/>
        <w:rPr>
          <w:rFonts w:hint="eastAsia"/>
          <w:kern w:val="0"/>
          <w:szCs w:val="32"/>
          <w:lang w:val="en-US" w:eastAsia="zh-CN"/>
        </w:rPr>
      </w:pPr>
      <w:r>
        <w:rPr>
          <w:rFonts w:hint="eastAsia"/>
          <w:kern w:val="0"/>
          <w:szCs w:val="32"/>
          <w:lang w:val="en-US" w:eastAsia="zh-CN"/>
        </w:rPr>
        <w:t>2022年，我乡镇年初预算收入673.75万元，其中：财政拨款收入年初预算673.75万元，占100%。年初支出预算673.75万元，基本支出673.75万元，占100%，项目支出0万元，其他支出0万元。</w:t>
      </w:r>
    </w:p>
    <w:p w14:paraId="5AE3C3D5">
      <w:pPr>
        <w:widowControl/>
        <w:spacing w:line="594" w:lineRule="exact"/>
        <w:ind w:firstLine="640" w:firstLineChars="200"/>
        <w:rPr>
          <w:rFonts w:hint="default"/>
          <w:kern w:val="0"/>
          <w:szCs w:val="32"/>
          <w:lang w:val="en-US" w:eastAsia="zh-CN"/>
        </w:rPr>
      </w:pPr>
      <w:r>
        <w:rPr>
          <w:rFonts w:hint="eastAsia"/>
          <w:kern w:val="0"/>
          <w:szCs w:val="32"/>
          <w:lang w:val="en-US" w:eastAsia="zh-CN"/>
        </w:rPr>
        <w:t>2、2022年度收支决算情况</w:t>
      </w:r>
    </w:p>
    <w:p w14:paraId="2E0DA087">
      <w:pPr>
        <w:widowControl/>
        <w:spacing w:line="594" w:lineRule="exact"/>
        <w:ind w:firstLine="640" w:firstLineChars="200"/>
        <w:rPr>
          <w:rFonts w:hint="eastAsia"/>
          <w:kern w:val="0"/>
          <w:szCs w:val="32"/>
          <w:lang w:val="en-US" w:eastAsia="zh-CN"/>
        </w:rPr>
      </w:pPr>
      <w:r>
        <w:rPr>
          <w:rFonts w:hint="eastAsia"/>
          <w:kern w:val="0"/>
          <w:szCs w:val="32"/>
          <w:lang w:eastAsia="zh-CN"/>
        </w:rPr>
        <w:t>我乡镇</w:t>
      </w:r>
      <w:r>
        <w:rPr>
          <w:rFonts w:hint="eastAsia"/>
          <w:kern w:val="0"/>
          <w:szCs w:val="32"/>
          <w:lang w:val="en-US" w:eastAsia="zh-CN"/>
        </w:rPr>
        <w:t>2022年决算总收入1499.73万无，</w:t>
      </w:r>
      <w:r>
        <w:rPr>
          <w:rFonts w:hint="eastAsia"/>
          <w:kern w:val="0"/>
          <w:szCs w:val="32"/>
          <w:lang w:eastAsia="zh-CN"/>
        </w:rPr>
        <w:t>总支出</w:t>
      </w:r>
      <w:r>
        <w:rPr>
          <w:rFonts w:hint="eastAsia"/>
          <w:kern w:val="0"/>
          <w:szCs w:val="32"/>
          <w:lang w:val="en-US" w:eastAsia="zh-CN"/>
        </w:rPr>
        <w:t>1499.73万元，基本支出1107.55万元，其中工资福利支出780.42万元、商品和服务支出301.79万元、对个人和家庭的补助支出25.34万元；项目支出392.19万元，革命老区资金14万元，乡镇财政监管资金14万元，水利建设基金（道路维修）18万元，乡镇公用经费12万元，美丽乡村建设200万元，村级产业发展及基础建设15万元，村级运转资金59.19万元，化债资金40万元，中央彩票公益项目资金20万元。</w:t>
      </w:r>
    </w:p>
    <w:p w14:paraId="30ADBD4B">
      <w:pPr>
        <w:widowControl/>
        <w:numPr>
          <w:ilvl w:val="0"/>
          <w:numId w:val="2"/>
        </w:numPr>
        <w:spacing w:line="594" w:lineRule="exact"/>
        <w:ind w:firstLine="640" w:firstLineChars="200"/>
        <w:rPr>
          <w:rFonts w:hint="eastAsia"/>
          <w:kern w:val="0"/>
          <w:szCs w:val="32"/>
          <w:lang w:val="en-US" w:eastAsia="zh-CN"/>
        </w:rPr>
      </w:pPr>
      <w:r>
        <w:rPr>
          <w:rFonts w:hint="eastAsia"/>
          <w:kern w:val="0"/>
          <w:szCs w:val="32"/>
          <w:lang w:val="en-US" w:eastAsia="zh-CN"/>
        </w:rPr>
        <w:t>“三公”经费使用管理情况</w:t>
      </w:r>
    </w:p>
    <w:p w14:paraId="3AD7FF8A">
      <w:pPr>
        <w:widowControl/>
        <w:numPr>
          <w:ilvl w:val="0"/>
          <w:numId w:val="0"/>
        </w:numPr>
        <w:spacing w:line="594" w:lineRule="exact"/>
        <w:rPr>
          <w:rFonts w:hint="eastAsia"/>
          <w:kern w:val="0"/>
          <w:szCs w:val="32"/>
          <w:lang w:val="en-US" w:eastAsia="zh-CN"/>
        </w:rPr>
      </w:pPr>
      <w:r>
        <w:rPr>
          <w:rFonts w:hint="eastAsia"/>
          <w:kern w:val="0"/>
          <w:szCs w:val="32"/>
          <w:lang w:val="en-US" w:eastAsia="zh-CN"/>
        </w:rPr>
        <w:t xml:space="preserve">   我乡镇2022年“三公”经费预算金额为23.05万元，其中公务车运行维护费5万元，公务接待费18.05万元。</w:t>
      </w:r>
    </w:p>
    <w:p w14:paraId="1F112120">
      <w:pPr>
        <w:widowControl/>
        <w:numPr>
          <w:ilvl w:val="0"/>
          <w:numId w:val="0"/>
        </w:numPr>
        <w:spacing w:line="594" w:lineRule="exact"/>
        <w:rPr>
          <w:kern w:val="0"/>
          <w:szCs w:val="32"/>
          <w:highlight w:val="none"/>
        </w:rPr>
      </w:pPr>
      <w:r>
        <w:rPr>
          <w:rFonts w:hint="eastAsia"/>
          <w:kern w:val="0"/>
          <w:szCs w:val="32"/>
          <w:lang w:val="en-US" w:eastAsia="zh-CN"/>
        </w:rPr>
        <w:t xml:space="preserve">  2022年，“三公”经费支出决算为21.17万元，其中公务车运行维护费5万元，与上年持平，主要是车况老化开支、油费及保险费用，公务接待费支出16.17万元，比上年减少0.05万元。</w:t>
      </w:r>
    </w:p>
    <w:p w14:paraId="4DD656BD">
      <w:pPr>
        <w:tabs>
          <w:tab w:val="left" w:pos="3396"/>
        </w:tabs>
        <w:spacing w:line="594" w:lineRule="exact"/>
        <w:ind w:firstLine="640" w:firstLineChars="200"/>
        <w:rPr>
          <w:rFonts w:eastAsia="楷体_GB2312"/>
          <w:kern w:val="0"/>
          <w:szCs w:val="32"/>
          <w:highlight w:val="none"/>
        </w:rPr>
      </w:pPr>
      <w:r>
        <w:rPr>
          <w:rFonts w:eastAsia="楷体_GB2312"/>
          <w:kern w:val="0"/>
          <w:szCs w:val="32"/>
          <w:highlight w:val="none"/>
        </w:rPr>
        <w:t>（二）项目支出</w:t>
      </w:r>
      <w:r>
        <w:rPr>
          <w:rFonts w:eastAsia="楷体_GB2312"/>
          <w:kern w:val="0"/>
          <w:szCs w:val="32"/>
          <w:highlight w:val="none"/>
        </w:rPr>
        <w:tab/>
      </w:r>
    </w:p>
    <w:p w14:paraId="2C7589BC">
      <w:pPr>
        <w:spacing w:line="594" w:lineRule="exact"/>
        <w:ind w:firstLine="640" w:firstLineChars="200"/>
        <w:rPr>
          <w:kern w:val="0"/>
          <w:szCs w:val="32"/>
          <w:highlight w:val="none"/>
        </w:rPr>
      </w:pPr>
      <w:r>
        <w:rPr>
          <w:kern w:val="0"/>
          <w:szCs w:val="32"/>
          <w:highlight w:val="none"/>
        </w:rPr>
        <w:t>1. 项目资金（包括财政资金、自筹资金等）安排落实、总投入等情况分析。</w:t>
      </w:r>
    </w:p>
    <w:p w14:paraId="30006405">
      <w:pPr>
        <w:spacing w:line="594" w:lineRule="exact"/>
        <w:ind w:firstLine="640" w:firstLineChars="200"/>
        <w:rPr>
          <w:kern w:val="0"/>
          <w:szCs w:val="32"/>
          <w:highlight w:val="none"/>
        </w:rPr>
      </w:pPr>
      <w:r>
        <w:rPr>
          <w:rFonts w:hint="eastAsia"/>
          <w:kern w:val="0"/>
          <w:szCs w:val="32"/>
          <w:lang w:val="en-US" w:eastAsia="zh-CN"/>
        </w:rPr>
        <w:t>202</w:t>
      </w:r>
      <w:r>
        <w:rPr>
          <w:rFonts w:hint="default"/>
          <w:kern w:val="0"/>
          <w:szCs w:val="32"/>
          <w:lang w:eastAsia="zh-CN"/>
        </w:rPr>
        <w:t>2</w:t>
      </w:r>
      <w:r>
        <w:rPr>
          <w:rFonts w:hint="eastAsia"/>
          <w:kern w:val="0"/>
          <w:szCs w:val="32"/>
          <w:lang w:val="en-US" w:eastAsia="zh-CN"/>
        </w:rPr>
        <w:t>年，项目资金收入</w:t>
      </w:r>
      <w:r>
        <w:rPr>
          <w:rFonts w:hint="default"/>
          <w:kern w:val="0"/>
          <w:szCs w:val="32"/>
          <w:lang w:eastAsia="zh-CN"/>
        </w:rPr>
        <w:t>392.19</w:t>
      </w:r>
      <w:r>
        <w:rPr>
          <w:rFonts w:hint="eastAsia"/>
          <w:kern w:val="0"/>
          <w:szCs w:val="32"/>
          <w:lang w:val="en-US" w:eastAsia="zh-CN"/>
        </w:rPr>
        <w:t>万元，其中</w:t>
      </w:r>
      <w:r>
        <w:rPr>
          <w:rFonts w:hint="default"/>
          <w:kern w:val="0"/>
          <w:szCs w:val="32"/>
          <w:lang w:eastAsia="zh-CN"/>
        </w:rPr>
        <w:t>一般公共预算财政拨款收入139.19万元，</w:t>
      </w:r>
      <w:r>
        <w:rPr>
          <w:rFonts w:hint="eastAsia"/>
          <w:kern w:val="0"/>
          <w:szCs w:val="32"/>
          <w:lang w:val="en-US" w:eastAsia="zh-CN"/>
        </w:rPr>
        <w:t>政府性基金预算财政拨款收入</w:t>
      </w:r>
      <w:r>
        <w:rPr>
          <w:rFonts w:hint="default"/>
          <w:kern w:val="0"/>
          <w:szCs w:val="32"/>
          <w:lang w:eastAsia="zh-CN"/>
        </w:rPr>
        <w:t>38</w:t>
      </w:r>
      <w:r>
        <w:rPr>
          <w:rFonts w:hint="eastAsia"/>
          <w:kern w:val="0"/>
          <w:szCs w:val="32"/>
          <w:lang w:val="en-US" w:eastAsia="zh-CN"/>
        </w:rPr>
        <w:t>万，其他收入</w:t>
      </w:r>
      <w:r>
        <w:rPr>
          <w:rFonts w:hint="default"/>
          <w:kern w:val="0"/>
          <w:szCs w:val="32"/>
          <w:lang w:eastAsia="zh-CN"/>
        </w:rPr>
        <w:t>215</w:t>
      </w:r>
      <w:r>
        <w:rPr>
          <w:rFonts w:hint="eastAsia"/>
          <w:kern w:val="0"/>
          <w:szCs w:val="32"/>
          <w:lang w:val="en-US" w:eastAsia="zh-CN"/>
        </w:rPr>
        <w:t>万元。</w:t>
      </w:r>
    </w:p>
    <w:p w14:paraId="41ABABF2">
      <w:pPr>
        <w:numPr>
          <w:ilvl w:val="0"/>
          <w:numId w:val="3"/>
        </w:numPr>
        <w:spacing w:line="594" w:lineRule="exact"/>
        <w:ind w:firstLine="640" w:firstLineChars="200"/>
        <w:rPr>
          <w:kern w:val="0"/>
          <w:szCs w:val="32"/>
          <w:highlight w:val="none"/>
        </w:rPr>
      </w:pPr>
      <w:r>
        <w:rPr>
          <w:kern w:val="0"/>
          <w:szCs w:val="32"/>
          <w:highlight w:val="none"/>
        </w:rPr>
        <w:t>项目资金（主要指财政资金）实际使用情况分析。</w:t>
      </w:r>
    </w:p>
    <w:p w14:paraId="695DDEA9">
      <w:pPr>
        <w:numPr>
          <w:ilvl w:val="0"/>
          <w:numId w:val="0"/>
        </w:numPr>
        <w:spacing w:line="594" w:lineRule="exact"/>
        <w:ind w:firstLine="640" w:firstLineChars="200"/>
        <w:rPr>
          <w:kern w:val="0"/>
          <w:szCs w:val="32"/>
          <w:highlight w:val="none"/>
        </w:rPr>
      </w:pPr>
      <w:r>
        <w:rPr>
          <w:rFonts w:hint="eastAsia"/>
          <w:kern w:val="0"/>
          <w:szCs w:val="32"/>
          <w:lang w:val="en-US" w:eastAsia="zh-CN"/>
        </w:rPr>
        <w:t>项目支出</w:t>
      </w:r>
      <w:r>
        <w:rPr>
          <w:rFonts w:hint="default"/>
          <w:kern w:val="0"/>
          <w:szCs w:val="32"/>
          <w:lang w:eastAsia="zh-CN"/>
        </w:rPr>
        <w:t>392.19</w:t>
      </w:r>
      <w:r>
        <w:rPr>
          <w:rFonts w:hint="eastAsia"/>
          <w:kern w:val="0"/>
          <w:szCs w:val="32"/>
          <w:lang w:val="en-US" w:eastAsia="zh-CN"/>
        </w:rPr>
        <w:t>万元。全部为财政资金安排，</w:t>
      </w:r>
      <w:r>
        <w:rPr>
          <w:rFonts w:hint="default"/>
          <w:kern w:val="0"/>
          <w:szCs w:val="32"/>
          <w:lang w:eastAsia="zh-CN"/>
        </w:rPr>
        <w:t>其中</w:t>
      </w:r>
      <w:r>
        <w:rPr>
          <w:rFonts w:hint="eastAsia"/>
          <w:kern w:val="0"/>
          <w:szCs w:val="32"/>
          <w:lang w:val="en-US" w:eastAsia="zh-CN"/>
        </w:rPr>
        <w:t>革命老区资金14万元，主要用于仙龙村、柘溪林场和新潭村的基础设施建设，乡镇财政监管资金14万元，主要用于村及镇区的基础设施建设，水利建设基金（道路维修）18万元，主要用于村及镇区的道路维修，乡镇公用经费12万元，主要用于乡镇的各项开支，美丽乡村建设200万元，主要用和谐村村级建设及人居环境，村级产业发展及基础建设15万元，主要用于村级产业发展，村级运转资金59.19万元，主要用于村级运转办公经费，化债资金40万元，主要用于富强村和赤水新村的村级综合服务平台建设，中央彩票公益项目资金20万元，主要用村级基础设施建设和产业发展。</w:t>
      </w:r>
    </w:p>
    <w:p w14:paraId="224B3DA1">
      <w:pPr>
        <w:numPr>
          <w:ilvl w:val="0"/>
          <w:numId w:val="3"/>
        </w:numPr>
        <w:spacing w:line="594" w:lineRule="exact"/>
        <w:ind w:left="0" w:leftChars="0" w:firstLine="640" w:firstLineChars="200"/>
        <w:rPr>
          <w:kern w:val="0"/>
          <w:szCs w:val="32"/>
          <w:highlight w:val="none"/>
        </w:rPr>
      </w:pPr>
      <w:r>
        <w:rPr>
          <w:kern w:val="0"/>
          <w:szCs w:val="32"/>
          <w:highlight w:val="none"/>
        </w:rPr>
        <w:t>项目资金管理情况分析，主要包括管理制度、办法的制订及执行情况。</w:t>
      </w:r>
    </w:p>
    <w:p w14:paraId="4F93F778">
      <w:pPr>
        <w:widowControl/>
        <w:numPr>
          <w:ilvl w:val="0"/>
          <w:numId w:val="0"/>
        </w:numPr>
        <w:spacing w:line="594" w:lineRule="exact"/>
        <w:ind w:firstLine="640" w:firstLineChars="200"/>
      </w:pPr>
      <w:r>
        <w:rPr>
          <w:rFonts w:hint="eastAsia"/>
          <w:kern w:val="0"/>
          <w:szCs w:val="32"/>
          <w:lang w:val="en-US" w:eastAsia="zh-CN"/>
        </w:rPr>
        <w:t>坚持专款专用的原则，严格财务管理，确保经费管理各个环节的畅通。有计划地使用资金，确保项目资金能达到预期效果。每一笔支出由领导进行审批，确保资金在使用程序上严谨，确保每一笔资金的支付公开透明。</w:t>
      </w:r>
    </w:p>
    <w:p w14:paraId="6C0BEA96">
      <w:pPr>
        <w:spacing w:line="594" w:lineRule="exact"/>
        <w:ind w:firstLine="640" w:firstLineChars="200"/>
        <w:rPr>
          <w:rFonts w:eastAsia="黑体"/>
          <w:bCs/>
          <w:kern w:val="0"/>
          <w:szCs w:val="32"/>
          <w:highlight w:val="none"/>
        </w:rPr>
      </w:pPr>
      <w:r>
        <w:rPr>
          <w:rFonts w:eastAsia="黑体"/>
          <w:bCs/>
          <w:kern w:val="0"/>
          <w:szCs w:val="32"/>
          <w:highlight w:val="none"/>
        </w:rPr>
        <w:t>三、项目组织实施情况分析</w:t>
      </w:r>
    </w:p>
    <w:p w14:paraId="36DD3986">
      <w:pPr>
        <w:spacing w:line="594" w:lineRule="exact"/>
        <w:ind w:firstLine="640" w:firstLineChars="200"/>
        <w:rPr>
          <w:kern w:val="0"/>
          <w:szCs w:val="32"/>
          <w:highlight w:val="none"/>
        </w:rPr>
      </w:pPr>
      <w:r>
        <w:rPr>
          <w:kern w:val="0"/>
          <w:szCs w:val="32"/>
          <w:highlight w:val="none"/>
        </w:rPr>
        <w:t>（一）项目组织情况分析，主要包括项目招投标、调整、竣工验收等情况。</w:t>
      </w:r>
    </w:p>
    <w:p w14:paraId="01F61EEA">
      <w:pPr>
        <w:widowControl/>
        <w:spacing w:line="594" w:lineRule="exact"/>
        <w:ind w:firstLine="640" w:firstLineChars="200"/>
        <w:rPr>
          <w:rFonts w:hint="eastAsia" w:eastAsia="仿宋_GB2312"/>
          <w:lang w:val="en-US" w:eastAsia="zh-CN"/>
        </w:rPr>
      </w:pPr>
      <w:r>
        <w:rPr>
          <w:rFonts w:hint="eastAsia"/>
          <w:lang w:val="en-US" w:eastAsia="zh-CN"/>
        </w:rPr>
        <w:t xml:space="preserve"> </w:t>
      </w:r>
      <w:r>
        <w:rPr>
          <w:rFonts w:hint="eastAsia"/>
          <w:kern w:val="0"/>
          <w:szCs w:val="32"/>
          <w:lang w:val="en-US" w:eastAsia="zh-CN"/>
        </w:rPr>
        <w:t>2022年，项目资金共计392.19万，其中一般公共预算财政拨款收入139.19万元，政府性基金预算财政拨款收入38万，其他收入215万元。用于革命老区资金14万元，乡镇财政监管资金14万元，水利建设基金（道路维修）18万元，乡镇公用经费12万元，美丽乡村建设200万元，村级产业发展及基础建设15万元，村级运转资金59.19万元，化债资金40万元，中央彩票公益项目资金20万元，均已使用全部支出，验收完成。</w:t>
      </w:r>
    </w:p>
    <w:p w14:paraId="327BFFCE">
      <w:pPr>
        <w:numPr>
          <w:ilvl w:val="0"/>
          <w:numId w:val="4"/>
        </w:numPr>
        <w:spacing w:line="594" w:lineRule="exact"/>
        <w:ind w:firstLine="640" w:firstLineChars="200"/>
        <w:rPr>
          <w:kern w:val="0"/>
          <w:szCs w:val="32"/>
          <w:highlight w:val="none"/>
        </w:rPr>
      </w:pPr>
      <w:r>
        <w:rPr>
          <w:kern w:val="0"/>
          <w:szCs w:val="32"/>
          <w:highlight w:val="none"/>
        </w:rPr>
        <w:t>项目管理情况分析，主要包括项目管理制度建设、日常检查监督管理等情况。</w:t>
      </w:r>
    </w:p>
    <w:p w14:paraId="118F9EF2">
      <w:r>
        <w:rPr>
          <w:rFonts w:hint="eastAsia"/>
          <w:kern w:val="0"/>
          <w:szCs w:val="32"/>
          <w:lang w:val="en-US" w:eastAsia="zh-CN"/>
        </w:rPr>
        <w:t xml:space="preserve">   2022年，安化县古楼乡人民政府对项目资金的管理通过专项资金财务管理办法，</w:t>
      </w:r>
      <w:r>
        <w:rPr>
          <w:rFonts w:hint="eastAsia" w:ascii="仿宋_GB2312" w:eastAsia="仿宋_GB2312"/>
          <w:sz w:val="32"/>
          <w:szCs w:val="32"/>
        </w:rPr>
        <w:t>由</w:t>
      </w:r>
      <w:r>
        <w:rPr>
          <w:rFonts w:hint="eastAsia" w:ascii="仿宋_GB2312"/>
          <w:sz w:val="32"/>
          <w:szCs w:val="32"/>
          <w:lang w:eastAsia="zh-CN"/>
        </w:rPr>
        <w:t>乡长、</w:t>
      </w:r>
      <w:r>
        <w:rPr>
          <w:rFonts w:hint="eastAsia" w:ascii="仿宋_GB2312" w:eastAsia="仿宋_GB2312"/>
          <w:sz w:val="32"/>
          <w:szCs w:val="32"/>
        </w:rPr>
        <w:t>专职副书记、副乡长和财政所所长组成联审会签小组</w:t>
      </w:r>
      <w:r>
        <w:rPr>
          <w:rFonts w:hint="eastAsia" w:ascii="仿宋_GB2312"/>
          <w:sz w:val="32"/>
          <w:szCs w:val="32"/>
          <w:lang w:eastAsia="zh-CN"/>
        </w:rPr>
        <w:t>，</w:t>
      </w:r>
      <w:r>
        <w:rPr>
          <w:rFonts w:hint="eastAsia" w:ascii="仿宋_GB2312" w:eastAsia="仿宋_GB2312"/>
          <w:sz w:val="32"/>
          <w:szCs w:val="32"/>
        </w:rPr>
        <w:t>所有</w:t>
      </w:r>
      <w:r>
        <w:rPr>
          <w:rFonts w:hint="eastAsia" w:ascii="仿宋_GB2312"/>
          <w:sz w:val="32"/>
          <w:szCs w:val="32"/>
          <w:lang w:eastAsia="zh-CN"/>
        </w:rPr>
        <w:t>项目资金</w:t>
      </w:r>
      <w:r>
        <w:rPr>
          <w:rFonts w:hint="eastAsia" w:ascii="仿宋_GB2312" w:eastAsia="仿宋_GB2312"/>
          <w:sz w:val="32"/>
          <w:szCs w:val="32"/>
        </w:rPr>
        <w:t>报销须附件齐全，票据一律由经办人签字、分管领导证明</w:t>
      </w:r>
      <w:r>
        <w:rPr>
          <w:rFonts w:hint="eastAsia" w:ascii="仿宋_GB2312"/>
          <w:sz w:val="32"/>
          <w:szCs w:val="32"/>
          <w:lang w:eastAsia="zh-CN"/>
        </w:rPr>
        <w:t>，使项目资金在内容上和性质上能按照预算的要求进行使用。</w:t>
      </w:r>
    </w:p>
    <w:p w14:paraId="2FA8A1A9">
      <w:pPr>
        <w:spacing w:line="594" w:lineRule="exact"/>
        <w:ind w:firstLine="640" w:firstLineChars="200"/>
        <w:rPr>
          <w:rFonts w:eastAsia="黑体"/>
          <w:bCs/>
          <w:kern w:val="0"/>
          <w:szCs w:val="32"/>
          <w:highlight w:val="none"/>
        </w:rPr>
      </w:pPr>
      <w:r>
        <w:rPr>
          <w:rFonts w:eastAsia="黑体"/>
          <w:bCs/>
          <w:kern w:val="0"/>
          <w:szCs w:val="32"/>
          <w:highlight w:val="none"/>
        </w:rPr>
        <w:t>四、部门整体支出绩效情况分析</w:t>
      </w:r>
    </w:p>
    <w:p w14:paraId="1DEA3DE6">
      <w:pPr>
        <w:spacing w:line="594" w:lineRule="exact"/>
        <w:ind w:firstLine="640" w:firstLineChars="200"/>
        <w:rPr>
          <w:kern w:val="0"/>
          <w:szCs w:val="32"/>
          <w:highlight w:val="none"/>
        </w:rPr>
      </w:pPr>
      <w:r>
        <w:rPr>
          <w:kern w:val="0"/>
          <w:szCs w:val="32"/>
          <w:highlight w:val="none"/>
        </w:rPr>
        <w:t>反映部门履职及履职效益情况。主要从部门整体支出的经济性、效率性、有效性和可持续性等方面进行量化、具体分析。其中：经济性分析主要是对成本（预算）控制、节约等情况进行分析；效率性分析主要是对各项工作、专项完成的进度及质量等情况进行分析；有效性分析主要是对反映部门整体支出使用效果的个性指标进行分析；可持续性分析主要是对支出完成后，后续政策、资金、人员机构安排和管理措施等影响项目持续发展的因素进行分析。</w:t>
      </w:r>
    </w:p>
    <w:p w14:paraId="532DEC43">
      <w:pPr>
        <w:spacing w:line="594" w:lineRule="exact"/>
        <w:ind w:firstLine="640" w:firstLineChars="200"/>
        <w:rPr>
          <w:kern w:val="0"/>
          <w:szCs w:val="32"/>
          <w:highlight w:val="none"/>
        </w:rPr>
      </w:pPr>
      <w:r>
        <w:rPr>
          <w:rFonts w:eastAsia="黑体"/>
          <w:bCs/>
          <w:kern w:val="0"/>
          <w:szCs w:val="32"/>
          <w:highlight w:val="none"/>
        </w:rPr>
        <w:t>五、绩效评价工作开展情况</w:t>
      </w:r>
    </w:p>
    <w:p w14:paraId="2F6432BB">
      <w:pPr>
        <w:spacing w:line="594" w:lineRule="exact"/>
        <w:ind w:firstLine="640" w:firstLineChars="200"/>
        <w:rPr>
          <w:kern w:val="0"/>
          <w:szCs w:val="32"/>
          <w:highlight w:val="none"/>
        </w:rPr>
      </w:pPr>
      <w:r>
        <w:rPr>
          <w:kern w:val="0"/>
          <w:szCs w:val="32"/>
          <w:highlight w:val="none"/>
        </w:rPr>
        <w:t>（一）绩效评价目的。</w:t>
      </w:r>
    </w:p>
    <w:p w14:paraId="0F848408">
      <w:pPr>
        <w:spacing w:line="594" w:lineRule="exact"/>
        <w:ind w:firstLine="640" w:firstLineChars="200"/>
        <w:rPr>
          <w:kern w:val="0"/>
          <w:szCs w:val="32"/>
          <w:highlight w:val="none"/>
        </w:rPr>
      </w:pPr>
      <w:r>
        <w:rPr>
          <w:rFonts w:hint="eastAsia"/>
          <w:kern w:val="0"/>
          <w:szCs w:val="32"/>
          <w:lang w:eastAsia="zh-CN"/>
        </w:rPr>
        <w:t>此次绩效评价的目的是：严格落实《预算法》及省、市、县绩效管理工作的有关规定，进一步规范财政资金的管理，强化财政支出绩效理念，提升部门责任意识，提高资金使用效益，促进人社事业的发展。</w:t>
      </w:r>
    </w:p>
    <w:p w14:paraId="6E3E9C1B">
      <w:pPr>
        <w:numPr>
          <w:ilvl w:val="0"/>
          <w:numId w:val="5"/>
        </w:numPr>
        <w:spacing w:line="594" w:lineRule="exact"/>
        <w:ind w:firstLine="640" w:firstLineChars="200"/>
        <w:rPr>
          <w:kern w:val="0"/>
          <w:szCs w:val="32"/>
          <w:highlight w:val="none"/>
        </w:rPr>
      </w:pPr>
      <w:r>
        <w:rPr>
          <w:kern w:val="0"/>
          <w:szCs w:val="32"/>
          <w:highlight w:val="none"/>
        </w:rPr>
        <w:t>绩效评价工作过程，主要包括前期准备、组织实施和分析评价以及自评结果等内容。</w:t>
      </w:r>
    </w:p>
    <w:p w14:paraId="3DA3488F">
      <w:pPr>
        <w:widowControl/>
        <w:numPr>
          <w:ilvl w:val="0"/>
          <w:numId w:val="0"/>
        </w:numPr>
        <w:spacing w:line="594" w:lineRule="exact"/>
        <w:ind w:firstLine="640" w:firstLineChars="200"/>
        <w:rPr>
          <w:rFonts w:hint="default" w:eastAsia="仿宋_GB2312"/>
          <w:kern w:val="0"/>
          <w:szCs w:val="32"/>
          <w:lang w:val="en-US" w:eastAsia="zh-CN"/>
        </w:rPr>
      </w:pPr>
      <w:r>
        <w:rPr>
          <w:rFonts w:hint="eastAsia"/>
          <w:kern w:val="0"/>
          <w:szCs w:val="32"/>
          <w:lang w:val="en-US" w:eastAsia="zh-CN"/>
        </w:rPr>
        <w:t>根据绩效评价的要求，我们成立了自评工作领导小组，对照自评方案进行研究和部署，党组成员及各站所全程参与，按照自评方案的要求，对照各实施项目的内容逐条逐项自评。在自评过程中发现问题，查找原因，及时纠正偏差，为下一步工作夯实基础。</w:t>
      </w:r>
    </w:p>
    <w:p w14:paraId="62EB1400">
      <w:pPr>
        <w:numPr>
          <w:ilvl w:val="0"/>
          <w:numId w:val="0"/>
        </w:numPr>
        <w:spacing w:line="594" w:lineRule="exact"/>
        <w:ind w:firstLine="640" w:firstLineChars="200"/>
        <w:rPr>
          <w:kern w:val="0"/>
          <w:szCs w:val="32"/>
          <w:highlight w:val="none"/>
        </w:rPr>
      </w:pPr>
      <w:r>
        <w:rPr>
          <w:rFonts w:eastAsia="黑体"/>
          <w:bCs/>
          <w:kern w:val="0"/>
          <w:szCs w:val="32"/>
          <w:highlight w:val="none"/>
        </w:rPr>
        <w:t>六、存在的主要问题</w:t>
      </w:r>
      <w:r>
        <w:rPr>
          <w:kern w:val="0"/>
          <w:szCs w:val="32"/>
          <w:highlight w:val="none"/>
        </w:rPr>
        <w:t xml:space="preserve"> </w:t>
      </w:r>
    </w:p>
    <w:p w14:paraId="64947CC1">
      <w:pPr>
        <w:numPr>
          <w:ilvl w:val="0"/>
          <w:numId w:val="6"/>
        </w:numPr>
        <w:spacing w:line="594" w:lineRule="exact"/>
        <w:ind w:firstLine="640" w:firstLineChars="200"/>
        <w:rPr>
          <w:rFonts w:hint="eastAsia"/>
          <w:kern w:val="0"/>
          <w:szCs w:val="32"/>
          <w:highlight w:val="none"/>
          <w:lang w:eastAsia="zh-CN"/>
        </w:rPr>
      </w:pPr>
      <w:r>
        <w:rPr>
          <w:rFonts w:hint="eastAsia"/>
          <w:kern w:val="0"/>
          <w:szCs w:val="32"/>
          <w:highlight w:val="none"/>
          <w:lang w:eastAsia="zh-CN"/>
        </w:rPr>
        <w:t>预算绩效管理工作的不完善，</w:t>
      </w:r>
      <w:r>
        <w:rPr>
          <w:rFonts w:hint="eastAsia" w:ascii="仿宋" w:hAnsi="仿宋" w:eastAsia="仿宋" w:cs="仿宋"/>
          <w:bCs/>
          <w:kern w:val="0"/>
          <w:sz w:val="32"/>
          <w:szCs w:val="32"/>
          <w:lang w:val="en-US" w:eastAsia="zh-CN"/>
        </w:rPr>
        <w:t>目标设立不够明确、细化、量化。</w:t>
      </w:r>
    </w:p>
    <w:p w14:paraId="6AD1E856">
      <w:pPr>
        <w:numPr>
          <w:ilvl w:val="0"/>
          <w:numId w:val="6"/>
        </w:numPr>
        <w:spacing w:line="594" w:lineRule="exact"/>
        <w:ind w:left="0" w:leftChars="0" w:firstLine="640" w:firstLineChars="200"/>
        <w:rPr>
          <w:rFonts w:hint="eastAsia"/>
          <w:kern w:val="0"/>
          <w:szCs w:val="32"/>
          <w:highlight w:val="none"/>
          <w:lang w:eastAsia="zh-CN"/>
        </w:rPr>
      </w:pPr>
      <w:r>
        <w:rPr>
          <w:rFonts w:hint="eastAsia"/>
          <w:kern w:val="0"/>
          <w:szCs w:val="32"/>
          <w:highlight w:val="none"/>
          <w:lang w:eastAsia="zh-CN"/>
        </w:rPr>
        <w:t>预算计划与预算执行存在一定的偏差，预算编制与实际支出项目存在差异，资金使用效益需进一步提高。</w:t>
      </w:r>
    </w:p>
    <w:p w14:paraId="22D4F65E">
      <w:pPr>
        <w:numPr>
          <w:ilvl w:val="0"/>
          <w:numId w:val="6"/>
        </w:numPr>
        <w:spacing w:line="594" w:lineRule="exact"/>
        <w:ind w:left="0" w:leftChars="0" w:firstLine="640" w:firstLineChars="200"/>
        <w:rPr>
          <w:rFonts w:hint="eastAsia"/>
          <w:kern w:val="0"/>
          <w:szCs w:val="32"/>
          <w:highlight w:val="none"/>
          <w:lang w:eastAsia="zh-CN"/>
        </w:rPr>
      </w:pPr>
      <w:r>
        <w:rPr>
          <w:rFonts w:hint="eastAsia"/>
          <w:kern w:val="0"/>
          <w:szCs w:val="32"/>
          <w:highlight w:val="none"/>
          <w:lang w:eastAsia="zh-CN"/>
        </w:rPr>
        <w:t>单位制定了财务管理制度，但由于业务经费紧张，受限于资金，业务工作的开展比较被动。</w:t>
      </w:r>
    </w:p>
    <w:p w14:paraId="672F5B27">
      <w:pPr>
        <w:spacing w:line="594" w:lineRule="exact"/>
        <w:ind w:firstLine="640" w:firstLineChars="200"/>
        <w:rPr>
          <w:rFonts w:eastAsia="黑体"/>
          <w:bCs/>
          <w:kern w:val="0"/>
          <w:szCs w:val="32"/>
          <w:highlight w:val="none"/>
        </w:rPr>
      </w:pPr>
      <w:r>
        <w:rPr>
          <w:rFonts w:eastAsia="黑体"/>
          <w:bCs/>
          <w:kern w:val="0"/>
          <w:szCs w:val="32"/>
          <w:highlight w:val="none"/>
        </w:rPr>
        <w:t>七、改进措施和有关建议</w:t>
      </w:r>
    </w:p>
    <w:p w14:paraId="30B3803E">
      <w:pPr>
        <w:spacing w:line="594" w:lineRule="exact"/>
        <w:ind w:firstLine="640" w:firstLineChars="200"/>
        <w:rPr>
          <w:rFonts w:hint="eastAsia"/>
          <w:kern w:val="0"/>
          <w:szCs w:val="32"/>
          <w:highlight w:val="none"/>
          <w:lang w:eastAsia="zh-CN"/>
        </w:rPr>
      </w:pPr>
      <w:r>
        <w:rPr>
          <w:rFonts w:hint="eastAsia"/>
          <w:kern w:val="0"/>
          <w:szCs w:val="32"/>
          <w:lang w:val="en-US" w:eastAsia="zh-CN"/>
        </w:rPr>
        <w:t>（一）细化预算编制，做好预算编制。进一步加强单位内部机构各站所的预算管理意识，严格按照预算编制的相关制度和要求进行预算编制。</w:t>
      </w:r>
    </w:p>
    <w:p w14:paraId="61CE5B77">
      <w:pPr>
        <w:numPr>
          <w:ilvl w:val="0"/>
          <w:numId w:val="0"/>
        </w:numPr>
        <w:spacing w:line="594" w:lineRule="exact"/>
        <w:ind w:firstLine="640" w:firstLineChars="200"/>
        <w:rPr>
          <w:rFonts w:hint="default"/>
          <w:kern w:val="0"/>
          <w:szCs w:val="32"/>
          <w:highlight w:val="none"/>
          <w:lang w:val="en-US" w:eastAsia="zh-CN"/>
        </w:rPr>
      </w:pPr>
      <w:r>
        <w:rPr>
          <w:rFonts w:hint="eastAsia"/>
          <w:kern w:val="0"/>
          <w:szCs w:val="32"/>
          <w:highlight w:val="none"/>
          <w:lang w:eastAsia="zh-CN"/>
        </w:rPr>
        <w:t>（二）加强队伍建设，学习相关政策。对相关业务部门进行相关培训，了解相关政策，组织学习好《预算法》《行政单位会计制度》提升相关人员的业务能力。</w:t>
      </w:r>
    </w:p>
    <w:p w14:paraId="0B60723E">
      <w:pPr>
        <w:numPr>
          <w:ilvl w:val="0"/>
          <w:numId w:val="0"/>
        </w:numPr>
        <w:spacing w:line="594" w:lineRule="exact"/>
        <w:ind w:firstLine="640" w:firstLineChars="200"/>
        <w:rPr>
          <w:rFonts w:hint="default"/>
          <w:kern w:val="0"/>
          <w:szCs w:val="32"/>
          <w:highlight w:val="none"/>
          <w:lang w:val="en-US" w:eastAsia="zh-CN"/>
        </w:rPr>
      </w:pPr>
      <w:r>
        <w:rPr>
          <w:rFonts w:hint="eastAsia"/>
          <w:kern w:val="0"/>
          <w:szCs w:val="32"/>
          <w:highlight w:val="none"/>
          <w:lang w:val="en-US" w:eastAsia="zh-CN"/>
        </w:rPr>
        <w:t>（三）</w:t>
      </w:r>
      <w:r>
        <w:rPr>
          <w:rFonts w:hint="eastAsia"/>
          <w:kern w:val="0"/>
          <w:szCs w:val="32"/>
          <w:lang w:val="en-US" w:eastAsia="zh-CN"/>
        </w:rPr>
        <w:t>加强财务管理，严格财务审核。</w:t>
      </w:r>
      <w:r>
        <w:rPr>
          <w:rFonts w:hint="default" w:ascii="Times New Roman" w:hAnsi="Times New Roman" w:eastAsia="仿宋_GB2312" w:cs="Times New Roman"/>
          <w:sz w:val="32"/>
          <w:szCs w:val="32"/>
          <w:lang w:val="en-US" w:eastAsia="zh-CN"/>
        </w:rPr>
        <w:t>成立古楼乡集中采购领导小组，由乡长任组长，分管领导任副组长，党政办和财政所分别指定一名专人负责，</w:t>
      </w:r>
      <w:r>
        <w:rPr>
          <w:rFonts w:hint="default" w:ascii="Times New Roman" w:hAnsi="Times New Roman" w:eastAsia="仿宋_GB2312" w:cs="Times New Roman"/>
          <w:color w:val="auto"/>
          <w:sz w:val="32"/>
          <w:szCs w:val="32"/>
        </w:rPr>
        <w:t>明确“一把手负总责</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分管</w:t>
      </w:r>
      <w:r>
        <w:rPr>
          <w:rFonts w:hint="default" w:ascii="Times New Roman" w:hAnsi="Times New Roman" w:eastAsia="仿宋_GB2312" w:cs="Times New Roman"/>
          <w:color w:val="auto"/>
          <w:sz w:val="32"/>
          <w:szCs w:val="32"/>
        </w:rPr>
        <w:t>领导具体抓</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相关负责人抓落实</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乡长</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一支笔</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b w:val="0"/>
          <w:bCs w:val="0"/>
          <w:i w:val="0"/>
          <w:iCs w:val="0"/>
          <w:color w:val="auto"/>
          <w:sz w:val="32"/>
          <w:szCs w:val="32"/>
        </w:rPr>
        <w:t>审批</w:t>
      </w:r>
      <w:r>
        <w:rPr>
          <w:rFonts w:hint="default" w:ascii="Times New Roman" w:hAnsi="Times New Roman" w:eastAsia="仿宋_GB2312" w:cs="Times New Roman"/>
          <w:color w:val="auto"/>
          <w:sz w:val="32"/>
          <w:szCs w:val="32"/>
        </w:rPr>
        <w:t>的工作责任</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为</w:t>
      </w:r>
      <w:r>
        <w:rPr>
          <w:rFonts w:hint="default" w:ascii="Times New Roman" w:hAnsi="Times New Roman" w:eastAsia="仿宋_GB2312" w:cs="Times New Roman"/>
          <w:sz w:val="32"/>
          <w:szCs w:val="32"/>
        </w:rPr>
        <w:t>节约型机关</w:t>
      </w:r>
      <w:r>
        <w:rPr>
          <w:rFonts w:hint="default" w:ascii="Times New Roman" w:hAnsi="Times New Roman" w:eastAsia="仿宋_GB2312" w:cs="Times New Roman"/>
          <w:sz w:val="32"/>
          <w:szCs w:val="32"/>
          <w:lang w:val="en-US" w:eastAsia="zh-CN"/>
        </w:rPr>
        <w:t>构建，提供可靠保障</w:t>
      </w:r>
      <w:r>
        <w:rPr>
          <w:rFonts w:hint="default" w:ascii="Times New Roman" w:hAnsi="Times New Roman" w:eastAsia="仿宋_GB2312" w:cs="Times New Roman"/>
          <w:sz w:val="32"/>
          <w:szCs w:val="32"/>
          <w:lang w:eastAsia="zh-CN"/>
        </w:rPr>
        <w:t>。</w:t>
      </w:r>
    </w:p>
    <w:p w14:paraId="4E01D9E3"/>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1EA3">
    <w:pPr>
      <w:pStyle w:val="3"/>
      <w:framePr w:w="1701" w:wrap="around" w:vAnchor="text" w:hAnchor="margin" w:xAlign="outside" w:y="1"/>
      <w:jc w:val="center"/>
      <w:rPr>
        <w:rStyle w:val="6"/>
        <w:rFonts w:hint="eastAsia"/>
        <w:sz w:val="28"/>
        <w:szCs w:val="28"/>
      </w:rPr>
    </w:pPr>
    <w:r>
      <w:rPr>
        <w:rStyle w:val="6"/>
        <w:rFonts w:hint="eastAsia"/>
        <w:sz w:val="28"/>
        <w:szCs w:val="28"/>
      </w:rPr>
      <w:t xml:space="preserve">— </w:t>
    </w:r>
    <w:r>
      <w:rPr>
        <w:sz w:val="28"/>
        <w:szCs w:val="28"/>
      </w:rPr>
      <w:fldChar w:fldCharType="begin"/>
    </w:r>
    <w:r>
      <w:rPr>
        <w:rStyle w:val="6"/>
        <w:sz w:val="28"/>
        <w:szCs w:val="28"/>
      </w:rPr>
      <w:instrText xml:space="preserve">PAGE  </w:instrText>
    </w:r>
    <w:r>
      <w:rPr>
        <w:sz w:val="28"/>
        <w:szCs w:val="28"/>
      </w:rPr>
      <w:fldChar w:fldCharType="separate"/>
    </w:r>
    <w:r>
      <w:rPr>
        <w:rStyle w:val="6"/>
        <w:sz w:val="28"/>
        <w:szCs w:val="28"/>
      </w:rPr>
      <w:t>6</w:t>
    </w:r>
    <w:r>
      <w:rPr>
        <w:sz w:val="28"/>
        <w:szCs w:val="28"/>
      </w:rPr>
      <w:fldChar w:fldCharType="end"/>
    </w:r>
    <w:r>
      <w:rPr>
        <w:rFonts w:hint="eastAsia"/>
        <w:sz w:val="28"/>
        <w:szCs w:val="28"/>
      </w:rPr>
      <w:t xml:space="preserve"> </w:t>
    </w:r>
    <w:r>
      <w:rPr>
        <w:rStyle w:val="6"/>
        <w:rFonts w:hint="eastAsia"/>
        <w:sz w:val="28"/>
        <w:szCs w:val="28"/>
      </w:rPr>
      <w:t>—</w:t>
    </w:r>
  </w:p>
  <w:p w14:paraId="027B3557">
    <w:pPr>
      <w:pStyle w:val="3"/>
      <w:ind w:right="360"/>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2C94EA"/>
    <w:multiLevelType w:val="singleLevel"/>
    <w:tmpl w:val="8E2C94EA"/>
    <w:lvl w:ilvl="0" w:tentative="0">
      <w:start w:val="2"/>
      <w:numFmt w:val="decimal"/>
      <w:suff w:val="space"/>
      <w:lvlText w:val="%1."/>
      <w:lvlJc w:val="left"/>
    </w:lvl>
  </w:abstractNum>
  <w:abstractNum w:abstractNumId="1">
    <w:nsid w:val="BAFE962D"/>
    <w:multiLevelType w:val="singleLevel"/>
    <w:tmpl w:val="BAFE962D"/>
    <w:lvl w:ilvl="0" w:tentative="0">
      <w:start w:val="1"/>
      <w:numFmt w:val="chineseCounting"/>
      <w:suff w:val="nothing"/>
      <w:lvlText w:val="（%1）"/>
      <w:lvlJc w:val="left"/>
      <w:rPr>
        <w:rFonts w:hint="eastAsia"/>
      </w:rPr>
    </w:lvl>
  </w:abstractNum>
  <w:abstractNum w:abstractNumId="2">
    <w:nsid w:val="D86EBFC5"/>
    <w:multiLevelType w:val="singleLevel"/>
    <w:tmpl w:val="D86EBFC5"/>
    <w:lvl w:ilvl="0" w:tentative="0">
      <w:start w:val="2"/>
      <w:numFmt w:val="chineseCounting"/>
      <w:suff w:val="nothing"/>
      <w:lvlText w:val="（%1）"/>
      <w:lvlJc w:val="left"/>
      <w:rPr>
        <w:rFonts w:hint="eastAsia"/>
      </w:rPr>
    </w:lvl>
  </w:abstractNum>
  <w:abstractNum w:abstractNumId="3">
    <w:nsid w:val="37E64D2E"/>
    <w:multiLevelType w:val="singleLevel"/>
    <w:tmpl w:val="37E64D2E"/>
    <w:lvl w:ilvl="0" w:tentative="0">
      <w:start w:val="3"/>
      <w:numFmt w:val="decimal"/>
      <w:suff w:val="nothing"/>
      <w:lvlText w:val="%1、"/>
      <w:lvlJc w:val="left"/>
    </w:lvl>
  </w:abstractNum>
  <w:abstractNum w:abstractNumId="4">
    <w:nsid w:val="388411E4"/>
    <w:multiLevelType w:val="singleLevel"/>
    <w:tmpl w:val="388411E4"/>
    <w:lvl w:ilvl="0" w:tentative="0">
      <w:start w:val="3"/>
      <w:numFmt w:val="chineseCounting"/>
      <w:suff w:val="nothing"/>
      <w:lvlText w:val="（%1）"/>
      <w:lvlJc w:val="left"/>
      <w:rPr>
        <w:rFonts w:hint="eastAsia"/>
      </w:rPr>
    </w:lvl>
  </w:abstractNum>
  <w:abstractNum w:abstractNumId="5">
    <w:nsid w:val="58C7C210"/>
    <w:multiLevelType w:val="singleLevel"/>
    <w:tmpl w:val="58C7C210"/>
    <w:lvl w:ilvl="0" w:tentative="0">
      <w:start w:val="2"/>
      <w:numFmt w:val="chineseCounting"/>
      <w:suff w:val="nothing"/>
      <w:lvlText w:val="（%1）"/>
      <w:lvlJc w:val="left"/>
      <w:rPr>
        <w:rFonts w:hint="eastAsia"/>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lY2U1MzdkY2I2ODQ5MzlkYTY0ZTQ0M2U5ZjM3ZTUifQ=="/>
  </w:docVars>
  <w:rsids>
    <w:rsidRoot w:val="20152A27"/>
    <w:rsid w:val="0A713149"/>
    <w:rsid w:val="28C64B8B"/>
    <w:rsid w:val="2D232526"/>
    <w:rsid w:val="2FFB05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7"/>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TOC1"/>
    <w:basedOn w:val="1"/>
    <w:next w:val="1"/>
    <w:qFormat/>
    <w:uiPriority w:val="0"/>
    <w:pPr>
      <w:jc w:val="both"/>
      <w:textAlignment w:val="baseline"/>
    </w:pPr>
    <w:rPr>
      <w:rFonts w:eastAsia="仿宋_GB2312"/>
      <w:kern w:val="2"/>
      <w:sz w:val="21"/>
      <w:szCs w:val="24"/>
      <w:lang w:val="en-US" w:eastAsia="zh-CN" w:bidi="ar-SA"/>
    </w:r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 w:type="character" w:customStyle="1" w:styleId="7">
    <w:name w:val="NormalCharacter"/>
    <w:link w:val="1"/>
    <w:semiHidden/>
    <w:qFormat/>
    <w:uiPriority w:val="0"/>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6888</Words>
  <Characters>7359</Characters>
  <Lines>0</Lines>
  <Paragraphs>0</Paragraphs>
  <TotalTime>4</TotalTime>
  <ScaleCrop>false</ScaleCrop>
  <LinksUpToDate>false</LinksUpToDate>
  <CharactersWithSpaces>7590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2023-07-24T09:16:00Z</dcterms:created>
  <dc:creator>我还是我1394601774</dc:creator>
  <cp:lastModifiedBy>Administrator</cp:lastModifiedBy>
  <cp:lastPrinted>2023-07-24T09:25:00Z</cp:lastPrinted>
  <dcterms:modified xsi:type="dcterms:W3CDTF">2024-08-23T02:42:40Z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C7B722CA2AA14557ABB9CC00CFB99F84_13</vt:lpwstr>
  </property>
</Properties>
</file>