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94" w:lineRule="exact"/>
        <w:jc w:val="center"/>
        <w:rPr>
          <w:rFonts w:hint="eastAsia" w:eastAsia="宋体"/>
          <w:kern w:val="0"/>
          <w:sz w:val="24"/>
          <w:highlight w:val="none"/>
          <w:lang w:eastAsia="zh-CN"/>
        </w:rPr>
      </w:pPr>
    </w:p>
    <w:p>
      <w:pPr>
        <w:widowControl/>
        <w:spacing w:line="594" w:lineRule="exact"/>
        <w:jc w:val="center"/>
        <w:rPr>
          <w:rFonts w:eastAsia="方正小标宋简体"/>
          <w:kern w:val="0"/>
          <w:sz w:val="44"/>
          <w:szCs w:val="44"/>
        </w:rPr>
      </w:pPr>
      <w:r>
        <w:rPr>
          <w:rFonts w:hint="eastAsia" w:eastAsia="方正小标宋简体"/>
          <w:kern w:val="0"/>
          <w:sz w:val="44"/>
          <w:szCs w:val="44"/>
        </w:rPr>
        <w:t>202</w:t>
      </w:r>
      <w:r>
        <w:rPr>
          <w:rFonts w:hint="eastAsia" w:eastAsia="方正小标宋简体"/>
          <w:kern w:val="0"/>
          <w:sz w:val="44"/>
          <w:szCs w:val="44"/>
          <w:lang w:val="en-US" w:eastAsia="zh-CN"/>
        </w:rPr>
        <w:t>2</w:t>
      </w:r>
      <w:r>
        <w:rPr>
          <w:rFonts w:hint="eastAsia" w:eastAsia="方正小标宋简体"/>
          <w:kern w:val="0"/>
          <w:sz w:val="44"/>
          <w:szCs w:val="44"/>
        </w:rPr>
        <w:t>年度</w:t>
      </w:r>
      <w:r>
        <w:rPr>
          <w:rFonts w:eastAsia="方正小标宋简体"/>
          <w:kern w:val="0"/>
          <w:sz w:val="44"/>
          <w:szCs w:val="44"/>
        </w:rPr>
        <w:t>部门整体绩效</w:t>
      </w:r>
      <w:r>
        <w:rPr>
          <w:rFonts w:hint="eastAsia" w:eastAsia="方正小标宋简体"/>
          <w:kern w:val="0"/>
          <w:sz w:val="44"/>
          <w:szCs w:val="44"/>
          <w:lang w:eastAsia="zh-CN"/>
        </w:rPr>
        <w:t>自评</w:t>
      </w:r>
      <w:r>
        <w:rPr>
          <w:rFonts w:eastAsia="方正小标宋简体"/>
          <w:kern w:val="0"/>
          <w:sz w:val="44"/>
          <w:szCs w:val="44"/>
        </w:rPr>
        <w:t>报告</w:t>
      </w:r>
    </w:p>
    <w:p>
      <w:pPr>
        <w:widowControl/>
        <w:spacing w:line="594" w:lineRule="exact"/>
        <w:jc w:val="center"/>
        <w:rPr>
          <w:rFonts w:hint="eastAsia" w:eastAsia="方正小标宋简体"/>
          <w:kern w:val="0"/>
          <w:sz w:val="44"/>
          <w:szCs w:val="44"/>
        </w:rPr>
      </w:pPr>
    </w:p>
    <w:p>
      <w:pPr>
        <w:widowControl/>
        <w:spacing w:line="594" w:lineRule="exact"/>
        <w:ind w:firstLine="640" w:firstLineChars="200"/>
        <w:rPr>
          <w:rFonts w:eastAsia="黑体"/>
          <w:kern w:val="0"/>
          <w:szCs w:val="32"/>
        </w:rPr>
      </w:pPr>
      <w:r>
        <w:rPr>
          <w:rFonts w:eastAsia="黑体"/>
          <w:bCs/>
          <w:kern w:val="0"/>
          <w:szCs w:val="32"/>
        </w:rPr>
        <w:t>一、部门概况</w:t>
      </w:r>
    </w:p>
    <w:p>
      <w:pPr>
        <w:widowControl/>
        <w:spacing w:line="594" w:lineRule="exact"/>
        <w:ind w:firstLine="640" w:firstLineChars="200"/>
        <w:rPr>
          <w:b w:val="0"/>
          <w:bCs w:val="0"/>
          <w:kern w:val="0"/>
          <w:szCs w:val="32"/>
        </w:rPr>
      </w:pPr>
      <w:r>
        <w:rPr>
          <w:b w:val="0"/>
          <w:bCs w:val="0"/>
          <w:kern w:val="0"/>
          <w:szCs w:val="32"/>
        </w:rPr>
        <w:t>（一）部门基本情况</w:t>
      </w:r>
    </w:p>
    <w:p>
      <w:pPr>
        <w:widowControl/>
        <w:spacing w:line="594"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w:t>
      </w:r>
      <w:r>
        <w:rPr>
          <w:rFonts w:hint="eastAsia"/>
          <w:b w:val="0"/>
          <w:bCs w:val="0"/>
          <w:kern w:val="0"/>
          <w:szCs w:val="32"/>
          <w:highlight w:val="none"/>
          <w:lang w:val="en-US" w:eastAsia="zh-CN"/>
        </w:rPr>
        <w:t>机构设置及在职人员情况</w:t>
      </w:r>
    </w:p>
    <w:p>
      <w:pPr>
        <w:widowControl/>
        <w:spacing w:line="594"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sz w:val="32"/>
          <w:szCs w:val="32"/>
          <w:lang w:val="en-US" w:eastAsia="zh-CN"/>
        </w:rPr>
        <w:t>2022</w:t>
      </w:r>
      <w:r>
        <w:rPr>
          <w:rFonts w:hint="eastAsia" w:ascii="仿宋" w:hAnsi="仿宋" w:eastAsia="仿宋" w:cs="仿宋"/>
          <w:sz w:val="32"/>
          <w:szCs w:val="32"/>
        </w:rPr>
        <w:t>年</w:t>
      </w:r>
      <w:r>
        <w:rPr>
          <w:rFonts w:hint="eastAsia" w:ascii="仿宋" w:hAnsi="仿宋" w:eastAsia="仿宋" w:cs="仿宋"/>
          <w:color w:val="333333"/>
          <w:sz w:val="32"/>
          <w:szCs w:val="32"/>
        </w:rPr>
        <w:t>根据编委核定，</w:t>
      </w:r>
      <w:r>
        <w:rPr>
          <w:rFonts w:hint="eastAsia" w:ascii="仿宋" w:hAnsi="仿宋" w:eastAsia="仿宋" w:cs="仿宋"/>
          <w:color w:val="333333"/>
          <w:kern w:val="0"/>
          <w:sz w:val="32"/>
          <w:szCs w:val="32"/>
          <w:shd w:val="clear" w:color="auto" w:fill="FFFFFF"/>
        </w:rPr>
        <w:t>本级政府设置党政机构7个，</w:t>
      </w:r>
      <w:r>
        <w:rPr>
          <w:rFonts w:hint="eastAsia" w:ascii="仿宋" w:hAnsi="仿宋" w:eastAsia="仿宋" w:cs="仿宋"/>
          <w:color w:val="333333"/>
          <w:kern w:val="0"/>
          <w:sz w:val="32"/>
          <w:szCs w:val="32"/>
          <w:shd w:val="clear" w:color="auto" w:fill="FFFFFF"/>
          <w:lang w:eastAsia="zh-CN"/>
        </w:rPr>
        <w:t>综合行政执法大队</w:t>
      </w:r>
      <w:r>
        <w:rPr>
          <w:rFonts w:hint="eastAsia" w:ascii="仿宋" w:hAnsi="仿宋" w:eastAsia="仿宋" w:cs="仿宋"/>
          <w:color w:val="333333"/>
          <w:kern w:val="0"/>
          <w:sz w:val="32"/>
          <w:szCs w:val="32"/>
          <w:shd w:val="clear" w:color="auto" w:fill="FFFFFF"/>
          <w:lang w:val="en-US" w:eastAsia="zh-CN"/>
        </w:rPr>
        <w:t>1</w:t>
      </w:r>
      <w:r>
        <w:rPr>
          <w:rFonts w:hint="eastAsia" w:ascii="仿宋" w:hAnsi="仿宋" w:eastAsia="仿宋" w:cs="仿宋"/>
          <w:color w:val="333333"/>
          <w:kern w:val="0"/>
          <w:sz w:val="32"/>
          <w:szCs w:val="32"/>
          <w:shd w:val="clear" w:color="auto" w:fill="FFFFFF"/>
          <w:lang w:eastAsia="zh-CN"/>
        </w:rPr>
        <w:t>个，</w:t>
      </w:r>
      <w:r>
        <w:rPr>
          <w:rFonts w:hint="eastAsia" w:ascii="仿宋" w:hAnsi="仿宋" w:eastAsia="仿宋" w:cs="仿宋"/>
          <w:color w:val="333333"/>
          <w:kern w:val="0"/>
          <w:sz w:val="32"/>
          <w:szCs w:val="32"/>
          <w:shd w:val="clear" w:color="auto" w:fill="FFFFFF"/>
        </w:rPr>
        <w:t>均为正股级，设置4个事业单位，均为正股级，</w:t>
      </w:r>
      <w:r>
        <w:rPr>
          <w:rFonts w:hint="eastAsia" w:ascii="仿宋" w:hAnsi="仿宋" w:eastAsia="仿宋" w:cs="仿宋"/>
          <w:color w:val="333333"/>
          <w:sz w:val="32"/>
          <w:szCs w:val="32"/>
        </w:rPr>
        <w:t>全部纳入</w:t>
      </w:r>
      <w:r>
        <w:rPr>
          <w:rFonts w:hint="eastAsia" w:ascii="仿宋" w:hAnsi="仿宋" w:eastAsia="仿宋" w:cs="仿宋"/>
          <w:color w:val="333333"/>
          <w:sz w:val="32"/>
          <w:szCs w:val="32"/>
          <w:lang w:val="en-US" w:eastAsia="zh-CN"/>
        </w:rPr>
        <w:t>2022</w:t>
      </w:r>
      <w:r>
        <w:rPr>
          <w:rFonts w:hint="eastAsia" w:ascii="仿宋" w:hAnsi="仿宋" w:eastAsia="仿宋" w:cs="仿宋"/>
          <w:color w:val="333333"/>
          <w:sz w:val="32"/>
          <w:szCs w:val="32"/>
        </w:rPr>
        <w:t>年部门预算编制范围。</w:t>
      </w:r>
      <w:r>
        <w:rPr>
          <w:rFonts w:hint="eastAsia" w:ascii="仿宋" w:hAnsi="仿宋" w:eastAsia="仿宋" w:cs="仿宋"/>
          <w:color w:val="333333"/>
          <w:sz w:val="32"/>
          <w:szCs w:val="32"/>
          <w:lang w:eastAsia="zh-CN"/>
        </w:rPr>
        <w:t>内设机构</w:t>
      </w:r>
      <w:r>
        <w:rPr>
          <w:rFonts w:hint="eastAsia" w:ascii="仿宋" w:hAnsi="仿宋" w:eastAsia="仿宋" w:cs="仿宋"/>
          <w:color w:val="333333"/>
          <w:kern w:val="0"/>
          <w:sz w:val="32"/>
          <w:szCs w:val="32"/>
          <w:shd w:val="clear" w:color="auto" w:fill="FFFFFF"/>
        </w:rPr>
        <w:t>分别是党政办公室、党建办公室、经济发展办公室、社会事务办公室、自然资源和生态环境办公室、社会治安和应急管理办公室、财政财务管理办公室；</w:t>
      </w:r>
      <w:r>
        <w:rPr>
          <w:rFonts w:hint="eastAsia" w:ascii="仿宋" w:hAnsi="仿宋" w:eastAsia="仿宋" w:cs="仿宋"/>
          <w:color w:val="333333"/>
          <w:kern w:val="0"/>
          <w:sz w:val="32"/>
          <w:szCs w:val="32"/>
          <w:shd w:val="clear" w:color="auto" w:fill="FFFFFF"/>
          <w:lang w:eastAsia="zh-CN"/>
        </w:rPr>
        <w:t>综合行政执法大队；</w:t>
      </w:r>
      <w:r>
        <w:rPr>
          <w:rFonts w:hint="eastAsia" w:ascii="仿宋" w:hAnsi="仿宋" w:eastAsia="仿宋" w:cs="仿宋"/>
          <w:color w:val="333333"/>
          <w:kern w:val="0"/>
          <w:sz w:val="32"/>
          <w:szCs w:val="32"/>
          <w:shd w:val="clear" w:color="auto" w:fill="FFFFFF"/>
        </w:rPr>
        <w:t xml:space="preserve">事业单位分别为社会事务综合服务中心、农业综合服务中心、党群和政务服务中心、退役军人服务站。 </w:t>
      </w:r>
      <w:r>
        <w:rPr>
          <w:rFonts w:hint="eastAsia" w:ascii="仿宋" w:hAnsi="仿宋" w:eastAsia="仿宋" w:cs="仿宋"/>
          <w:sz w:val="32"/>
          <w:szCs w:val="32"/>
          <w:lang w:val="en-US" w:eastAsia="zh-CN"/>
        </w:rPr>
        <w:t>2022</w:t>
      </w:r>
      <w:r>
        <w:rPr>
          <w:rFonts w:hint="eastAsia" w:ascii="仿宋" w:hAnsi="仿宋" w:eastAsia="仿宋" w:cs="仿宋"/>
          <w:sz w:val="32"/>
          <w:szCs w:val="32"/>
        </w:rPr>
        <w:t>年本单位年未实有人数</w:t>
      </w:r>
      <w:r>
        <w:rPr>
          <w:rFonts w:hint="eastAsia" w:ascii="仿宋" w:hAnsi="仿宋" w:eastAsia="仿宋" w:cs="仿宋"/>
          <w:sz w:val="32"/>
          <w:szCs w:val="32"/>
          <w:lang w:val="en-US" w:eastAsia="zh-CN"/>
        </w:rPr>
        <w:t>90</w:t>
      </w:r>
      <w:r>
        <w:rPr>
          <w:rFonts w:hint="eastAsia" w:ascii="仿宋" w:hAnsi="仿宋" w:eastAsia="仿宋" w:cs="仿宋"/>
          <w:sz w:val="32"/>
          <w:szCs w:val="32"/>
        </w:rPr>
        <w:t>人，比上年</w:t>
      </w:r>
      <w:r>
        <w:rPr>
          <w:rFonts w:hint="eastAsia" w:ascii="仿宋" w:hAnsi="仿宋" w:eastAsia="仿宋" w:cs="仿宋"/>
          <w:sz w:val="32"/>
          <w:szCs w:val="32"/>
          <w:lang w:val="zh-CN"/>
        </w:rPr>
        <w:t>变动了减少</w:t>
      </w:r>
      <w:r>
        <w:rPr>
          <w:rFonts w:hint="eastAsia" w:ascii="仿宋" w:hAnsi="仿宋" w:eastAsia="仿宋" w:cs="仿宋"/>
          <w:sz w:val="32"/>
          <w:szCs w:val="32"/>
          <w:lang w:val="en-US" w:eastAsia="zh-CN"/>
        </w:rPr>
        <w:t>1</w:t>
      </w:r>
      <w:r>
        <w:rPr>
          <w:rFonts w:hint="eastAsia" w:ascii="仿宋" w:hAnsi="仿宋" w:eastAsia="仿宋" w:cs="仿宋"/>
          <w:sz w:val="32"/>
          <w:szCs w:val="32"/>
          <w:lang w:val="en-US"/>
        </w:rPr>
        <w:t>人。人员变化的主要原因是：</w:t>
      </w:r>
      <w:r>
        <w:rPr>
          <w:rFonts w:hint="eastAsia" w:ascii="仿宋" w:hAnsi="仿宋" w:eastAsia="仿宋" w:cs="仿宋"/>
          <w:sz w:val="32"/>
          <w:szCs w:val="32"/>
          <w:lang w:val="en-US" w:eastAsia="zh-CN"/>
        </w:rPr>
        <w:t>新公务员分配调入，</w:t>
      </w:r>
      <w:r>
        <w:rPr>
          <w:rFonts w:hint="eastAsia" w:ascii="仿宋" w:hAnsi="仿宋" w:eastAsia="仿宋" w:cs="仿宋"/>
          <w:sz w:val="32"/>
          <w:szCs w:val="32"/>
          <w:lang w:val="en-US"/>
        </w:rPr>
        <w:t>有的调出其他单位</w:t>
      </w:r>
      <w:r>
        <w:rPr>
          <w:rFonts w:hint="eastAsia" w:ascii="仿宋" w:hAnsi="仿宋" w:eastAsia="仿宋" w:cs="仿宋"/>
          <w:color w:val="000000"/>
          <w:sz w:val="32"/>
          <w:szCs w:val="32"/>
          <w:lang w:eastAsia="zh-CN"/>
        </w:rPr>
        <w:t>，人员总体减少</w:t>
      </w:r>
      <w:r>
        <w:rPr>
          <w:rFonts w:hint="eastAsia" w:ascii="仿宋" w:hAnsi="仿宋" w:eastAsia="仿宋" w:cs="仿宋"/>
          <w:color w:val="000000"/>
          <w:sz w:val="32"/>
          <w:szCs w:val="32"/>
          <w:lang w:val="en-US" w:eastAsia="zh-CN"/>
        </w:rPr>
        <w:t>1人。</w:t>
      </w:r>
      <w:bookmarkStart w:id="0" w:name="_GoBack"/>
      <w:bookmarkEnd w:id="0"/>
    </w:p>
    <w:p>
      <w:pPr>
        <w:widowControl/>
        <w:numPr>
          <w:ilvl w:val="0"/>
          <w:numId w:val="1"/>
        </w:numPr>
        <w:spacing w:line="594" w:lineRule="exact"/>
        <w:ind w:firstLine="640" w:firstLineChars="200"/>
        <w:rPr>
          <w:b w:val="0"/>
          <w:bCs w:val="0"/>
          <w:kern w:val="0"/>
          <w:szCs w:val="32"/>
        </w:rPr>
      </w:pPr>
      <w:r>
        <w:rPr>
          <w:b w:val="0"/>
          <w:bCs w:val="0"/>
          <w:kern w:val="0"/>
          <w:szCs w:val="32"/>
        </w:rPr>
        <w:t>主要职能</w:t>
      </w:r>
    </w:p>
    <w:p>
      <w:pPr>
        <w:widowControl w:val="0"/>
        <w:spacing w:beforeLines="0" w:afterLines="0"/>
        <w:ind w:firstLine="640" w:firstLineChars="200"/>
        <w:rPr>
          <w:rFonts w:hint="eastAsia" w:ascii="仿宋" w:hAnsi="仿宋" w:eastAsia="仿宋" w:cs="仿宋"/>
          <w:sz w:val="32"/>
          <w:szCs w:val="32"/>
        </w:rPr>
      </w:pP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lang w:val="en-US" w:eastAsia="zh-CN"/>
        </w:rPr>
        <w:t>1</w:t>
      </w:r>
      <w:r>
        <w:rPr>
          <w:rFonts w:hint="eastAsia" w:ascii="仿宋" w:hAnsi="仿宋" w:eastAsia="仿宋" w:cs="仿宋"/>
          <w:color w:val="333333"/>
          <w:sz w:val="32"/>
          <w:szCs w:val="32"/>
          <w:lang w:eastAsia="zh-CN"/>
        </w:rPr>
        <w:t>）</w:t>
      </w:r>
      <w:r>
        <w:rPr>
          <w:rFonts w:hint="eastAsia" w:ascii="仿宋" w:hAnsi="仿宋" w:eastAsia="仿宋" w:cs="仿宋"/>
          <w:sz w:val="32"/>
          <w:szCs w:val="32"/>
        </w:rPr>
        <w:t>制定和组织实施经济、科技和社会发展计划，制定资源开发技术改造和产业结构调整方案，组织指导好各业生产。搞好商品流通，协调好本</w:t>
      </w:r>
      <w:r>
        <w:rPr>
          <w:rFonts w:hint="eastAsia" w:ascii="仿宋" w:hAnsi="仿宋" w:eastAsia="仿宋" w:cs="仿宋"/>
          <w:sz w:val="32"/>
          <w:szCs w:val="32"/>
          <w:lang w:eastAsia="zh-CN"/>
        </w:rPr>
        <w:t>乡</w:t>
      </w:r>
      <w:r>
        <w:rPr>
          <w:rFonts w:hint="eastAsia" w:ascii="仿宋" w:hAnsi="仿宋" w:eastAsia="仿宋" w:cs="仿宋"/>
          <w:sz w:val="32"/>
          <w:szCs w:val="32"/>
        </w:rPr>
        <w:t>与外地区的经济交流与合作，抓好招商引资、人才引进项目开发，不断培育市场体系，组织经济运行，促进经济发展。</w:t>
      </w:r>
    </w:p>
    <w:p>
      <w:pPr>
        <w:widowControl w:val="0"/>
        <w:spacing w:beforeLines="0" w:afterLines="0"/>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制定并执行实施村镇建设规划，部署重点工程建设、地方道路建设及公共设施、水利设施的管理，负责土地、林木、水等自然资源和生态环境的保护，做好护林防火工作。</w:t>
      </w:r>
    </w:p>
    <w:p>
      <w:pPr>
        <w:widowControl w:val="0"/>
        <w:spacing w:beforeLines="0" w:afterLines="0"/>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负责本行政区域内的民政、计划生育、文化教育、卫生、体育等社会公益事业综合性工作，维护一切经济单位和个人的正当经济权益，取缔非法经济活动，调节和处理民事纠纷，打击刑事犯罪维护社会稳定。</w:t>
      </w:r>
    </w:p>
    <w:p>
      <w:pPr>
        <w:widowControl w:val="0"/>
        <w:spacing w:beforeLines="0" w:afterLines="0"/>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按计划组织本级财政收入和地方税收的征收，完成国家财政计划，不断培育税源，管好财政资金，增强财政实力。</w:t>
      </w:r>
    </w:p>
    <w:p>
      <w:pPr>
        <w:widowControl w:val="0"/>
        <w:spacing w:beforeLines="0" w:afterLines="0"/>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rPr>
        <w:t>抓好精神文明建设，丰富群众文化生活，提倡移风易俗反对封建迷信，破除陈规陋习，树立社会主义新风尚。</w:t>
      </w:r>
    </w:p>
    <w:p>
      <w:pPr>
        <w:widowControl w:val="0"/>
        <w:spacing w:beforeLines="0" w:afterLines="0"/>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w:t>
      </w:r>
      <w:r>
        <w:rPr>
          <w:rFonts w:hint="eastAsia" w:ascii="仿宋" w:hAnsi="仿宋" w:eastAsia="仿宋" w:cs="仿宋"/>
          <w:sz w:val="32"/>
          <w:szCs w:val="32"/>
        </w:rPr>
        <w:t>完成上级政府交办的其他事项。</w:t>
      </w:r>
    </w:p>
    <w:p>
      <w:pPr>
        <w:keepNext w:val="0"/>
        <w:keepLines w:val="0"/>
        <w:pageBreakBefore w:val="0"/>
        <w:kinsoku/>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3、重点工作计划</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楷体_GB2312" w:eastAsia="楷体_GB2312" w:cs="楷体_GB2312"/>
          <w:b w:val="0"/>
          <w:bCs/>
          <w:i w:val="0"/>
          <w:caps w:val="0"/>
          <w:color w:val="auto"/>
          <w:spacing w:val="0"/>
          <w:sz w:val="32"/>
          <w:szCs w:val="32"/>
          <w:shd w:val="clear" w:fill="FFFFFF"/>
          <w:lang w:val="en-US" w:eastAsia="zh-CN"/>
        </w:rPr>
        <w:t>（1）促进</w:t>
      </w:r>
      <w:r>
        <w:rPr>
          <w:rFonts w:hint="default" w:ascii="楷体_GB2312" w:hAnsi="Calibri" w:eastAsia="楷体_GB2312" w:cs="楷体_GB2312"/>
          <w:b w:val="0"/>
          <w:bCs/>
          <w:i w:val="0"/>
          <w:caps w:val="0"/>
          <w:color w:val="auto"/>
          <w:spacing w:val="0"/>
          <w:sz w:val="32"/>
          <w:szCs w:val="32"/>
          <w:shd w:val="clear" w:fill="FFFFFF"/>
        </w:rPr>
        <w:t>经济</w:t>
      </w:r>
      <w:r>
        <w:rPr>
          <w:rFonts w:hint="eastAsia" w:ascii="楷体_GB2312" w:eastAsia="楷体_GB2312" w:cs="楷体_GB2312"/>
          <w:b w:val="0"/>
          <w:bCs/>
          <w:i w:val="0"/>
          <w:caps w:val="0"/>
          <w:color w:val="auto"/>
          <w:spacing w:val="0"/>
          <w:sz w:val="32"/>
          <w:szCs w:val="32"/>
          <w:shd w:val="clear" w:fill="FFFFFF"/>
          <w:lang w:val="en-US" w:eastAsia="zh-CN"/>
        </w:rPr>
        <w:t>指标</w:t>
      </w:r>
      <w:r>
        <w:rPr>
          <w:rFonts w:hint="default" w:ascii="楷体_GB2312" w:hAnsi="Calibri" w:eastAsia="楷体_GB2312" w:cs="楷体_GB2312"/>
          <w:b w:val="0"/>
          <w:bCs/>
          <w:i w:val="0"/>
          <w:caps w:val="0"/>
          <w:color w:val="auto"/>
          <w:spacing w:val="0"/>
          <w:sz w:val="32"/>
          <w:szCs w:val="32"/>
          <w:shd w:val="clear" w:fill="FFFFFF"/>
        </w:rPr>
        <w:t>稳步增长。</w:t>
      </w:r>
      <w:r>
        <w:rPr>
          <w:rFonts w:hint="eastAsia" w:ascii="仿宋_GB2312" w:hAnsi="仿宋_GB2312" w:eastAsia="仿宋_GB2312" w:cs="仿宋_GB2312"/>
          <w:color w:val="auto"/>
          <w:sz w:val="32"/>
          <w:szCs w:val="32"/>
          <w:lang w:val="en-US" w:eastAsia="zh-CN"/>
        </w:rPr>
        <w:t>全年完成</w:t>
      </w:r>
      <w:r>
        <w:rPr>
          <w:rFonts w:hint="eastAsia" w:ascii="仿宋_GB2312" w:hAnsi="仿宋_GB2312" w:eastAsia="仿宋_GB2312" w:cs="仿宋_GB2312"/>
          <w:color w:val="auto"/>
          <w:sz w:val="32"/>
          <w:szCs w:val="32"/>
          <w:lang w:eastAsia="zh-CN"/>
        </w:rPr>
        <w:t>工业生产总值</w:t>
      </w:r>
      <w:r>
        <w:rPr>
          <w:rFonts w:hint="eastAsia" w:ascii="仿宋_GB2312" w:hAnsi="仿宋_GB2312" w:eastAsia="仿宋_GB2312" w:cs="仿宋_GB2312"/>
          <w:color w:val="auto"/>
          <w:sz w:val="32"/>
          <w:szCs w:val="32"/>
          <w:lang w:val="en-US" w:eastAsia="zh-CN"/>
        </w:rPr>
        <w:t>2.</w:t>
      </w:r>
      <w:r>
        <w:rPr>
          <w:rFonts w:hint="eastAsia" w:ascii="仿宋_GB2312" w:hAnsi="仿宋_GB2312" w:cs="仿宋_GB2312"/>
          <w:color w:val="auto"/>
          <w:sz w:val="32"/>
          <w:szCs w:val="32"/>
          <w:lang w:val="en-US" w:eastAsia="zh-CN"/>
        </w:rPr>
        <w:t>15</w:t>
      </w:r>
      <w:r>
        <w:rPr>
          <w:rFonts w:hint="eastAsia" w:ascii="仿宋_GB2312" w:hAnsi="仿宋_GB2312" w:eastAsia="仿宋_GB2312" w:cs="仿宋_GB2312"/>
          <w:color w:val="auto"/>
          <w:sz w:val="32"/>
          <w:szCs w:val="32"/>
          <w:lang w:val="en-US" w:eastAsia="zh-CN"/>
        </w:rPr>
        <w:t>亿元；</w:t>
      </w:r>
      <w:r>
        <w:rPr>
          <w:rFonts w:hint="eastAsia" w:ascii="仿宋_GB2312" w:hAnsi="仿宋_GB2312" w:eastAsia="仿宋_GB2312" w:cs="仿宋_GB2312"/>
          <w:color w:val="auto"/>
          <w:sz w:val="32"/>
          <w:szCs w:val="32"/>
          <w:lang w:eastAsia="zh-CN"/>
        </w:rPr>
        <w:t>完成固定资产投资</w:t>
      </w:r>
      <w:r>
        <w:rPr>
          <w:rFonts w:hint="eastAsia" w:ascii="仿宋_GB2312" w:hAnsi="仿宋_GB2312" w:eastAsia="仿宋_GB2312" w:cs="仿宋_GB2312"/>
          <w:color w:val="auto"/>
          <w:sz w:val="32"/>
          <w:szCs w:val="32"/>
          <w:lang w:val="en-US" w:eastAsia="zh-CN"/>
        </w:rPr>
        <w:t>2.</w:t>
      </w:r>
      <w:r>
        <w:rPr>
          <w:rFonts w:hint="eastAsia" w:ascii="仿宋_GB2312" w:hAnsi="仿宋_GB2312" w:cs="仿宋_GB2312"/>
          <w:color w:val="auto"/>
          <w:sz w:val="32"/>
          <w:szCs w:val="32"/>
          <w:lang w:val="en-US" w:eastAsia="zh-CN"/>
        </w:rPr>
        <w:t>38</w:t>
      </w:r>
      <w:r>
        <w:rPr>
          <w:rFonts w:hint="eastAsia" w:ascii="仿宋_GB2312" w:hAnsi="仿宋_GB2312" w:eastAsia="仿宋_GB2312" w:cs="仿宋_GB2312"/>
          <w:color w:val="auto"/>
          <w:sz w:val="32"/>
          <w:szCs w:val="32"/>
          <w:lang w:val="en-US" w:eastAsia="zh-CN"/>
        </w:rPr>
        <w:t>亿元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完成税收</w:t>
      </w:r>
      <w:r>
        <w:rPr>
          <w:rFonts w:hint="eastAsia" w:ascii="仿宋_GB2312" w:hAnsi="仿宋_GB2312" w:cs="仿宋_GB2312"/>
          <w:color w:val="auto"/>
          <w:sz w:val="32"/>
          <w:szCs w:val="32"/>
          <w:lang w:val="en-US" w:eastAsia="zh-CN"/>
        </w:rPr>
        <w:t>468.28</w:t>
      </w:r>
      <w:r>
        <w:rPr>
          <w:rFonts w:hint="eastAsia" w:ascii="仿宋_GB2312" w:hAnsi="仿宋_GB2312" w:eastAsia="仿宋_GB2312" w:cs="仿宋_GB2312"/>
          <w:color w:val="auto"/>
          <w:sz w:val="32"/>
          <w:szCs w:val="32"/>
          <w:lang w:val="en-US" w:eastAsia="zh-CN"/>
        </w:rPr>
        <w:t>万元；2022年农商银行田庄支行新增存款3178万元，存款余额4.03亿元；新增贷款4888万元，贷款余额3.16亿元，存贷比为78.4%。</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楷体" w:hAnsi="楷体" w:eastAsia="楷体" w:cs="楷体"/>
          <w:color w:val="auto"/>
          <w:kern w:val="2"/>
          <w:sz w:val="32"/>
          <w:szCs w:val="32"/>
          <w:lang w:val="en-US" w:eastAsia="zh-CN" w:bidi="ar-SA"/>
        </w:rPr>
      </w:pPr>
      <w:r>
        <w:rPr>
          <w:rFonts w:hint="eastAsia" w:ascii="楷体_GB2312" w:eastAsia="楷体_GB2312" w:cs="楷体_GB2312"/>
          <w:b w:val="0"/>
          <w:bCs/>
          <w:i w:val="0"/>
          <w:caps w:val="0"/>
          <w:color w:val="auto"/>
          <w:spacing w:val="0"/>
          <w:sz w:val="32"/>
          <w:szCs w:val="32"/>
          <w:shd w:val="clear" w:fill="FFFFFF"/>
          <w:lang w:eastAsia="zh-CN"/>
        </w:rPr>
        <w:t>（</w:t>
      </w:r>
      <w:r>
        <w:rPr>
          <w:rFonts w:hint="eastAsia" w:ascii="楷体_GB2312" w:eastAsia="楷体_GB2312" w:cs="楷体_GB2312"/>
          <w:b w:val="0"/>
          <w:bCs/>
          <w:i w:val="0"/>
          <w:caps w:val="0"/>
          <w:color w:val="auto"/>
          <w:spacing w:val="0"/>
          <w:sz w:val="32"/>
          <w:szCs w:val="32"/>
          <w:shd w:val="clear" w:fill="FFFFFF"/>
          <w:lang w:val="en-US" w:eastAsia="zh-CN"/>
        </w:rPr>
        <w:t>2</w:t>
      </w:r>
      <w:r>
        <w:rPr>
          <w:rFonts w:hint="eastAsia" w:ascii="楷体_GB2312" w:eastAsia="楷体_GB2312" w:cs="楷体_GB2312"/>
          <w:b w:val="0"/>
          <w:bCs/>
          <w:i w:val="0"/>
          <w:caps w:val="0"/>
          <w:color w:val="auto"/>
          <w:spacing w:val="0"/>
          <w:sz w:val="32"/>
          <w:szCs w:val="32"/>
          <w:shd w:val="clear" w:fill="FFFFFF"/>
          <w:lang w:eastAsia="zh-CN"/>
        </w:rPr>
        <w:t>）</w:t>
      </w:r>
      <w:r>
        <w:rPr>
          <w:rFonts w:hint="eastAsia" w:ascii="楷体" w:hAnsi="楷体" w:eastAsia="楷体" w:cs="楷体"/>
          <w:color w:val="auto"/>
          <w:sz w:val="32"/>
          <w:szCs w:val="32"/>
          <w:lang w:eastAsia="zh-CN"/>
        </w:rPr>
        <w:t>重点项目加快推进。</w:t>
      </w:r>
      <w:r>
        <w:rPr>
          <w:rFonts w:hint="eastAsia" w:ascii="仿宋_GB2312" w:hAnsi="仿宋_GB2312" w:eastAsia="仿宋_GB2312" w:cs="仿宋_GB2312"/>
          <w:color w:val="auto"/>
          <w:sz w:val="32"/>
          <w:szCs w:val="32"/>
          <w:lang w:val="en-US" w:eastAsia="zh-CN"/>
        </w:rPr>
        <w:t>一是主干公路网全面提质升级。历时3个年头，耗资1000万余元的温文公路于去年8月22日全线贯通，有效解决了文溪片区1万多群众出行难问题，对促进田庄经济发展起到了关键性作用。二是资源开发项目取得新突破。田庄村招商引资的格诺建材有限公司对高坪矿区进行钻心采样，探得建筑用砂岩矿储量2000余万吨，目前已进入挂牌程序，力争尽快建成投产。三是开发绿色能源产业。通过工作专班的全力推进，天子山风电场、光伏发电预计</w:t>
      </w:r>
      <w:r>
        <w:rPr>
          <w:rFonts w:hint="eastAsia" w:ascii="仿宋_GB2312" w:hAnsi="仿宋_GB2312" w:cs="仿宋_GB2312"/>
          <w:color w:val="auto"/>
          <w:sz w:val="32"/>
          <w:szCs w:val="32"/>
          <w:lang w:val="en-US" w:eastAsia="zh-CN"/>
        </w:rPr>
        <w:t>2023</w:t>
      </w:r>
      <w:r>
        <w:rPr>
          <w:rFonts w:hint="eastAsia" w:ascii="仿宋_GB2312" w:hAnsi="仿宋_GB2312" w:eastAsia="仿宋_GB2312" w:cs="仿宋_GB2312"/>
          <w:color w:val="auto"/>
          <w:sz w:val="32"/>
          <w:szCs w:val="32"/>
          <w:lang w:val="en-US" w:eastAsia="zh-CN"/>
        </w:rPr>
        <w:t>启动现场施工，10月3日前全线并网发电黄阳坪抽水蓄能电站确定中国电建为投资方，目前正在进行预可研，多个绿色能源产业项目前期工作取得有效进展。</w:t>
      </w:r>
    </w:p>
    <w:p>
      <w:pPr>
        <w:pStyle w:val="4"/>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3</w:t>
      </w:r>
      <w:r>
        <w:rPr>
          <w:rFonts w:hint="eastAsia" w:ascii="楷体" w:hAnsi="楷体" w:eastAsia="楷体" w:cs="楷体"/>
          <w:color w:val="auto"/>
          <w:sz w:val="32"/>
          <w:szCs w:val="32"/>
          <w:lang w:eastAsia="zh-CN"/>
        </w:rPr>
        <w:t>）</w:t>
      </w:r>
      <w:r>
        <w:rPr>
          <w:rFonts w:hint="eastAsia" w:ascii="楷体_GB2312" w:hAnsi="楷体_GB2312" w:eastAsia="楷体_GB2312" w:cs="楷体_GB2312"/>
          <w:kern w:val="2"/>
          <w:sz w:val="32"/>
          <w:szCs w:val="32"/>
          <w:lang w:val="en-US" w:eastAsia="zh-CN" w:bidi="ar-SA"/>
        </w:rPr>
        <w:t>凝聚发展共识，谱写乡村振兴新篇章。</w:t>
      </w:r>
      <w:r>
        <w:rPr>
          <w:rFonts w:hint="eastAsia" w:ascii="楷体_GB2312" w:hAnsi="楷体_GB2312" w:eastAsia="楷体_GB2312" w:cs="楷体_GB2312"/>
          <w:b/>
          <w:bCs/>
          <w:kern w:val="2"/>
          <w:sz w:val="32"/>
          <w:szCs w:val="32"/>
          <w:lang w:val="en-US" w:eastAsia="zh-CN" w:bidi="ar-SA"/>
        </w:rPr>
        <w:t>一是</w:t>
      </w:r>
      <w:r>
        <w:rPr>
          <w:rFonts w:hint="eastAsia" w:ascii="仿宋_GB2312" w:hAnsi="仿宋_GB2312" w:eastAsia="仿宋_GB2312" w:cs="仿宋_GB2312"/>
          <w:b/>
          <w:bCs/>
          <w:kern w:val="2"/>
          <w:sz w:val="32"/>
          <w:szCs w:val="32"/>
          <w:highlight w:val="none"/>
          <w:lang w:val="en-US" w:eastAsia="zh-CN" w:bidi="ar-SA"/>
        </w:rPr>
        <w:t>通过稳定脱贫长效机制，强化易地搬迁后续扶持。</w:t>
      </w:r>
      <w:r>
        <w:rPr>
          <w:rFonts w:hint="eastAsia" w:ascii="仿宋_GB2312" w:hAnsi="仿宋_GB2312" w:eastAsia="仿宋_GB2312" w:cs="仿宋_GB2312"/>
          <w:b/>
          <w:bCs/>
          <w:color w:val="auto"/>
          <w:kern w:val="2"/>
          <w:sz w:val="32"/>
          <w:szCs w:val="32"/>
          <w:lang w:val="en-US" w:eastAsia="zh-CN" w:bidi="ar-SA"/>
        </w:rPr>
        <w:t>二是积极谋划，推动集体经济快速增长。</w:t>
      </w:r>
      <w:r>
        <w:rPr>
          <w:rFonts w:hint="eastAsia" w:ascii="仿宋_GB2312" w:hAnsi="仿宋_GB2312" w:eastAsia="仿宋_GB2312" w:cs="仿宋_GB2312"/>
          <w:i w:val="0"/>
          <w:iCs w:val="0"/>
          <w:caps w:val="0"/>
          <w:color w:val="auto"/>
          <w:spacing w:val="0"/>
          <w:sz w:val="32"/>
          <w:szCs w:val="32"/>
          <w:shd w:val="clear" w:fill="FFFFFF"/>
          <w:lang w:val="en-US" w:eastAsia="zh-CN"/>
        </w:rPr>
        <w:t>建行“共享贷”在我乡全面落地，</w:t>
      </w:r>
      <w:r>
        <w:rPr>
          <w:rFonts w:hint="eastAsia" w:ascii="仿宋_GB2312" w:hAnsi="仿宋_GB2312" w:eastAsia="仿宋_GB2312" w:cs="仿宋_GB2312"/>
          <w:color w:val="auto"/>
          <w:kern w:val="2"/>
          <w:sz w:val="32"/>
          <w:szCs w:val="32"/>
          <w:lang w:val="en-US" w:eastAsia="zh-CN" w:bidi="ar-SA"/>
        </w:rPr>
        <w:t>通过“抱团”发展了一批以优质产业资源为依托的集体项目，如笔峰、田庄、文溪食用菌种养基地，茅园、永平、白沙溪淡水生态养殖基地，高马二溪，百竹园的高标准茶园，香岩、温溪、龙门新村的中药材种养基地，都起到了</w:t>
      </w:r>
      <w:r>
        <w:rPr>
          <w:rFonts w:hint="eastAsia" w:ascii="仿宋_GB2312" w:hAnsi="仿宋_GB2312" w:eastAsia="仿宋_GB2312" w:cs="仿宋_GB2312"/>
          <w:sz w:val="32"/>
          <w:szCs w:val="32"/>
          <w:lang w:val="en-US" w:eastAsia="zh-CN"/>
        </w:rPr>
        <w:t>引领作用，推动着村集体经济收入不断突破</w:t>
      </w:r>
      <w:r>
        <w:rPr>
          <w:rFonts w:hint="eastAsia" w:ascii="仿宋_GB2312" w:hAnsi="仿宋_GB2312" w:eastAsia="仿宋_GB2312" w:cs="仿宋_GB2312"/>
          <w:i w:val="0"/>
          <w:iCs w:val="0"/>
          <w:caps w:val="0"/>
          <w:color w:val="auto"/>
          <w:spacing w:val="0"/>
          <w:sz w:val="32"/>
          <w:szCs w:val="32"/>
          <w:shd w:val="clear" w:fill="FFFFFF"/>
          <w:lang w:val="en-US" w:eastAsia="zh-CN"/>
        </w:rPr>
        <w:t>，实现村级集体经济收入5万元以下的村（社区）动态清零</w:t>
      </w:r>
      <w:r>
        <w:rPr>
          <w:rFonts w:hint="eastAsia" w:ascii="仿宋_GB2312" w:hAnsi="仿宋_GB2312" w:cs="仿宋_GB2312"/>
          <w:i w:val="0"/>
          <w:iCs w:val="0"/>
          <w:caps w:val="0"/>
          <w:color w:val="auto"/>
          <w:spacing w:val="0"/>
          <w:sz w:val="32"/>
          <w:szCs w:val="32"/>
          <w:shd w:val="clear" w:fill="FFFFFF"/>
          <w:lang w:val="en-US" w:eastAsia="zh-CN"/>
        </w:rPr>
        <w:t>。</w:t>
      </w:r>
    </w:p>
    <w:p>
      <w:pPr>
        <w:pStyle w:val="2"/>
        <w:ind w:firstLine="640" w:firstLineChars="200"/>
        <w:rPr>
          <w:rFonts w:hint="eastAsia"/>
          <w:lang w:val="en-US" w:eastAsia="zh-CN"/>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4</w:t>
      </w:r>
      <w:r>
        <w:rPr>
          <w:rFonts w:hint="eastAsia" w:ascii="楷体" w:hAnsi="楷体" w:eastAsia="楷体" w:cs="楷体"/>
          <w:color w:val="auto"/>
          <w:sz w:val="32"/>
          <w:szCs w:val="32"/>
          <w:lang w:eastAsia="zh-CN"/>
        </w:rPr>
        <w:t>）</w:t>
      </w:r>
      <w:r>
        <w:rPr>
          <w:rFonts w:hint="eastAsia" w:ascii="楷体" w:hAnsi="楷体" w:eastAsia="楷体" w:cs="楷体"/>
          <w:color w:val="auto"/>
          <w:kern w:val="2"/>
          <w:sz w:val="32"/>
          <w:szCs w:val="32"/>
          <w:lang w:val="en-US" w:eastAsia="zh-CN" w:bidi="ar-SA"/>
        </w:rPr>
        <w:t>疫情防控常抓不懈，社会事业全面发展，抗旱救灾众志成城，社会大局稳定有序。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5</w:t>
      </w:r>
      <w:r>
        <w:rPr>
          <w:rFonts w:hint="eastAsia" w:ascii="楷体" w:hAnsi="楷体" w:eastAsia="楷体" w:cs="楷体"/>
          <w:color w:val="auto"/>
          <w:sz w:val="32"/>
          <w:szCs w:val="32"/>
          <w:lang w:eastAsia="zh-CN"/>
        </w:rPr>
        <w:t>）促进民生工程稳和社会和谐有序推进。</w:t>
      </w:r>
      <w:r>
        <w:rPr>
          <w:rFonts w:hint="eastAsia" w:ascii="仿宋_GB2312" w:hAnsi="仿宋_GB2312" w:eastAsia="仿宋_GB2312" w:cs="仿宋_GB2312"/>
          <w:b w:val="0"/>
          <w:bCs w:val="0"/>
          <w:color w:val="auto"/>
          <w:sz w:val="32"/>
          <w:szCs w:val="32"/>
          <w:lang w:eastAsia="zh-CN"/>
        </w:rPr>
        <w:t>一是</w:t>
      </w:r>
      <w:r>
        <w:rPr>
          <w:rFonts w:hint="eastAsia" w:ascii="仿宋_GB2312" w:hAnsi="仿宋_GB2312" w:cs="仿宋_GB2312"/>
          <w:b w:val="0"/>
          <w:bCs w:val="0"/>
          <w:color w:val="auto"/>
          <w:sz w:val="32"/>
          <w:szCs w:val="32"/>
          <w:lang w:eastAsia="zh-CN"/>
        </w:rPr>
        <w:t>做好</w:t>
      </w:r>
      <w:r>
        <w:rPr>
          <w:rFonts w:hint="eastAsia" w:ascii="仿宋_GB2312" w:hAnsi="仿宋_GB2312" w:eastAsia="仿宋_GB2312" w:cs="仿宋_GB2312"/>
          <w:b w:val="0"/>
          <w:bCs w:val="0"/>
          <w:color w:val="auto"/>
          <w:sz w:val="32"/>
          <w:szCs w:val="32"/>
          <w:lang w:eastAsia="zh-CN"/>
        </w:rPr>
        <w:t>人民调解和信访维稳工作，二是</w:t>
      </w:r>
      <w:r>
        <w:rPr>
          <w:rFonts w:hint="eastAsia" w:ascii="仿宋_GB2312" w:hAnsi="仿宋_GB2312" w:cs="仿宋_GB2312"/>
          <w:b w:val="0"/>
          <w:bCs w:val="0"/>
          <w:color w:val="auto"/>
          <w:sz w:val="32"/>
          <w:szCs w:val="32"/>
          <w:lang w:eastAsia="zh-CN"/>
        </w:rPr>
        <w:t>积极开展</w:t>
      </w:r>
      <w:r>
        <w:rPr>
          <w:rFonts w:hint="eastAsia" w:ascii="仿宋_GB2312" w:hAnsi="仿宋_GB2312" w:eastAsia="仿宋_GB2312" w:cs="仿宋_GB2312"/>
          <w:b w:val="0"/>
          <w:bCs w:val="0"/>
          <w:color w:val="auto"/>
          <w:sz w:val="32"/>
          <w:szCs w:val="32"/>
          <w:lang w:eastAsia="zh-CN"/>
        </w:rPr>
        <w:t>扫黑除恶专项斗争工作。</w:t>
      </w:r>
    </w:p>
    <w:p>
      <w:pPr>
        <w:widowControl/>
        <w:numPr>
          <w:ilvl w:val="0"/>
          <w:numId w:val="2"/>
        </w:numPr>
        <w:spacing w:line="594" w:lineRule="exact"/>
        <w:ind w:firstLine="640" w:firstLineChars="200"/>
        <w:rPr>
          <w:b w:val="0"/>
          <w:bCs w:val="0"/>
          <w:kern w:val="0"/>
          <w:szCs w:val="32"/>
        </w:rPr>
      </w:pPr>
      <w:r>
        <w:rPr>
          <w:b w:val="0"/>
          <w:bCs w:val="0"/>
          <w:kern w:val="0"/>
          <w:szCs w:val="32"/>
        </w:rPr>
        <w:t>部门整体支出规模、使用方向和主要内容、涉及范围等。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202</w:t>
      </w:r>
      <w:r>
        <w:rPr>
          <w:rFonts w:hint="eastAsia" w:ascii="仿宋_GB2312" w:hAnsi="仿宋_GB2312" w:cs="仿宋_GB2312"/>
          <w:color w:val="auto"/>
          <w:kern w:val="2"/>
          <w:sz w:val="32"/>
          <w:szCs w:val="32"/>
          <w:lang w:val="en-US" w:eastAsia="zh-CN"/>
        </w:rPr>
        <w:t>2</w:t>
      </w:r>
      <w:r>
        <w:rPr>
          <w:rFonts w:hint="eastAsia" w:ascii="仿宋_GB2312" w:hAnsi="仿宋_GB2312" w:eastAsia="仿宋_GB2312" w:cs="仿宋_GB2312"/>
          <w:color w:val="auto"/>
          <w:kern w:val="2"/>
          <w:sz w:val="32"/>
          <w:szCs w:val="32"/>
          <w:lang w:val="en-US" w:eastAsia="zh-CN"/>
        </w:rPr>
        <w:t>年度收入总额</w:t>
      </w:r>
      <w:r>
        <w:rPr>
          <w:rFonts w:hint="eastAsia" w:ascii="仿宋_GB2312" w:hAnsi="仿宋_GB2312" w:cs="仿宋_GB2312"/>
          <w:color w:val="auto"/>
          <w:kern w:val="2"/>
          <w:sz w:val="32"/>
          <w:szCs w:val="32"/>
          <w:lang w:val="en-US" w:eastAsia="zh-CN"/>
        </w:rPr>
        <w:t>1790.21</w:t>
      </w:r>
      <w:r>
        <w:rPr>
          <w:rFonts w:hint="eastAsia" w:ascii="仿宋_GB2312" w:hAnsi="仿宋_GB2312" w:eastAsia="仿宋_GB2312" w:cs="仿宋_GB2312"/>
          <w:color w:val="auto"/>
          <w:kern w:val="2"/>
          <w:sz w:val="32"/>
          <w:szCs w:val="32"/>
          <w:lang w:val="en-US" w:eastAsia="zh-CN"/>
        </w:rPr>
        <w:t>万元。202</w:t>
      </w:r>
      <w:r>
        <w:rPr>
          <w:rFonts w:hint="eastAsia" w:ascii="仿宋_GB2312" w:hAnsi="仿宋_GB2312" w:cs="仿宋_GB2312"/>
          <w:color w:val="auto"/>
          <w:kern w:val="2"/>
          <w:sz w:val="32"/>
          <w:szCs w:val="32"/>
          <w:lang w:val="en-US" w:eastAsia="zh-CN"/>
        </w:rPr>
        <w:t>2</w:t>
      </w:r>
      <w:r>
        <w:rPr>
          <w:rFonts w:hint="eastAsia" w:ascii="仿宋_GB2312" w:hAnsi="仿宋_GB2312" w:eastAsia="仿宋_GB2312" w:cs="仿宋_GB2312"/>
          <w:color w:val="auto"/>
          <w:kern w:val="2"/>
          <w:sz w:val="32"/>
          <w:szCs w:val="32"/>
          <w:lang w:val="en-US" w:eastAsia="zh-CN"/>
        </w:rPr>
        <w:t>年整体支出</w:t>
      </w:r>
      <w:r>
        <w:rPr>
          <w:rFonts w:hint="eastAsia" w:ascii="仿宋_GB2312" w:hAnsi="仿宋_GB2312" w:cs="仿宋_GB2312"/>
          <w:color w:val="auto"/>
          <w:kern w:val="2"/>
          <w:sz w:val="32"/>
          <w:szCs w:val="32"/>
          <w:lang w:val="en-US" w:eastAsia="zh-CN"/>
        </w:rPr>
        <w:t>1790.21</w:t>
      </w:r>
      <w:r>
        <w:rPr>
          <w:rFonts w:hint="eastAsia" w:ascii="仿宋_GB2312" w:hAnsi="仿宋_GB2312" w:eastAsia="仿宋_GB2312" w:cs="仿宋_GB2312"/>
          <w:color w:val="auto"/>
          <w:kern w:val="2"/>
          <w:sz w:val="32"/>
          <w:szCs w:val="32"/>
          <w:lang w:val="en-US" w:eastAsia="zh-CN"/>
        </w:rPr>
        <w:t>万元，按支出性质区分，基本支出</w:t>
      </w:r>
      <w:r>
        <w:rPr>
          <w:rFonts w:hint="eastAsia" w:ascii="仿宋_GB2312" w:hAnsi="仿宋_GB2312" w:cs="仿宋_GB2312"/>
          <w:color w:val="auto"/>
          <w:kern w:val="2"/>
          <w:sz w:val="32"/>
          <w:szCs w:val="32"/>
          <w:lang w:val="en-US" w:eastAsia="zh-CN"/>
        </w:rPr>
        <w:t>1449.08</w:t>
      </w:r>
      <w:r>
        <w:rPr>
          <w:rFonts w:hint="eastAsia" w:ascii="仿宋_GB2312" w:hAnsi="仿宋_GB2312" w:eastAsia="仿宋_GB2312" w:cs="仿宋_GB2312"/>
          <w:color w:val="auto"/>
          <w:kern w:val="2"/>
          <w:sz w:val="32"/>
          <w:szCs w:val="32"/>
          <w:lang w:val="en-US" w:eastAsia="zh-CN"/>
        </w:rPr>
        <w:t>万元，包含人员经费</w:t>
      </w:r>
      <w:r>
        <w:rPr>
          <w:rFonts w:hint="eastAsia" w:ascii="仿宋_GB2312" w:hAnsi="仿宋_GB2312" w:cs="仿宋_GB2312"/>
          <w:color w:val="auto"/>
          <w:kern w:val="2"/>
          <w:sz w:val="32"/>
          <w:szCs w:val="32"/>
          <w:lang w:val="en-US" w:eastAsia="zh-CN"/>
        </w:rPr>
        <w:t>1070.29</w:t>
      </w:r>
      <w:r>
        <w:rPr>
          <w:rFonts w:hint="eastAsia" w:ascii="仿宋_GB2312" w:hAnsi="仿宋_GB2312" w:eastAsia="仿宋_GB2312" w:cs="仿宋_GB2312"/>
          <w:color w:val="auto"/>
          <w:kern w:val="2"/>
          <w:sz w:val="32"/>
          <w:szCs w:val="32"/>
          <w:lang w:val="en-US" w:eastAsia="zh-CN"/>
        </w:rPr>
        <w:t>万元及公用经费</w:t>
      </w:r>
      <w:r>
        <w:rPr>
          <w:rFonts w:hint="eastAsia" w:ascii="仿宋_GB2312" w:hAnsi="仿宋_GB2312" w:cs="仿宋_GB2312"/>
          <w:color w:val="auto"/>
          <w:kern w:val="2"/>
          <w:sz w:val="32"/>
          <w:szCs w:val="32"/>
          <w:lang w:val="en-US" w:eastAsia="zh-CN"/>
        </w:rPr>
        <w:t>378.8</w:t>
      </w:r>
      <w:r>
        <w:rPr>
          <w:rFonts w:hint="eastAsia" w:ascii="仿宋_GB2312" w:hAnsi="仿宋_GB2312" w:eastAsia="仿宋_GB2312" w:cs="仿宋_GB2312"/>
          <w:color w:val="auto"/>
          <w:kern w:val="2"/>
          <w:sz w:val="32"/>
          <w:szCs w:val="32"/>
          <w:lang w:val="en-US" w:eastAsia="zh-CN"/>
        </w:rPr>
        <w:t>万元，占比</w:t>
      </w:r>
      <w:r>
        <w:rPr>
          <w:rFonts w:hint="eastAsia" w:ascii="仿宋_GB2312" w:hAnsi="仿宋_GB2312" w:cs="仿宋_GB2312"/>
          <w:color w:val="auto"/>
          <w:kern w:val="2"/>
          <w:sz w:val="32"/>
          <w:szCs w:val="32"/>
          <w:lang w:val="en-US" w:eastAsia="zh-CN"/>
        </w:rPr>
        <w:t>80.95</w:t>
      </w:r>
      <w:r>
        <w:rPr>
          <w:rFonts w:hint="eastAsia" w:ascii="仿宋_GB2312" w:hAnsi="仿宋_GB2312" w:eastAsia="仿宋_GB2312" w:cs="仿宋_GB2312"/>
          <w:color w:val="auto"/>
          <w:kern w:val="2"/>
          <w:sz w:val="32"/>
          <w:szCs w:val="32"/>
          <w:lang w:val="en-US" w:eastAsia="zh-CN"/>
        </w:rPr>
        <w:t>%；项目支出</w:t>
      </w:r>
      <w:r>
        <w:rPr>
          <w:rFonts w:hint="eastAsia" w:ascii="仿宋_GB2312" w:hAnsi="仿宋_GB2312" w:cs="仿宋_GB2312"/>
          <w:color w:val="auto"/>
          <w:kern w:val="2"/>
          <w:sz w:val="32"/>
          <w:szCs w:val="32"/>
          <w:lang w:val="en-US" w:eastAsia="zh-CN"/>
        </w:rPr>
        <w:t>341.13</w:t>
      </w:r>
      <w:r>
        <w:rPr>
          <w:rFonts w:hint="eastAsia" w:ascii="仿宋_GB2312" w:hAnsi="仿宋_GB2312" w:eastAsia="仿宋_GB2312" w:cs="仿宋_GB2312"/>
          <w:color w:val="auto"/>
          <w:kern w:val="2"/>
          <w:sz w:val="32"/>
          <w:szCs w:val="32"/>
          <w:lang w:val="en-US" w:eastAsia="zh-CN"/>
        </w:rPr>
        <w:t>万元，包含一般公共服务支出</w:t>
      </w:r>
      <w:r>
        <w:rPr>
          <w:rFonts w:hint="eastAsia" w:ascii="仿宋_GB2312" w:hAnsi="仿宋_GB2312" w:cs="仿宋_GB2312"/>
          <w:color w:val="auto"/>
          <w:kern w:val="2"/>
          <w:sz w:val="32"/>
          <w:szCs w:val="32"/>
          <w:lang w:val="en-US" w:eastAsia="zh-CN"/>
        </w:rPr>
        <w:t>56.88</w:t>
      </w:r>
      <w:r>
        <w:rPr>
          <w:rFonts w:hint="eastAsia" w:ascii="仿宋_GB2312" w:hAnsi="仿宋_GB2312" w:eastAsia="仿宋_GB2312" w:cs="仿宋_GB2312"/>
          <w:color w:val="auto"/>
          <w:kern w:val="2"/>
          <w:sz w:val="32"/>
          <w:szCs w:val="32"/>
          <w:lang w:val="en-US" w:eastAsia="zh-CN"/>
        </w:rPr>
        <w:t>万元、</w:t>
      </w:r>
      <w:r>
        <w:rPr>
          <w:rFonts w:hint="eastAsia" w:ascii="仿宋_GB2312" w:hAnsi="仿宋_GB2312" w:cs="仿宋_GB2312"/>
          <w:color w:val="auto"/>
          <w:kern w:val="2"/>
          <w:sz w:val="32"/>
          <w:szCs w:val="32"/>
          <w:lang w:val="en-US" w:eastAsia="zh-CN"/>
        </w:rPr>
        <w:t>国防支出1万元、公共安全支出1.02万元、节能环保支出8万元、</w:t>
      </w:r>
      <w:r>
        <w:rPr>
          <w:rFonts w:hint="eastAsia" w:ascii="仿宋_GB2312" w:hAnsi="仿宋_GB2312" w:eastAsia="仿宋_GB2312" w:cs="仿宋_GB2312"/>
          <w:color w:val="auto"/>
          <w:kern w:val="2"/>
          <w:sz w:val="32"/>
          <w:szCs w:val="32"/>
          <w:lang w:val="en-US" w:eastAsia="zh-CN"/>
        </w:rPr>
        <w:t>城乡社区支出</w:t>
      </w:r>
      <w:r>
        <w:rPr>
          <w:rFonts w:hint="eastAsia" w:ascii="仿宋_GB2312" w:hAnsi="仿宋_GB2312" w:cs="仿宋_GB2312"/>
          <w:color w:val="auto"/>
          <w:kern w:val="2"/>
          <w:sz w:val="32"/>
          <w:szCs w:val="32"/>
          <w:lang w:val="en-US" w:eastAsia="zh-CN"/>
        </w:rPr>
        <w:t>5</w:t>
      </w:r>
      <w:r>
        <w:rPr>
          <w:rFonts w:hint="eastAsia" w:ascii="仿宋_GB2312" w:hAnsi="仿宋_GB2312" w:eastAsia="仿宋_GB2312" w:cs="仿宋_GB2312"/>
          <w:color w:val="auto"/>
          <w:kern w:val="2"/>
          <w:sz w:val="32"/>
          <w:szCs w:val="32"/>
          <w:lang w:val="en-US" w:eastAsia="zh-CN"/>
        </w:rPr>
        <w:t>万元、农林水支出</w:t>
      </w:r>
      <w:r>
        <w:rPr>
          <w:rFonts w:hint="eastAsia" w:ascii="仿宋_GB2312" w:hAnsi="仿宋_GB2312" w:cs="仿宋_GB2312"/>
          <w:color w:val="auto"/>
          <w:kern w:val="2"/>
          <w:sz w:val="32"/>
          <w:szCs w:val="32"/>
          <w:lang w:val="en-US" w:eastAsia="zh-CN"/>
        </w:rPr>
        <w:t>190.6</w:t>
      </w:r>
      <w:r>
        <w:rPr>
          <w:rFonts w:hint="eastAsia" w:ascii="仿宋_GB2312" w:hAnsi="仿宋_GB2312" w:eastAsia="仿宋_GB2312" w:cs="仿宋_GB2312"/>
          <w:color w:val="auto"/>
          <w:kern w:val="2"/>
          <w:sz w:val="32"/>
          <w:szCs w:val="32"/>
          <w:lang w:val="en-US" w:eastAsia="zh-CN"/>
        </w:rPr>
        <w:t>万元</w:t>
      </w:r>
      <w:r>
        <w:rPr>
          <w:rFonts w:hint="eastAsia" w:ascii="仿宋_GB2312" w:hAnsi="仿宋_GB2312" w:cs="仿宋_GB2312"/>
          <w:color w:val="auto"/>
          <w:kern w:val="2"/>
          <w:sz w:val="32"/>
          <w:szCs w:val="32"/>
          <w:lang w:val="en-US" w:eastAsia="zh-CN"/>
        </w:rPr>
        <w:t>、灾害防治及应急管理支出1.5万元、其他支出77.13万元</w:t>
      </w:r>
      <w:r>
        <w:rPr>
          <w:rFonts w:hint="eastAsia" w:ascii="仿宋_GB2312" w:hAnsi="仿宋_GB2312" w:eastAsia="仿宋_GB2312" w:cs="仿宋_GB2312"/>
          <w:color w:val="auto"/>
          <w:kern w:val="2"/>
          <w:sz w:val="32"/>
          <w:szCs w:val="32"/>
          <w:lang w:val="en-US" w:eastAsia="zh-CN"/>
        </w:rPr>
        <w:t>，占比</w:t>
      </w:r>
      <w:r>
        <w:rPr>
          <w:rFonts w:hint="eastAsia" w:ascii="仿宋_GB2312" w:hAnsi="仿宋_GB2312" w:cs="仿宋_GB2312"/>
          <w:color w:val="auto"/>
          <w:kern w:val="2"/>
          <w:sz w:val="32"/>
          <w:szCs w:val="32"/>
          <w:lang w:val="en-US" w:eastAsia="zh-CN"/>
        </w:rPr>
        <w:t>19.05</w:t>
      </w:r>
      <w:r>
        <w:rPr>
          <w:rFonts w:hint="eastAsia" w:ascii="仿宋_GB2312" w:hAnsi="仿宋_GB2312" w:eastAsia="仿宋_GB2312" w:cs="仿宋_GB2312"/>
          <w:color w:val="auto"/>
          <w:kern w:val="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支出主要内容及范围：工资福利支出包括基本工资、津贴补贴、奖金、伙食补助费、绩效工资、基本养老保险、基本医疗保险、其他社会保障缴费、住房公积金等；日商品服务支出包括办公费、印刷费、咨询费、水电费、邮电费、差旅费、维修（护）费、培训费、会议费、公务接待费、专用材料费、劳务费、工会经费、福利费、公务用车运行维护费、其他交通费用、其他商品和服务支出等；对个人和家庭的支出包括抚恤金、遗属生活补助；资本性支出包括基础设施建设、办公设备购置；涉及人员经费、运转类经费、开展各项业务工作、精准扶贫、党建、疫情防控、应急等发生的全部支出。</w:t>
      </w:r>
    </w:p>
    <w:p>
      <w:pPr>
        <w:widowControl/>
        <w:spacing w:line="594" w:lineRule="exact"/>
        <w:ind w:firstLine="640" w:firstLineChars="200"/>
        <w:rPr>
          <w:b w:val="0"/>
          <w:bCs w:val="0"/>
          <w:kern w:val="0"/>
          <w:szCs w:val="32"/>
        </w:rPr>
      </w:pPr>
      <w:r>
        <w:rPr>
          <w:b w:val="0"/>
          <w:bCs w:val="0"/>
          <w:kern w:val="0"/>
          <w:szCs w:val="32"/>
        </w:rPr>
        <w:t>（三）绩效目标设立情况，主要包括部门中长期绩效目标和年度绩效目标。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 一是按照公共财政统筹发展和财政财务精细化管理的要求，认真编制好20</w:t>
      </w:r>
      <w:r>
        <w:rPr>
          <w:rFonts w:hint="eastAsia" w:ascii="仿宋_GB2312" w:hAnsi="仿宋_GB2312" w:cs="仿宋_GB2312"/>
          <w:kern w:val="2"/>
          <w:sz w:val="32"/>
          <w:szCs w:val="32"/>
          <w:lang w:val="en-US" w:eastAsia="zh-CN"/>
        </w:rPr>
        <w:t>22</w:t>
      </w:r>
      <w:r>
        <w:rPr>
          <w:rFonts w:hint="eastAsia" w:ascii="仿宋_GB2312" w:hAnsi="仿宋_GB2312" w:eastAsia="仿宋_GB2312" w:cs="仿宋_GB2312"/>
          <w:kern w:val="2"/>
          <w:sz w:val="32"/>
          <w:szCs w:val="32"/>
          <w:lang w:val="en-US" w:eastAsia="zh-CN"/>
        </w:rPr>
        <w:t>年财政预算，提请</w:t>
      </w:r>
      <w:r>
        <w:rPr>
          <w:rFonts w:hint="eastAsia" w:ascii="仿宋_GB2312" w:hAnsi="仿宋_GB2312" w:cs="仿宋_GB2312"/>
          <w:kern w:val="2"/>
          <w:sz w:val="32"/>
          <w:szCs w:val="32"/>
          <w:lang w:val="en-US" w:eastAsia="zh-CN"/>
        </w:rPr>
        <w:t>乡</w:t>
      </w:r>
      <w:r>
        <w:rPr>
          <w:rFonts w:hint="eastAsia" w:ascii="仿宋_GB2312" w:hAnsi="仿宋_GB2312" w:eastAsia="仿宋_GB2312" w:cs="仿宋_GB2312"/>
          <w:kern w:val="2"/>
          <w:sz w:val="32"/>
          <w:szCs w:val="32"/>
          <w:lang w:val="en-US" w:eastAsia="zh-CN"/>
        </w:rPr>
        <w:t>人大代表会审议并严格执行，坚持在预算支出方面注重优先保工资、保运转、保基本民生，确保对社会保障、医疗卫生、扶贫、教育、住房保障等方面的投入，进一步优化支出结构，集中财力办大事、办实事，既保障了全体干职工的基本福利，也确保了政府各项工作的高效运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二是科学规范预算管理，本着“量力而行、量财办事”的原则，把有限的财政资金用到发展经济和改善民生最急需的地方，提高预算编制执行的精细化和透明度，强化预算约束，严格控制追加指标；完善财政监督机制，进一步规范项目及补贴类资金监管，强化政府投资项目审计复审，从严控制项目支出；确保年度收支平衡。</w:t>
      </w:r>
    </w:p>
    <w:p>
      <w:pPr>
        <w:pStyle w:val="2"/>
        <w:rPr>
          <w:rFonts w:hint="eastAsia"/>
          <w:b w:val="0"/>
          <w:bCs w:val="0"/>
          <w:lang w:val="en-US" w:eastAsia="zh-CN"/>
        </w:rPr>
      </w:pPr>
    </w:p>
    <w:p>
      <w:pPr>
        <w:widowControl/>
        <w:spacing w:line="594" w:lineRule="exact"/>
        <w:ind w:firstLine="640" w:firstLineChars="200"/>
        <w:rPr>
          <w:kern w:val="0"/>
          <w:szCs w:val="32"/>
        </w:rPr>
      </w:pPr>
      <w:r>
        <w:rPr>
          <w:rFonts w:eastAsia="黑体"/>
          <w:bCs/>
          <w:kern w:val="0"/>
          <w:szCs w:val="32"/>
        </w:rPr>
        <w:t>二、部门整体支出管理及使用情况分析</w:t>
      </w:r>
    </w:p>
    <w:p>
      <w:pPr>
        <w:widowControl/>
        <w:spacing w:line="594" w:lineRule="exact"/>
        <w:ind w:firstLine="640" w:firstLineChars="200"/>
        <w:rPr>
          <w:rFonts w:eastAsia="楷体_GB2312"/>
          <w:b w:val="0"/>
          <w:bCs w:val="0"/>
          <w:kern w:val="0"/>
          <w:szCs w:val="32"/>
        </w:rPr>
      </w:pPr>
      <w:r>
        <w:rPr>
          <w:rFonts w:eastAsia="楷体_GB2312"/>
          <w:b w:val="0"/>
          <w:bCs w:val="0"/>
          <w:kern w:val="0"/>
          <w:szCs w:val="32"/>
        </w:rPr>
        <w:t>（一）基本支出</w:t>
      </w:r>
    </w:p>
    <w:p>
      <w:pPr>
        <w:widowControl/>
        <w:spacing w:line="594" w:lineRule="exact"/>
        <w:ind w:firstLine="640" w:firstLineChars="200"/>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202</w:t>
      </w:r>
      <w:r>
        <w:rPr>
          <w:rFonts w:hint="eastAsia" w:ascii="仿宋_GB2312" w:hAnsi="仿宋_GB2312" w:cs="仿宋_GB2312"/>
          <w:color w:val="auto"/>
          <w:kern w:val="2"/>
          <w:sz w:val="32"/>
          <w:szCs w:val="32"/>
          <w:lang w:val="en-US" w:eastAsia="zh-CN"/>
        </w:rPr>
        <w:t>2</w:t>
      </w:r>
      <w:r>
        <w:rPr>
          <w:rFonts w:hint="eastAsia" w:ascii="仿宋_GB2312" w:hAnsi="仿宋_GB2312" w:eastAsia="仿宋_GB2312" w:cs="仿宋_GB2312"/>
          <w:color w:val="auto"/>
          <w:kern w:val="2"/>
          <w:sz w:val="32"/>
          <w:szCs w:val="32"/>
          <w:lang w:val="en-US" w:eastAsia="zh-CN"/>
        </w:rPr>
        <w:t>年我</w:t>
      </w:r>
      <w:r>
        <w:rPr>
          <w:rFonts w:hint="eastAsia" w:ascii="仿宋_GB2312" w:hAnsi="仿宋_GB2312" w:cs="仿宋_GB2312"/>
          <w:color w:val="auto"/>
          <w:kern w:val="2"/>
          <w:sz w:val="32"/>
          <w:szCs w:val="32"/>
          <w:lang w:val="en-US" w:eastAsia="zh-CN"/>
        </w:rPr>
        <w:t>乡</w:t>
      </w:r>
      <w:r>
        <w:rPr>
          <w:rFonts w:hint="eastAsia" w:ascii="仿宋_GB2312" w:hAnsi="仿宋_GB2312" w:eastAsia="仿宋_GB2312" w:cs="仿宋_GB2312"/>
          <w:color w:val="auto"/>
          <w:kern w:val="2"/>
          <w:sz w:val="32"/>
          <w:szCs w:val="32"/>
          <w:lang w:val="en-US" w:eastAsia="zh-CN"/>
        </w:rPr>
        <w:t>基本支出</w:t>
      </w:r>
      <w:r>
        <w:rPr>
          <w:rFonts w:hint="eastAsia" w:ascii="仿宋_GB2312" w:hAnsi="仿宋_GB2312" w:cs="仿宋_GB2312"/>
          <w:color w:val="auto"/>
          <w:kern w:val="2"/>
          <w:sz w:val="32"/>
          <w:szCs w:val="32"/>
          <w:lang w:val="en-US" w:eastAsia="zh-CN"/>
        </w:rPr>
        <w:t>1449.08</w:t>
      </w:r>
      <w:r>
        <w:rPr>
          <w:rFonts w:hint="eastAsia" w:ascii="仿宋_GB2312" w:hAnsi="仿宋_GB2312" w:eastAsia="仿宋_GB2312" w:cs="仿宋_GB2312"/>
          <w:color w:val="auto"/>
          <w:kern w:val="2"/>
          <w:sz w:val="32"/>
          <w:szCs w:val="32"/>
          <w:lang w:val="en-US" w:eastAsia="zh-CN"/>
        </w:rPr>
        <w:t>万元，主要是工资福利支出</w:t>
      </w:r>
      <w:r>
        <w:rPr>
          <w:rFonts w:hint="eastAsia" w:ascii="仿宋_GB2312" w:hAnsi="仿宋_GB2312" w:cs="仿宋_GB2312"/>
          <w:color w:val="auto"/>
          <w:kern w:val="2"/>
          <w:sz w:val="32"/>
          <w:szCs w:val="32"/>
          <w:lang w:val="en-US" w:eastAsia="zh-CN"/>
        </w:rPr>
        <w:t>1060.17</w:t>
      </w:r>
      <w:r>
        <w:rPr>
          <w:rFonts w:hint="eastAsia" w:ascii="仿宋_GB2312" w:hAnsi="仿宋_GB2312" w:eastAsia="仿宋_GB2312" w:cs="仿宋_GB2312"/>
          <w:color w:val="auto"/>
          <w:kern w:val="2"/>
          <w:sz w:val="32"/>
          <w:szCs w:val="32"/>
          <w:lang w:val="en-US" w:eastAsia="zh-CN"/>
        </w:rPr>
        <w:t>万元，商品和服务支出</w:t>
      </w:r>
      <w:r>
        <w:rPr>
          <w:rFonts w:hint="eastAsia" w:ascii="仿宋_GB2312" w:hAnsi="仿宋_GB2312" w:cs="仿宋_GB2312"/>
          <w:color w:val="auto"/>
          <w:kern w:val="2"/>
          <w:sz w:val="32"/>
          <w:szCs w:val="32"/>
          <w:lang w:val="en-US" w:eastAsia="zh-CN"/>
        </w:rPr>
        <w:t>378.8</w:t>
      </w:r>
      <w:r>
        <w:rPr>
          <w:rFonts w:hint="eastAsia" w:ascii="仿宋_GB2312" w:hAnsi="仿宋_GB2312" w:eastAsia="仿宋_GB2312" w:cs="仿宋_GB2312"/>
          <w:color w:val="auto"/>
          <w:kern w:val="2"/>
          <w:sz w:val="32"/>
          <w:szCs w:val="32"/>
          <w:lang w:val="en-US" w:eastAsia="zh-CN"/>
        </w:rPr>
        <w:t>万元，对个人和家庭的补助支出</w:t>
      </w:r>
      <w:r>
        <w:rPr>
          <w:rFonts w:hint="eastAsia" w:ascii="仿宋_GB2312" w:hAnsi="仿宋_GB2312" w:cs="仿宋_GB2312"/>
          <w:color w:val="auto"/>
          <w:kern w:val="2"/>
          <w:sz w:val="32"/>
          <w:szCs w:val="32"/>
          <w:lang w:val="en-US" w:eastAsia="zh-CN"/>
        </w:rPr>
        <w:t>10.11</w:t>
      </w:r>
      <w:r>
        <w:rPr>
          <w:rFonts w:hint="eastAsia" w:ascii="仿宋_GB2312" w:hAnsi="仿宋_GB2312" w:eastAsia="仿宋_GB2312" w:cs="仿宋_GB2312"/>
          <w:color w:val="auto"/>
          <w:kern w:val="2"/>
          <w:sz w:val="32"/>
          <w:szCs w:val="32"/>
          <w:lang w:val="en-US" w:eastAsia="zh-CN"/>
        </w:rPr>
        <w:t>万元。</w:t>
      </w:r>
    </w:p>
    <w:p>
      <w:pPr>
        <w:widowControl/>
        <w:spacing w:line="594" w:lineRule="exact"/>
        <w:ind w:firstLine="640" w:firstLineChars="200"/>
        <w:rPr>
          <w:rFonts w:hint="eastAsia" w:ascii="仿宋_GB2312" w:hAnsi="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“三公”经费的使用和管理等情况： 202</w:t>
      </w:r>
      <w:r>
        <w:rPr>
          <w:rFonts w:hint="eastAsia" w:ascii="仿宋_GB2312" w:hAnsi="仿宋_GB2312" w:cs="仿宋_GB2312"/>
          <w:color w:val="auto"/>
          <w:kern w:val="2"/>
          <w:sz w:val="32"/>
          <w:szCs w:val="32"/>
          <w:lang w:val="en-US" w:eastAsia="zh-CN"/>
        </w:rPr>
        <w:t>2</w:t>
      </w:r>
      <w:r>
        <w:rPr>
          <w:rFonts w:hint="eastAsia" w:ascii="仿宋_GB2312" w:hAnsi="仿宋_GB2312" w:eastAsia="仿宋_GB2312" w:cs="仿宋_GB2312"/>
          <w:color w:val="auto"/>
          <w:kern w:val="2"/>
          <w:sz w:val="32"/>
          <w:szCs w:val="32"/>
          <w:lang w:val="en-US" w:eastAsia="zh-CN"/>
        </w:rPr>
        <w:t>年“三公”经费支出</w:t>
      </w:r>
      <w:r>
        <w:rPr>
          <w:rFonts w:hint="eastAsia" w:ascii="仿宋_GB2312" w:hAnsi="仿宋_GB2312" w:cs="仿宋_GB2312"/>
          <w:color w:val="auto"/>
          <w:kern w:val="2"/>
          <w:sz w:val="32"/>
          <w:szCs w:val="32"/>
          <w:lang w:val="en-US" w:eastAsia="zh-CN"/>
        </w:rPr>
        <w:t>12.17</w:t>
      </w:r>
      <w:r>
        <w:rPr>
          <w:rFonts w:hint="eastAsia" w:ascii="仿宋_GB2312" w:hAnsi="仿宋_GB2312" w:eastAsia="仿宋_GB2312" w:cs="仿宋_GB2312"/>
          <w:color w:val="auto"/>
          <w:kern w:val="2"/>
          <w:sz w:val="32"/>
          <w:szCs w:val="32"/>
          <w:lang w:val="en-US" w:eastAsia="zh-CN"/>
        </w:rPr>
        <w:t>元，比上年</w:t>
      </w:r>
      <w:r>
        <w:rPr>
          <w:rFonts w:hint="eastAsia" w:ascii="仿宋_GB2312" w:hAnsi="仿宋_GB2312" w:cs="仿宋_GB2312"/>
          <w:color w:val="auto"/>
          <w:kern w:val="2"/>
          <w:sz w:val="32"/>
          <w:szCs w:val="32"/>
          <w:lang w:val="en-US" w:eastAsia="zh-CN"/>
        </w:rPr>
        <w:t>增加2.28</w:t>
      </w:r>
      <w:r>
        <w:rPr>
          <w:rFonts w:hint="eastAsia" w:ascii="仿宋_GB2312" w:hAnsi="仿宋_GB2312" w:eastAsia="仿宋_GB2312" w:cs="仿宋_GB2312"/>
          <w:color w:val="auto"/>
          <w:kern w:val="2"/>
          <w:sz w:val="32"/>
          <w:szCs w:val="32"/>
          <w:lang w:val="en-US" w:eastAsia="zh-CN"/>
        </w:rPr>
        <w:t>万元，同比</w:t>
      </w:r>
      <w:r>
        <w:rPr>
          <w:rFonts w:hint="eastAsia" w:ascii="仿宋_GB2312" w:hAnsi="仿宋_GB2312" w:cs="仿宋_GB2312"/>
          <w:color w:val="auto"/>
          <w:kern w:val="2"/>
          <w:sz w:val="32"/>
          <w:szCs w:val="32"/>
          <w:lang w:val="en-US" w:eastAsia="zh-CN"/>
        </w:rPr>
        <w:t>增加23.05</w:t>
      </w:r>
      <w:r>
        <w:rPr>
          <w:rFonts w:hint="eastAsia" w:ascii="仿宋_GB2312" w:hAnsi="仿宋_GB2312" w:eastAsia="仿宋_GB2312" w:cs="仿宋_GB2312"/>
          <w:color w:val="auto"/>
          <w:kern w:val="2"/>
          <w:sz w:val="32"/>
          <w:szCs w:val="32"/>
          <w:lang w:val="en-US" w:eastAsia="zh-CN"/>
        </w:rPr>
        <w:t>%，其中：因公出国（境）费支出0元；公务接待费支出7.</w:t>
      </w:r>
      <w:r>
        <w:rPr>
          <w:rFonts w:hint="eastAsia" w:ascii="仿宋_GB2312" w:hAnsi="仿宋_GB2312" w:cs="仿宋_GB2312"/>
          <w:color w:val="auto"/>
          <w:kern w:val="2"/>
          <w:sz w:val="32"/>
          <w:szCs w:val="32"/>
          <w:lang w:val="en-US" w:eastAsia="zh-CN"/>
        </w:rPr>
        <w:t>1</w:t>
      </w:r>
      <w:r>
        <w:rPr>
          <w:rFonts w:hint="eastAsia" w:ascii="仿宋_GB2312" w:hAnsi="仿宋_GB2312" w:eastAsia="仿宋_GB2312" w:cs="仿宋_GB2312"/>
          <w:color w:val="auto"/>
          <w:kern w:val="2"/>
          <w:sz w:val="32"/>
          <w:szCs w:val="32"/>
          <w:lang w:val="en-US" w:eastAsia="zh-CN"/>
        </w:rPr>
        <w:t>7万元，比上年</w:t>
      </w:r>
      <w:r>
        <w:rPr>
          <w:rFonts w:hint="eastAsia" w:ascii="仿宋_GB2312" w:hAnsi="仿宋_GB2312" w:cs="仿宋_GB2312"/>
          <w:color w:val="auto"/>
          <w:kern w:val="2"/>
          <w:sz w:val="32"/>
          <w:szCs w:val="32"/>
          <w:lang w:val="en-US" w:eastAsia="zh-CN"/>
        </w:rPr>
        <w:t>减少0.2</w:t>
      </w:r>
      <w:r>
        <w:rPr>
          <w:rFonts w:hint="eastAsia" w:ascii="仿宋_GB2312" w:hAnsi="仿宋_GB2312" w:eastAsia="仿宋_GB2312" w:cs="仿宋_GB2312"/>
          <w:color w:val="auto"/>
          <w:kern w:val="2"/>
          <w:sz w:val="32"/>
          <w:szCs w:val="32"/>
          <w:lang w:val="en-US" w:eastAsia="zh-CN"/>
        </w:rPr>
        <w:t>万元，同比</w:t>
      </w:r>
      <w:r>
        <w:rPr>
          <w:rFonts w:hint="eastAsia" w:ascii="仿宋_GB2312" w:hAnsi="仿宋_GB2312" w:cs="仿宋_GB2312"/>
          <w:color w:val="auto"/>
          <w:kern w:val="2"/>
          <w:sz w:val="32"/>
          <w:szCs w:val="32"/>
          <w:lang w:val="en-US" w:eastAsia="zh-CN"/>
        </w:rPr>
        <w:t>减少</w:t>
      </w:r>
      <w:r>
        <w:rPr>
          <w:rFonts w:hint="eastAsia" w:ascii="仿宋_GB2312" w:hAnsi="仿宋_GB2312" w:eastAsia="仿宋_GB2312" w:cs="仿宋_GB2312"/>
          <w:color w:val="auto"/>
          <w:kern w:val="2"/>
          <w:sz w:val="32"/>
          <w:szCs w:val="32"/>
          <w:lang w:val="en-US" w:eastAsia="zh-CN"/>
        </w:rPr>
        <w:t>46.64%；公务用车购置及运行维护费支出</w:t>
      </w:r>
      <w:r>
        <w:rPr>
          <w:rFonts w:hint="eastAsia" w:ascii="仿宋_GB2312" w:hAnsi="仿宋_GB2312" w:cs="仿宋_GB2312"/>
          <w:color w:val="auto"/>
          <w:kern w:val="2"/>
          <w:sz w:val="32"/>
          <w:szCs w:val="32"/>
          <w:lang w:val="en-US" w:eastAsia="zh-CN"/>
        </w:rPr>
        <w:t>5</w:t>
      </w:r>
      <w:r>
        <w:rPr>
          <w:rFonts w:hint="eastAsia" w:ascii="仿宋_GB2312" w:hAnsi="仿宋_GB2312" w:eastAsia="仿宋_GB2312" w:cs="仿宋_GB2312"/>
          <w:color w:val="auto"/>
          <w:kern w:val="2"/>
          <w:sz w:val="32"/>
          <w:szCs w:val="32"/>
          <w:lang w:val="en-US" w:eastAsia="zh-CN"/>
        </w:rPr>
        <w:t>万元，比上年</w:t>
      </w:r>
      <w:r>
        <w:rPr>
          <w:rFonts w:hint="eastAsia" w:ascii="仿宋_GB2312" w:hAnsi="仿宋_GB2312" w:cs="仿宋_GB2312"/>
          <w:color w:val="auto"/>
          <w:kern w:val="2"/>
          <w:sz w:val="32"/>
          <w:szCs w:val="32"/>
          <w:lang w:val="en-US" w:eastAsia="zh-CN"/>
        </w:rPr>
        <w:t>增加3.99万元，</w:t>
      </w:r>
      <w:r>
        <w:rPr>
          <w:rFonts w:hint="eastAsia" w:ascii="仿宋_GB2312" w:hAnsi="仿宋_GB2312" w:eastAsia="仿宋_GB2312" w:cs="仿宋_GB2312"/>
          <w:color w:val="auto"/>
          <w:kern w:val="2"/>
          <w:sz w:val="32"/>
          <w:szCs w:val="32"/>
          <w:lang w:val="en-US" w:eastAsia="zh-CN"/>
        </w:rPr>
        <w:t>增减变化的主要原因是：本年度公务用车运行及维护费较往年</w:t>
      </w:r>
      <w:r>
        <w:rPr>
          <w:rFonts w:hint="eastAsia" w:ascii="仿宋_GB2312" w:hAnsi="仿宋_GB2312" w:cs="仿宋_GB2312"/>
          <w:color w:val="auto"/>
          <w:kern w:val="2"/>
          <w:sz w:val="32"/>
          <w:szCs w:val="32"/>
          <w:lang w:val="en-US" w:eastAsia="zh-CN"/>
        </w:rPr>
        <w:t>增加</w:t>
      </w:r>
      <w:r>
        <w:rPr>
          <w:rFonts w:hint="eastAsia" w:ascii="仿宋_GB2312" w:hAnsi="仿宋_GB2312" w:eastAsia="仿宋_GB2312" w:cs="仿宋_GB2312"/>
          <w:color w:val="auto"/>
          <w:kern w:val="2"/>
          <w:sz w:val="32"/>
          <w:szCs w:val="32"/>
          <w:lang w:val="en-US" w:eastAsia="zh-CN"/>
        </w:rPr>
        <w:t>，是因为</w:t>
      </w:r>
      <w:r>
        <w:rPr>
          <w:rFonts w:hint="eastAsia" w:ascii="仿宋_GB2312" w:hAnsi="仿宋_GB2312" w:cs="仿宋_GB2312"/>
          <w:color w:val="auto"/>
          <w:kern w:val="2"/>
          <w:sz w:val="32"/>
          <w:szCs w:val="32"/>
          <w:lang w:val="en-US" w:eastAsia="zh-CN"/>
        </w:rPr>
        <w:t>旧公车的维修费增加后新购置了公车和消防用车，本年度油费增加。</w:t>
      </w:r>
    </w:p>
    <w:p>
      <w:pPr>
        <w:widowControl/>
        <w:spacing w:line="594" w:lineRule="exact"/>
        <w:ind w:firstLine="640" w:firstLineChars="200"/>
        <w:rPr>
          <w:rFonts w:hint="eastAsia"/>
          <w:kern w:val="0"/>
          <w:szCs w:val="32"/>
          <w:lang w:val="en-US" w:eastAsia="zh-CN"/>
        </w:rPr>
      </w:pPr>
      <w:r>
        <w:rPr>
          <w:rFonts w:hint="eastAsia"/>
          <w:kern w:val="0"/>
          <w:szCs w:val="32"/>
          <w:lang w:val="en-US" w:eastAsia="zh-CN"/>
        </w:rPr>
        <w:t>在支出管理方面，我乡坚决贯彻落实省委省政府关于落实党政机关厉行节约工作的有关精神，严格执行中央“八项规定”的要求，严格控制单位行政运行基本支出，特别是“三公”经费的管理，改进文风会风，加强经费及资产管理，有效地降低行政成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lang w:val="en-US" w:eastAsia="zh-CN"/>
        </w:rPr>
      </w:pPr>
      <w:r>
        <w:rPr>
          <w:rFonts w:hint="eastAsia" w:ascii="楷体_GB2312" w:hAnsi="楷体_GB2312" w:eastAsia="楷体_GB2312" w:cs="楷体_GB2312"/>
          <w:kern w:val="2"/>
          <w:sz w:val="32"/>
          <w:szCs w:val="32"/>
          <w:lang w:val="en-US" w:eastAsia="zh-CN"/>
        </w:rPr>
        <w:t>（二）项目支出</w:t>
      </w:r>
      <w:r>
        <w:rPr>
          <w:rFonts w:hint="eastAsia" w:ascii="楷体_GB2312" w:hAnsi="楷体_GB2312" w:eastAsia="楷体_GB2312" w:cs="楷体_GB2312"/>
          <w:kern w:val="2"/>
          <w:sz w:val="32"/>
          <w:szCs w:val="32"/>
          <w:lang w:val="en-US" w:eastAsia="zh-CN"/>
        </w:rPr>
        <w:tab/>
      </w:r>
    </w:p>
    <w:p>
      <w:pPr>
        <w:keepNext w:val="0"/>
        <w:keepLines w:val="0"/>
        <w:pageBreakBefore w:val="0"/>
        <w:kinsoku/>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1.项目资金（包括财政资金、自筹资金等）安排落实、总投入等情况分析。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 20</w:t>
      </w:r>
      <w:r>
        <w:rPr>
          <w:rFonts w:hint="eastAsia" w:ascii="仿宋_GB2312" w:hAnsi="仿宋_GB2312" w:cs="仿宋_GB2312"/>
          <w:kern w:val="2"/>
          <w:sz w:val="32"/>
          <w:szCs w:val="32"/>
          <w:lang w:val="en-US" w:eastAsia="zh-CN"/>
        </w:rPr>
        <w:t>22</w:t>
      </w:r>
      <w:r>
        <w:rPr>
          <w:rFonts w:hint="eastAsia" w:ascii="仿宋_GB2312" w:hAnsi="仿宋_GB2312" w:eastAsia="仿宋_GB2312" w:cs="仿宋_GB2312"/>
          <w:kern w:val="2"/>
          <w:sz w:val="32"/>
          <w:szCs w:val="32"/>
          <w:lang w:val="en-US" w:eastAsia="zh-CN"/>
        </w:rPr>
        <w:t>年我</w:t>
      </w:r>
      <w:r>
        <w:rPr>
          <w:rFonts w:hint="eastAsia" w:ascii="仿宋_GB2312" w:hAnsi="仿宋_GB2312" w:cs="仿宋_GB2312"/>
          <w:kern w:val="2"/>
          <w:sz w:val="32"/>
          <w:szCs w:val="32"/>
          <w:lang w:val="en-US" w:eastAsia="zh-CN"/>
        </w:rPr>
        <w:t>乡</w:t>
      </w:r>
      <w:r>
        <w:rPr>
          <w:rFonts w:hint="eastAsia" w:ascii="仿宋_GB2312" w:hAnsi="仿宋_GB2312" w:eastAsia="仿宋_GB2312" w:cs="仿宋_GB2312"/>
          <w:kern w:val="2"/>
          <w:sz w:val="32"/>
          <w:szCs w:val="32"/>
          <w:lang w:val="en-US" w:eastAsia="zh-CN"/>
        </w:rPr>
        <w:t>项目收入</w:t>
      </w:r>
      <w:r>
        <w:rPr>
          <w:rFonts w:hint="eastAsia" w:ascii="仿宋_GB2312" w:hAnsi="仿宋_GB2312" w:cs="仿宋_GB2312"/>
          <w:kern w:val="2"/>
          <w:sz w:val="32"/>
          <w:szCs w:val="32"/>
          <w:lang w:val="en-US" w:eastAsia="zh-CN"/>
        </w:rPr>
        <w:t>341.13</w:t>
      </w:r>
      <w:r>
        <w:rPr>
          <w:rFonts w:hint="eastAsia" w:ascii="仿宋_GB2312" w:hAnsi="仿宋_GB2312" w:eastAsia="仿宋_GB2312" w:cs="仿宋_GB2312"/>
          <w:kern w:val="2"/>
          <w:sz w:val="32"/>
          <w:szCs w:val="32"/>
          <w:lang w:val="en-US" w:eastAsia="zh-CN"/>
        </w:rPr>
        <w:t>万元，其中财政拨款</w:t>
      </w:r>
      <w:r>
        <w:rPr>
          <w:rFonts w:hint="eastAsia" w:ascii="仿宋_GB2312" w:hAnsi="仿宋_GB2312" w:cs="仿宋_GB2312"/>
          <w:kern w:val="2"/>
          <w:sz w:val="32"/>
          <w:szCs w:val="32"/>
          <w:lang w:val="en-US" w:eastAsia="zh-CN"/>
        </w:rPr>
        <w:t>341.13</w:t>
      </w:r>
      <w:r>
        <w:rPr>
          <w:rFonts w:hint="eastAsia" w:ascii="仿宋_GB2312" w:hAnsi="仿宋_GB2312" w:eastAsia="仿宋_GB2312" w:cs="仿宋_GB2312"/>
          <w:kern w:val="2"/>
          <w:sz w:val="32"/>
          <w:szCs w:val="32"/>
          <w:lang w:val="en-US" w:eastAsia="zh-CN"/>
        </w:rPr>
        <w:t>万元。项目支出</w:t>
      </w:r>
      <w:r>
        <w:rPr>
          <w:rFonts w:hint="eastAsia" w:ascii="仿宋_GB2312" w:hAnsi="仿宋_GB2312" w:cs="仿宋_GB2312"/>
          <w:kern w:val="2"/>
          <w:sz w:val="32"/>
          <w:szCs w:val="32"/>
          <w:lang w:val="en-US" w:eastAsia="zh-CN"/>
        </w:rPr>
        <w:t>341.13</w:t>
      </w:r>
      <w:r>
        <w:rPr>
          <w:rFonts w:hint="eastAsia" w:ascii="仿宋_GB2312" w:hAnsi="仿宋_GB2312" w:eastAsia="仿宋_GB2312" w:cs="仿宋_GB2312"/>
          <w:kern w:val="2"/>
          <w:sz w:val="32"/>
          <w:szCs w:val="32"/>
          <w:lang w:val="en-US" w:eastAsia="zh-CN"/>
        </w:rPr>
        <w:t>万元，</w:t>
      </w:r>
      <w:r>
        <w:rPr>
          <w:rFonts w:hint="eastAsia" w:ascii="仿宋_GB2312" w:hAnsi="仿宋_GB2312" w:cs="仿宋_GB2312"/>
          <w:kern w:val="2"/>
          <w:sz w:val="32"/>
          <w:szCs w:val="32"/>
          <w:lang w:val="en-US" w:eastAsia="zh-CN"/>
        </w:rPr>
        <w:t>其中</w:t>
      </w:r>
      <w:r>
        <w:rPr>
          <w:rFonts w:hint="eastAsia" w:ascii="仿宋_GB2312" w:hAnsi="仿宋_GB2312" w:eastAsia="仿宋_GB2312" w:cs="仿宋_GB2312"/>
          <w:kern w:val="2"/>
          <w:sz w:val="32"/>
          <w:szCs w:val="32"/>
          <w:lang w:val="en-US" w:eastAsia="zh-CN"/>
        </w:rPr>
        <w:t>基本建设类项目</w:t>
      </w:r>
      <w:r>
        <w:rPr>
          <w:rFonts w:hint="eastAsia" w:ascii="仿宋_GB2312" w:hAnsi="仿宋_GB2312" w:cs="仿宋_GB2312"/>
          <w:kern w:val="2"/>
          <w:sz w:val="32"/>
          <w:szCs w:val="32"/>
          <w:lang w:val="en-US" w:eastAsia="zh-CN"/>
        </w:rPr>
        <w:t>0</w:t>
      </w:r>
      <w:r>
        <w:rPr>
          <w:rFonts w:hint="eastAsia" w:ascii="仿宋_GB2312" w:hAnsi="仿宋_GB2312" w:eastAsia="仿宋_GB2312" w:cs="仿宋_GB2312"/>
          <w:kern w:val="2"/>
          <w:sz w:val="32"/>
          <w:szCs w:val="32"/>
          <w:lang w:val="en-US" w:eastAsia="zh-CN"/>
        </w:rPr>
        <w:t>万元，</w:t>
      </w:r>
      <w:r>
        <w:rPr>
          <w:rFonts w:hint="eastAsia" w:ascii="仿宋_GB2312" w:hAnsi="仿宋_GB2312" w:cs="仿宋_GB2312"/>
          <w:kern w:val="2"/>
          <w:sz w:val="32"/>
          <w:szCs w:val="32"/>
          <w:lang w:val="en-US" w:eastAsia="zh-CN"/>
        </w:rPr>
        <w:t>其他</w:t>
      </w:r>
      <w:r>
        <w:rPr>
          <w:rFonts w:hint="eastAsia" w:ascii="仿宋_GB2312" w:hAnsi="仿宋_GB2312" w:eastAsia="仿宋_GB2312" w:cs="仿宋_GB2312"/>
          <w:kern w:val="2"/>
          <w:sz w:val="32"/>
          <w:szCs w:val="32"/>
          <w:lang w:val="en-US" w:eastAsia="zh-CN"/>
        </w:rPr>
        <w:t>支出</w:t>
      </w:r>
      <w:r>
        <w:rPr>
          <w:rFonts w:hint="eastAsia" w:ascii="仿宋_GB2312" w:hAnsi="仿宋_GB2312" w:cs="仿宋_GB2312"/>
          <w:kern w:val="2"/>
          <w:sz w:val="32"/>
          <w:szCs w:val="32"/>
          <w:lang w:val="en-US" w:eastAsia="zh-CN"/>
        </w:rPr>
        <w:t>341.13</w:t>
      </w:r>
      <w:r>
        <w:rPr>
          <w:rFonts w:hint="eastAsia" w:ascii="仿宋_GB2312" w:hAnsi="仿宋_GB2312" w:eastAsia="仿宋_GB2312" w:cs="仿宋_GB2312"/>
          <w:kern w:val="2"/>
          <w:sz w:val="32"/>
          <w:szCs w:val="32"/>
          <w:lang w:val="en-US" w:eastAsia="zh-CN"/>
        </w:rPr>
        <w:t>万元。</w:t>
      </w:r>
    </w:p>
    <w:p>
      <w:pPr>
        <w:keepNext w:val="0"/>
        <w:keepLines w:val="0"/>
        <w:pageBreakBefore w:val="0"/>
        <w:kinsoku/>
        <w:overflowPunct/>
        <w:topLinePunct w:val="0"/>
        <w:autoSpaceDE/>
        <w:autoSpaceDN/>
        <w:bidi w:val="0"/>
        <w:adjustRightInd/>
        <w:snapToGrid/>
        <w:ind w:firstLine="640" w:firstLineChars="200"/>
        <w:textAlignment w:val="auto"/>
        <w:rPr>
          <w:rFonts w:hint="eastAsia"/>
          <w:kern w:val="0"/>
          <w:szCs w:val="32"/>
          <w:lang w:eastAsia="zh-CN"/>
        </w:rPr>
      </w:pPr>
      <w:r>
        <w:rPr>
          <w:rFonts w:hint="eastAsia" w:ascii="仿宋_GB2312" w:hAnsi="仿宋_GB2312" w:cs="仿宋_GB2312"/>
          <w:b w:val="0"/>
          <w:bCs w:val="0"/>
          <w:sz w:val="32"/>
          <w:szCs w:val="32"/>
          <w:lang w:val="en-US" w:eastAsia="zh-CN"/>
        </w:rPr>
        <w:t>2、</w:t>
      </w:r>
      <w:r>
        <w:rPr>
          <w:rFonts w:hint="eastAsia" w:ascii="仿宋_GB2312" w:hAnsi="仿宋_GB2312" w:eastAsia="仿宋_GB2312" w:cs="仿宋_GB2312"/>
          <w:b w:val="0"/>
          <w:bCs w:val="0"/>
          <w:sz w:val="32"/>
          <w:szCs w:val="32"/>
          <w:lang w:val="en-US" w:eastAsia="zh-CN"/>
        </w:rPr>
        <w:t>项目资金（主要指财政资金）实际使用情况分析。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我</w:t>
      </w:r>
      <w:r>
        <w:rPr>
          <w:rFonts w:hint="eastAsia" w:ascii="仿宋_GB2312" w:hAnsi="仿宋_GB2312" w:cs="仿宋_GB2312"/>
          <w:kern w:val="2"/>
          <w:sz w:val="32"/>
          <w:szCs w:val="32"/>
          <w:lang w:val="en-US" w:eastAsia="zh-CN"/>
        </w:rPr>
        <w:t>乡</w:t>
      </w:r>
      <w:r>
        <w:rPr>
          <w:rFonts w:hint="eastAsia" w:ascii="仿宋_GB2312" w:hAnsi="仿宋_GB2312" w:eastAsia="仿宋_GB2312" w:cs="仿宋_GB2312"/>
          <w:kern w:val="2"/>
          <w:sz w:val="32"/>
          <w:szCs w:val="32"/>
          <w:lang w:val="en-US" w:eastAsia="zh-CN"/>
        </w:rPr>
        <w:t>2021年项目支出共计</w:t>
      </w:r>
      <w:r>
        <w:rPr>
          <w:rFonts w:hint="eastAsia" w:ascii="仿宋_GB2312" w:hAnsi="仿宋_GB2312" w:cs="仿宋_GB2312"/>
          <w:kern w:val="2"/>
          <w:sz w:val="32"/>
          <w:szCs w:val="32"/>
          <w:lang w:val="en-US" w:eastAsia="zh-CN"/>
        </w:rPr>
        <w:t>341.13</w:t>
      </w:r>
      <w:r>
        <w:rPr>
          <w:rFonts w:hint="eastAsia" w:ascii="仿宋_GB2312" w:hAnsi="仿宋_GB2312" w:eastAsia="仿宋_GB2312" w:cs="仿宋_GB2312"/>
          <w:kern w:val="2"/>
          <w:sz w:val="32"/>
          <w:szCs w:val="32"/>
          <w:lang w:val="en-US" w:eastAsia="zh-CN"/>
        </w:rPr>
        <w:t>万元，其中一般公共服务支出</w:t>
      </w:r>
      <w:r>
        <w:rPr>
          <w:rFonts w:hint="eastAsia" w:ascii="仿宋_GB2312" w:hAnsi="仿宋_GB2312" w:cs="仿宋_GB2312"/>
          <w:kern w:val="2"/>
          <w:sz w:val="32"/>
          <w:szCs w:val="32"/>
          <w:lang w:val="en-US" w:eastAsia="zh-CN"/>
        </w:rPr>
        <w:t>56.88</w:t>
      </w:r>
      <w:r>
        <w:rPr>
          <w:rFonts w:hint="eastAsia" w:ascii="仿宋_GB2312" w:hAnsi="仿宋_GB2312" w:eastAsia="仿宋_GB2312" w:cs="仿宋_GB2312"/>
          <w:kern w:val="2"/>
          <w:sz w:val="32"/>
          <w:szCs w:val="32"/>
          <w:lang w:val="en-US" w:eastAsia="zh-CN"/>
        </w:rPr>
        <w:t>万元，主要是</w:t>
      </w:r>
      <w:r>
        <w:rPr>
          <w:rFonts w:hint="eastAsia" w:ascii="仿宋_GB2312" w:hAnsi="仿宋_GB2312" w:cs="仿宋_GB2312"/>
          <w:kern w:val="2"/>
          <w:sz w:val="32"/>
          <w:szCs w:val="32"/>
          <w:lang w:val="en-US" w:eastAsia="zh-CN"/>
        </w:rPr>
        <w:t>黑茶文化节专项资金、2021年和2022年非税收入结算资金、财政监管资金和白沙溪村公路建设资金</w:t>
      </w:r>
      <w:r>
        <w:rPr>
          <w:rFonts w:hint="eastAsia" w:ascii="仿宋_GB2312" w:hAnsi="仿宋_GB2312" w:eastAsia="仿宋_GB2312" w:cs="仿宋_GB2312"/>
          <w:kern w:val="2"/>
          <w:sz w:val="32"/>
          <w:szCs w:val="32"/>
          <w:lang w:val="en-US" w:eastAsia="zh-CN"/>
        </w:rPr>
        <w:t>；国防支出支出</w:t>
      </w:r>
      <w:r>
        <w:rPr>
          <w:rFonts w:hint="eastAsia" w:ascii="仿宋_GB2312" w:hAnsi="仿宋_GB2312" w:cs="仿宋_GB2312"/>
          <w:kern w:val="2"/>
          <w:sz w:val="32"/>
          <w:szCs w:val="32"/>
          <w:lang w:val="en-US" w:eastAsia="zh-CN"/>
        </w:rPr>
        <w:t>1</w:t>
      </w:r>
      <w:r>
        <w:rPr>
          <w:rFonts w:hint="eastAsia" w:ascii="仿宋_GB2312" w:hAnsi="仿宋_GB2312" w:eastAsia="仿宋_GB2312" w:cs="仿宋_GB2312"/>
          <w:kern w:val="2"/>
          <w:sz w:val="32"/>
          <w:szCs w:val="32"/>
          <w:lang w:val="en-US" w:eastAsia="zh-CN"/>
        </w:rPr>
        <w:t>万元主要是基层武装部星级达标奖励；公共安全支出支出</w:t>
      </w:r>
      <w:r>
        <w:rPr>
          <w:rFonts w:hint="eastAsia" w:ascii="仿宋_GB2312" w:hAnsi="仿宋_GB2312" w:cs="仿宋_GB2312"/>
          <w:kern w:val="2"/>
          <w:sz w:val="32"/>
          <w:szCs w:val="32"/>
          <w:lang w:val="en-US" w:eastAsia="zh-CN"/>
        </w:rPr>
        <w:t>1.01</w:t>
      </w:r>
      <w:r>
        <w:rPr>
          <w:rFonts w:hint="eastAsia" w:ascii="仿宋_GB2312" w:hAnsi="仿宋_GB2312" w:eastAsia="仿宋_GB2312" w:cs="仿宋_GB2312"/>
          <w:kern w:val="2"/>
          <w:sz w:val="32"/>
          <w:szCs w:val="32"/>
          <w:lang w:val="en-US" w:eastAsia="zh-CN"/>
        </w:rPr>
        <w:t>万元，主要是基层武装部星级达标奖励</w:t>
      </w:r>
      <w:r>
        <w:rPr>
          <w:rFonts w:hint="eastAsia" w:ascii="仿宋_GB2312" w:hAnsi="仿宋_GB2312" w:cs="仿宋_GB2312"/>
          <w:kern w:val="2"/>
          <w:sz w:val="32"/>
          <w:szCs w:val="32"/>
          <w:lang w:val="en-US" w:eastAsia="zh-CN"/>
        </w:rPr>
        <w:t>；节能环保支出8万元，主要是白沙溪村环境整治和天子山村榧子溪2.5公里公路硬化；城乡社区支出5万元，主要是城管执法和经建专项补助资金;农林水支出190.6万元，主要是2022年第一批经建专项补助资金、巩固脱乡村振兴补助资金（少数民族发展任务）资金、农村基础设施建设资金、</w:t>
      </w:r>
      <w:r>
        <w:rPr>
          <w:rFonts w:hint="eastAsia" w:ascii="仿宋_GB2312" w:hAnsi="仿宋_GB2312" w:eastAsia="仿宋_GB2312" w:cs="仿宋_GB2312"/>
          <w:kern w:val="2"/>
          <w:sz w:val="32"/>
          <w:szCs w:val="32"/>
          <w:lang w:val="en-US" w:eastAsia="zh-CN"/>
        </w:rPr>
        <w:t>村级组织运转保障经费公用经费结算</w:t>
      </w:r>
      <w:r>
        <w:rPr>
          <w:rFonts w:hint="eastAsia" w:ascii="仿宋_GB2312" w:hAnsi="仿宋_GB2312" w:cs="仿宋_GB2312"/>
          <w:kern w:val="2"/>
          <w:sz w:val="32"/>
          <w:szCs w:val="32"/>
          <w:lang w:val="en-US" w:eastAsia="zh-CN"/>
        </w:rPr>
        <w:t>资金、</w:t>
      </w:r>
      <w:r>
        <w:rPr>
          <w:rFonts w:hint="eastAsia" w:ascii="仿宋_GB2312" w:hAnsi="仿宋_GB2312" w:eastAsia="仿宋_GB2312" w:cs="仿宋_GB2312"/>
          <w:kern w:val="2"/>
          <w:sz w:val="32"/>
          <w:szCs w:val="32"/>
          <w:lang w:val="en-US" w:eastAsia="zh-CN"/>
        </w:rPr>
        <w:t>村级综合服务平台建设</w:t>
      </w:r>
      <w:r>
        <w:rPr>
          <w:rFonts w:hint="eastAsia" w:ascii="仿宋_GB2312" w:hAnsi="仿宋_GB2312" w:cs="仿宋_GB2312"/>
          <w:kern w:val="2"/>
          <w:sz w:val="32"/>
          <w:szCs w:val="32"/>
          <w:lang w:val="en-US" w:eastAsia="zh-CN"/>
        </w:rPr>
        <w:t>资金和</w:t>
      </w:r>
      <w:r>
        <w:rPr>
          <w:rFonts w:hint="eastAsia" w:ascii="仿宋_GB2312" w:hAnsi="仿宋_GB2312" w:eastAsia="仿宋_GB2312" w:cs="仿宋_GB2312"/>
          <w:kern w:val="2"/>
          <w:sz w:val="32"/>
          <w:szCs w:val="32"/>
          <w:lang w:val="en-US" w:eastAsia="zh-CN"/>
        </w:rPr>
        <w:t>财政农业资金</w:t>
      </w:r>
      <w:r>
        <w:rPr>
          <w:rFonts w:hint="eastAsia" w:ascii="仿宋_GB2312" w:hAnsi="仿宋_GB2312" w:cs="仿宋_GB2312"/>
          <w:kern w:val="2"/>
          <w:sz w:val="32"/>
          <w:szCs w:val="32"/>
          <w:lang w:val="en-US" w:eastAsia="zh-CN"/>
        </w:rPr>
        <w:t>；灾害防治及应急管理支出1.5万元，主要是乡镇应急能力建设资金；其他支出77.13万元，主要是彩票公益金安排的支出和部分专项资金等。</w:t>
      </w:r>
    </w:p>
    <w:p>
      <w:pPr>
        <w:widowControl/>
        <w:spacing w:line="594" w:lineRule="exact"/>
        <w:ind w:firstLine="640" w:firstLineChars="200"/>
        <w:rPr>
          <w:rFonts w:hint="eastAsia"/>
          <w:kern w:val="0"/>
          <w:szCs w:val="32"/>
          <w:lang w:val="en-US" w:eastAsia="zh-CN"/>
        </w:rPr>
      </w:pPr>
      <w:r>
        <w:rPr>
          <w:rFonts w:hint="eastAsia"/>
          <w:kern w:val="0"/>
          <w:szCs w:val="32"/>
          <w:lang w:val="en-US" w:eastAsia="zh-CN"/>
        </w:rPr>
        <w:t>同时，2021年部门预算及决算按上级部门要求，及时规范完成申报，并在政府门户网站进行了公示公开。</w:t>
      </w:r>
    </w:p>
    <w:p>
      <w:pPr>
        <w:pStyle w:val="2"/>
        <w:rPr>
          <w:rFonts w:hint="eastAsia"/>
          <w:lang w:val="en-US" w:eastAsia="zh-CN"/>
        </w:rPr>
      </w:pPr>
    </w:p>
    <w:p>
      <w:pPr>
        <w:pStyle w:val="2"/>
        <w:keepNext w:val="0"/>
        <w:keepLines w:val="0"/>
        <w:pageBreakBefore w:val="0"/>
        <w:numPr>
          <w:ilvl w:val="0"/>
          <w:numId w:val="0"/>
        </w:numPr>
        <w:kinsoku/>
        <w:overflowPunct/>
        <w:topLinePunct w:val="0"/>
        <w:autoSpaceDE/>
        <w:autoSpaceDN/>
        <w:bidi w:val="0"/>
        <w:adjustRightInd/>
        <w:snapToGrid/>
        <w:ind w:firstLine="640" w:firstLineChars="200"/>
        <w:textAlignment w:val="auto"/>
        <w:rPr>
          <w:rFonts w:hint="eastAsia" w:ascii="仿宋_GB2312" w:hAnsi="仿宋_GB2312" w:cs="仿宋_GB2312"/>
          <w:b w:val="0"/>
          <w:bCs w:val="0"/>
          <w:sz w:val="32"/>
          <w:szCs w:val="32"/>
          <w:lang w:val="en-US" w:eastAsia="zh-CN"/>
        </w:rPr>
      </w:pPr>
      <w:r>
        <w:rPr>
          <w:rFonts w:hint="eastAsia" w:ascii="仿宋_GB2312" w:hAnsi="仿宋_GB2312" w:cs="仿宋_GB2312"/>
          <w:b w:val="0"/>
          <w:bCs w:val="0"/>
          <w:sz w:val="32"/>
          <w:szCs w:val="32"/>
          <w:lang w:val="en-US" w:eastAsia="zh-CN"/>
        </w:rPr>
        <w:t>3、项目资金管理情况分析，主要包括管理制度、办法的制订及执行情况。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lang w:val="en-US" w:eastAsia="zh-CN"/>
        </w:rPr>
      </w:pPr>
      <w:r>
        <w:rPr>
          <w:rFonts w:hint="eastAsia" w:ascii="仿宋_GB2312" w:hAnsi="仿宋_GB2312" w:eastAsia="仿宋_GB2312" w:cs="仿宋_GB2312"/>
          <w:kern w:val="2"/>
          <w:sz w:val="32"/>
          <w:szCs w:val="32"/>
          <w:lang w:val="en-US" w:eastAsia="zh-CN"/>
        </w:rPr>
        <w:t>我</w:t>
      </w:r>
      <w:r>
        <w:rPr>
          <w:rFonts w:hint="eastAsia" w:ascii="仿宋_GB2312" w:hAnsi="仿宋_GB2312" w:cs="仿宋_GB2312"/>
          <w:kern w:val="2"/>
          <w:sz w:val="32"/>
          <w:szCs w:val="32"/>
          <w:lang w:val="en-US" w:eastAsia="zh-CN"/>
        </w:rPr>
        <w:t>乡</w:t>
      </w:r>
      <w:r>
        <w:rPr>
          <w:rFonts w:hint="eastAsia" w:ascii="仿宋_GB2312" w:hAnsi="仿宋_GB2312" w:eastAsia="仿宋_GB2312" w:cs="仿宋_GB2312"/>
          <w:kern w:val="2"/>
          <w:sz w:val="32"/>
          <w:szCs w:val="32"/>
          <w:lang w:val="en-US" w:eastAsia="zh-CN"/>
        </w:rPr>
        <w:t>项目资金严格按照国家财经法规制度，预算管理办法管理和使用，按照相关规定制定了《</w:t>
      </w:r>
      <w:r>
        <w:rPr>
          <w:rFonts w:hint="eastAsia" w:ascii="仿宋_GB2312" w:hAnsi="仿宋_GB2312" w:cs="仿宋_GB2312"/>
          <w:kern w:val="2"/>
          <w:sz w:val="32"/>
          <w:szCs w:val="32"/>
          <w:lang w:val="en-US" w:eastAsia="zh-CN"/>
        </w:rPr>
        <w:t>田庄乡</w:t>
      </w:r>
      <w:r>
        <w:rPr>
          <w:rFonts w:hint="eastAsia" w:ascii="仿宋_GB2312" w:hAnsi="仿宋_GB2312" w:eastAsia="仿宋_GB2312" w:cs="仿宋_GB2312"/>
          <w:kern w:val="2"/>
          <w:sz w:val="32"/>
          <w:szCs w:val="32"/>
          <w:lang w:val="en-US" w:eastAsia="zh-CN"/>
        </w:rPr>
        <w:t>人民政府财政财务管理制度》、《安化县</w:t>
      </w:r>
      <w:r>
        <w:rPr>
          <w:rFonts w:hint="eastAsia" w:ascii="仿宋_GB2312" w:hAnsi="仿宋_GB2312" w:cs="仿宋_GB2312"/>
          <w:kern w:val="2"/>
          <w:sz w:val="32"/>
          <w:szCs w:val="32"/>
          <w:lang w:val="en-US" w:eastAsia="zh-CN"/>
        </w:rPr>
        <w:t>田庄乡</w:t>
      </w:r>
      <w:r>
        <w:rPr>
          <w:rFonts w:hint="eastAsia" w:ascii="仿宋_GB2312" w:hAnsi="仿宋_GB2312" w:eastAsia="仿宋_GB2312" w:cs="仿宋_GB2312"/>
          <w:kern w:val="2"/>
          <w:sz w:val="32"/>
          <w:szCs w:val="32"/>
          <w:lang w:val="en-US" w:eastAsia="zh-CN"/>
        </w:rPr>
        <w:t>村级财务管理办法》、《</w:t>
      </w:r>
      <w:r>
        <w:rPr>
          <w:rFonts w:hint="eastAsia" w:ascii="仿宋_GB2312" w:hAnsi="仿宋_GB2312" w:cs="仿宋_GB2312"/>
          <w:kern w:val="2"/>
          <w:sz w:val="32"/>
          <w:szCs w:val="32"/>
          <w:lang w:val="en-US" w:eastAsia="zh-CN"/>
        </w:rPr>
        <w:t>田庄乡</w:t>
      </w:r>
      <w:r>
        <w:rPr>
          <w:rFonts w:hint="eastAsia" w:ascii="仿宋_GB2312" w:hAnsi="仿宋_GB2312" w:eastAsia="仿宋_GB2312" w:cs="仿宋_GB2312"/>
          <w:kern w:val="2"/>
          <w:sz w:val="32"/>
          <w:szCs w:val="32"/>
          <w:lang w:val="en-US" w:eastAsia="zh-CN"/>
        </w:rPr>
        <w:t>统筹整合使用财政涉农资金管理办法》</w:t>
      </w:r>
      <w:r>
        <w:rPr>
          <w:rFonts w:hint="eastAsia" w:ascii="仿宋_GB2312" w:hAnsi="仿宋_GB2312" w:cs="仿宋_GB2312"/>
          <w:kern w:val="2"/>
          <w:sz w:val="32"/>
          <w:szCs w:val="32"/>
          <w:lang w:val="en-US" w:eastAsia="zh-CN"/>
        </w:rPr>
        <w:t>等</w:t>
      </w:r>
      <w:r>
        <w:rPr>
          <w:rFonts w:hint="eastAsia" w:ascii="仿宋_GB2312" w:hAnsi="仿宋_GB2312" w:eastAsia="仿宋_GB2312" w:cs="仿宋_GB2312"/>
          <w:kern w:val="2"/>
          <w:sz w:val="32"/>
          <w:szCs w:val="32"/>
          <w:lang w:val="en-US" w:eastAsia="zh-CN"/>
        </w:rPr>
        <w:t>，资金坚持集中管理，统筹安排；专款专用，重点优先；结合实际，确保效果的使用原则，遵循拨付前审批、使用中监督、完工后验收的流程，资金管理和使用情况接受</w:t>
      </w:r>
      <w:r>
        <w:rPr>
          <w:rFonts w:hint="eastAsia" w:ascii="仿宋_GB2312" w:hAnsi="仿宋_GB2312" w:cs="仿宋_GB2312"/>
          <w:kern w:val="2"/>
          <w:sz w:val="32"/>
          <w:szCs w:val="32"/>
          <w:lang w:val="en-US" w:eastAsia="zh-CN"/>
        </w:rPr>
        <w:t>乡</w:t>
      </w:r>
      <w:r>
        <w:rPr>
          <w:rFonts w:hint="eastAsia" w:ascii="仿宋_GB2312" w:hAnsi="仿宋_GB2312" w:eastAsia="仿宋_GB2312" w:cs="仿宋_GB2312"/>
          <w:kern w:val="2"/>
          <w:sz w:val="32"/>
          <w:szCs w:val="32"/>
          <w:lang w:val="en-US" w:eastAsia="zh-CN"/>
        </w:rPr>
        <w:t>纪委、财政所和村务监督委员会的监督检查，保证了资金合理合规使用。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三、项目组织实施情况分析</w:t>
      </w:r>
    </w:p>
    <w:p>
      <w:pPr>
        <w:widowControl/>
        <w:spacing w:line="594" w:lineRule="exact"/>
        <w:ind w:firstLine="640" w:firstLineChars="200"/>
        <w:rPr>
          <w:rFonts w:hint="eastAsia"/>
          <w:kern w:val="0"/>
          <w:szCs w:val="32"/>
        </w:rPr>
      </w:pPr>
      <w:r>
        <w:rPr>
          <w:kern w:val="0"/>
          <w:szCs w:val="32"/>
        </w:rPr>
        <w:t>（一）项目组织情况分析，主要包括项目招投标、调整、竣工验收等情况。</w:t>
      </w:r>
    </w:p>
    <w:p>
      <w:pPr>
        <w:widowControl/>
        <w:spacing w:line="594" w:lineRule="exact"/>
        <w:ind w:firstLine="640" w:firstLineChars="200"/>
        <w:rPr>
          <w:rFonts w:hint="default" w:ascii="Times New Roman" w:hAnsi="Times New Roman" w:cs="Times New Roman"/>
          <w:kern w:val="0"/>
          <w:szCs w:val="32"/>
          <w:highlight w:val="none"/>
          <w:lang w:val="en-US" w:eastAsia="zh-CN"/>
        </w:rPr>
      </w:pPr>
      <w:r>
        <w:rPr>
          <w:rFonts w:hint="eastAsia"/>
          <w:kern w:val="0"/>
          <w:szCs w:val="32"/>
        </w:rPr>
        <w:t>202</w:t>
      </w:r>
      <w:r>
        <w:rPr>
          <w:rFonts w:hint="eastAsia"/>
          <w:kern w:val="0"/>
          <w:szCs w:val="32"/>
          <w:lang w:val="en-US" w:eastAsia="zh-CN"/>
        </w:rPr>
        <w:t>2</w:t>
      </w:r>
      <w:r>
        <w:rPr>
          <w:rFonts w:hint="eastAsia"/>
          <w:kern w:val="0"/>
          <w:szCs w:val="32"/>
        </w:rPr>
        <w:t>年度</w:t>
      </w:r>
      <w:r>
        <w:rPr>
          <w:rFonts w:hint="eastAsia"/>
          <w:kern w:val="0"/>
          <w:szCs w:val="32"/>
          <w:lang w:val="en-US" w:eastAsia="zh-CN"/>
        </w:rPr>
        <w:t>因我乡没有限额以上的项目，没有实行招投标。限额以下的项目根据政府相关文件的要求，</w:t>
      </w:r>
      <w:r>
        <w:rPr>
          <w:rFonts w:hint="eastAsia" w:ascii="仿宋_GB2312" w:hAnsi="仿宋_GB2312" w:eastAsia="仿宋_GB2312" w:cs="仿宋_GB2312"/>
          <w:kern w:val="2"/>
          <w:sz w:val="32"/>
          <w:szCs w:val="32"/>
          <w:lang w:val="en-US" w:eastAsia="zh-CN"/>
        </w:rPr>
        <w:t>项目</w:t>
      </w:r>
      <w:r>
        <w:rPr>
          <w:rFonts w:hint="eastAsia" w:ascii="仿宋_GB2312" w:hAnsi="仿宋_GB2312" w:cs="仿宋_GB2312"/>
          <w:kern w:val="2"/>
          <w:sz w:val="32"/>
          <w:szCs w:val="32"/>
          <w:lang w:val="en-US" w:eastAsia="zh-CN"/>
        </w:rPr>
        <w:t>严格</w:t>
      </w:r>
      <w:r>
        <w:rPr>
          <w:rFonts w:hint="eastAsia" w:ascii="仿宋_GB2312" w:hAnsi="仿宋_GB2312" w:eastAsia="仿宋_GB2312" w:cs="仿宋_GB2312"/>
          <w:kern w:val="2"/>
          <w:sz w:val="32"/>
          <w:szCs w:val="32"/>
          <w:lang w:val="en-US" w:eastAsia="zh-CN"/>
        </w:rPr>
        <w:t>坚持先申报后立项的原则，项目管理严格按照《</w:t>
      </w:r>
      <w:r>
        <w:rPr>
          <w:rFonts w:hint="eastAsia" w:ascii="仿宋_GB2312" w:hAnsi="仿宋_GB2312" w:cs="仿宋_GB2312"/>
          <w:kern w:val="2"/>
          <w:sz w:val="32"/>
          <w:szCs w:val="32"/>
          <w:lang w:val="en-US" w:eastAsia="zh-CN"/>
        </w:rPr>
        <w:t>田庄乡</w:t>
      </w:r>
      <w:r>
        <w:rPr>
          <w:rFonts w:hint="eastAsia" w:ascii="仿宋_GB2312" w:hAnsi="仿宋_GB2312" w:eastAsia="仿宋_GB2312" w:cs="仿宋_GB2312"/>
          <w:kern w:val="2"/>
          <w:sz w:val="32"/>
          <w:szCs w:val="32"/>
          <w:lang w:val="en-US" w:eastAsia="zh-CN"/>
        </w:rPr>
        <w:t>财务管理制度》，把关好每一笔支出，坚持专款专用，</w:t>
      </w:r>
      <w:r>
        <w:rPr>
          <w:rFonts w:hint="eastAsia"/>
          <w:kern w:val="0"/>
          <w:szCs w:val="32"/>
          <w:lang w:val="en-US" w:eastAsia="zh-CN"/>
        </w:rPr>
        <w:t>严格管理专项项目资金的支出，安排专办和专人跟进管理项目，及时组织技术专家和上级部门进行验收，到村的项目通过“四议两公开”全部进行公开。整个项目生命周期</w:t>
      </w:r>
      <w:r>
        <w:rPr>
          <w:rFonts w:hint="eastAsia" w:ascii="Times New Roman" w:hAnsi="Times New Roman" w:cs="Times New Roman"/>
          <w:kern w:val="0"/>
          <w:szCs w:val="32"/>
          <w:lang w:val="en-US" w:eastAsia="zh-CN"/>
        </w:rPr>
        <w:t>均受财政、纪检</w:t>
      </w:r>
      <w:r>
        <w:rPr>
          <w:rFonts w:hint="eastAsia" w:ascii="Times New Roman" w:hAnsi="Times New Roman" w:cs="Times New Roman"/>
          <w:kern w:val="0"/>
          <w:szCs w:val="32"/>
          <w:highlight w:val="none"/>
          <w:lang w:val="en-US" w:eastAsia="zh-CN"/>
        </w:rPr>
        <w:t>等行政监督部门及群众的监督。</w:t>
      </w:r>
    </w:p>
    <w:p>
      <w:pPr>
        <w:widowControl/>
        <w:numPr>
          <w:ilvl w:val="0"/>
          <w:numId w:val="3"/>
        </w:numPr>
        <w:spacing w:line="594" w:lineRule="exact"/>
        <w:ind w:left="6" w:leftChars="0" w:firstLine="640" w:firstLineChars="0"/>
        <w:rPr>
          <w:kern w:val="0"/>
          <w:szCs w:val="32"/>
          <w:highlight w:val="none"/>
        </w:rPr>
      </w:pPr>
      <w:r>
        <w:rPr>
          <w:kern w:val="0"/>
          <w:szCs w:val="32"/>
          <w:highlight w:val="none"/>
        </w:rPr>
        <w:t>项目管理情况分析，主要包括项目管理制度建设、日常检查监督管理等情况。</w:t>
      </w:r>
    </w:p>
    <w:p>
      <w:pPr>
        <w:widowControl/>
        <w:spacing w:line="594" w:lineRule="exact"/>
        <w:ind w:firstLine="640" w:firstLineChars="200"/>
        <w:rPr>
          <w:rFonts w:hint="eastAsia" w:ascii="Times New Roman" w:hAnsi="Times New Roman" w:cs="Times New Roman"/>
          <w:kern w:val="0"/>
          <w:szCs w:val="32"/>
          <w:highlight w:val="none"/>
          <w:lang w:val="en-US" w:eastAsia="zh-CN"/>
        </w:rPr>
      </w:pPr>
      <w:r>
        <w:rPr>
          <w:rFonts w:hint="eastAsia" w:ascii="Times New Roman" w:hAnsi="Times New Roman" w:cs="Times New Roman"/>
          <w:kern w:val="0"/>
          <w:szCs w:val="32"/>
          <w:highlight w:val="none"/>
          <w:lang w:val="en-US" w:eastAsia="zh-CN"/>
        </w:rPr>
        <w:t>1、以绩效为导向开展工作：一是设定预算绩效目标，严格管控支出，提高资金使用效益，实现财政资金的社会效益、经济效益及生态效益；二是严格按照预算执行，对资金支出的合法合规性进行绩效评价，包括资金的使用情况、财务管理状况、资产配置和使用等；三是对于项目资金使用情况、项目实施情况，及项目所取得的经济效益、社会效益和生态环境效益进行评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eastAsia="黑体"/>
          <w:bCs/>
          <w:kern w:val="0"/>
          <w:szCs w:val="32"/>
        </w:rPr>
      </w:pPr>
      <w:r>
        <w:rPr>
          <w:rFonts w:hint="eastAsia" w:ascii="Times New Roman" w:hAnsi="Times New Roman" w:cs="Times New Roman"/>
          <w:kern w:val="0"/>
          <w:szCs w:val="32"/>
          <w:highlight w:val="none"/>
          <w:lang w:val="en-US" w:eastAsia="zh-CN"/>
        </w:rPr>
        <w:t>2、以部门为主体规范管理，一方面是加强对本级各部门，各事业站所的管理，严格控制各项经费的支出，另一方面加强对村级资金的管理，规范村账代管，加强对村级项目建设监管</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四、部门整体支出绩效情况分析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根据</w:t>
      </w:r>
      <w:r>
        <w:rPr>
          <w:rFonts w:hint="eastAsia" w:ascii="仿宋_GB2312" w:hAnsi="仿宋_GB2312" w:cs="仿宋_GB2312"/>
          <w:kern w:val="2"/>
          <w:sz w:val="32"/>
          <w:szCs w:val="32"/>
          <w:lang w:val="en-US" w:eastAsia="zh-CN"/>
        </w:rPr>
        <w:t>乡</w:t>
      </w:r>
      <w:r>
        <w:rPr>
          <w:rFonts w:hint="eastAsia" w:ascii="仿宋_GB2312" w:hAnsi="仿宋_GB2312" w:eastAsia="仿宋_GB2312" w:cs="仿宋_GB2312"/>
          <w:kern w:val="2"/>
          <w:sz w:val="32"/>
          <w:szCs w:val="32"/>
          <w:lang w:val="en-US" w:eastAsia="zh-CN"/>
        </w:rPr>
        <w:t>党委、政府年初工作规划和重点性工作，坚持增收节支、统筹兼顾、协调发展的工作方针，较好的完成了年度工作目标。202</w:t>
      </w:r>
      <w:r>
        <w:rPr>
          <w:rFonts w:hint="eastAsia" w:ascii="仿宋_GB2312" w:hAnsi="仿宋_GB2312" w:cs="仿宋_GB2312"/>
          <w:kern w:val="2"/>
          <w:sz w:val="32"/>
          <w:szCs w:val="32"/>
          <w:lang w:val="en-US" w:eastAsia="zh-CN"/>
        </w:rPr>
        <w:t>2</w:t>
      </w:r>
      <w:r>
        <w:rPr>
          <w:rFonts w:hint="eastAsia" w:ascii="仿宋_GB2312" w:hAnsi="仿宋_GB2312" w:eastAsia="仿宋_GB2312" w:cs="仿宋_GB2312"/>
          <w:kern w:val="2"/>
          <w:sz w:val="32"/>
          <w:szCs w:val="32"/>
          <w:lang w:val="en-US" w:eastAsia="zh-CN"/>
        </w:rPr>
        <w:t>年度收入总额</w:t>
      </w:r>
      <w:r>
        <w:rPr>
          <w:rFonts w:hint="eastAsia" w:ascii="仿宋_GB2312" w:hAnsi="仿宋_GB2312" w:cs="仿宋_GB2312"/>
          <w:kern w:val="2"/>
          <w:sz w:val="32"/>
          <w:szCs w:val="32"/>
          <w:lang w:val="en-US" w:eastAsia="zh-CN"/>
        </w:rPr>
        <w:t>1790.21</w:t>
      </w:r>
      <w:r>
        <w:rPr>
          <w:rFonts w:hint="eastAsia" w:ascii="仿宋_GB2312" w:hAnsi="仿宋_GB2312" w:eastAsia="仿宋_GB2312" w:cs="仿宋_GB2312"/>
          <w:kern w:val="2"/>
          <w:sz w:val="32"/>
          <w:szCs w:val="32"/>
          <w:lang w:val="en-US" w:eastAsia="zh-CN"/>
        </w:rPr>
        <w:t>万元，其中</w:t>
      </w:r>
      <w:r>
        <w:rPr>
          <w:rFonts w:hint="eastAsia" w:ascii="仿宋_GB2312" w:hAnsi="仿宋_GB2312" w:cs="仿宋_GB2312"/>
          <w:kern w:val="2"/>
          <w:sz w:val="32"/>
          <w:szCs w:val="32"/>
          <w:lang w:val="en-US" w:eastAsia="zh-CN"/>
        </w:rPr>
        <w:t>一般公共预算</w:t>
      </w:r>
      <w:r>
        <w:rPr>
          <w:rFonts w:hint="eastAsia" w:ascii="仿宋_GB2312" w:hAnsi="仿宋_GB2312" w:eastAsia="仿宋_GB2312" w:cs="仿宋_GB2312"/>
          <w:kern w:val="2"/>
          <w:sz w:val="32"/>
          <w:szCs w:val="32"/>
          <w:lang w:val="en-US" w:eastAsia="zh-CN"/>
        </w:rPr>
        <w:t>财政拨款收入</w:t>
      </w:r>
      <w:r>
        <w:rPr>
          <w:rFonts w:hint="eastAsia" w:ascii="仿宋_GB2312" w:hAnsi="仿宋_GB2312" w:cs="仿宋_GB2312"/>
          <w:kern w:val="2"/>
          <w:sz w:val="32"/>
          <w:szCs w:val="32"/>
          <w:lang w:val="en-US" w:eastAsia="zh-CN"/>
        </w:rPr>
        <w:t>1666.21</w:t>
      </w:r>
      <w:r>
        <w:rPr>
          <w:rFonts w:hint="eastAsia" w:ascii="仿宋_GB2312" w:hAnsi="仿宋_GB2312" w:eastAsia="仿宋_GB2312" w:cs="仿宋_GB2312"/>
          <w:kern w:val="2"/>
          <w:sz w:val="32"/>
          <w:szCs w:val="32"/>
          <w:lang w:val="en-US" w:eastAsia="zh-CN"/>
        </w:rPr>
        <w:t>万元，占比</w:t>
      </w:r>
      <w:r>
        <w:rPr>
          <w:rFonts w:hint="eastAsia" w:ascii="仿宋_GB2312" w:hAnsi="仿宋_GB2312" w:cs="仿宋_GB2312"/>
          <w:kern w:val="2"/>
          <w:sz w:val="32"/>
          <w:szCs w:val="32"/>
          <w:lang w:val="en-US" w:eastAsia="zh-CN"/>
        </w:rPr>
        <w:t>93.07</w:t>
      </w:r>
      <w:r>
        <w:rPr>
          <w:rFonts w:hint="eastAsia" w:ascii="仿宋_GB2312" w:hAnsi="仿宋_GB2312" w:eastAsia="仿宋_GB2312" w:cs="仿宋_GB2312"/>
          <w:kern w:val="2"/>
          <w:sz w:val="32"/>
          <w:szCs w:val="32"/>
          <w:lang w:val="en-US" w:eastAsia="zh-CN"/>
        </w:rPr>
        <w:t>%，政府性基金预算财政拨款收入</w:t>
      </w:r>
      <w:r>
        <w:rPr>
          <w:rFonts w:hint="eastAsia" w:ascii="仿宋_GB2312" w:hAnsi="仿宋_GB2312" w:cs="仿宋_GB2312"/>
          <w:kern w:val="2"/>
          <w:sz w:val="32"/>
          <w:szCs w:val="32"/>
          <w:lang w:val="en-US" w:eastAsia="zh-CN"/>
        </w:rPr>
        <w:t>10</w:t>
      </w:r>
      <w:r>
        <w:rPr>
          <w:rFonts w:hint="eastAsia" w:ascii="仿宋_GB2312" w:hAnsi="仿宋_GB2312" w:eastAsia="仿宋_GB2312" w:cs="仿宋_GB2312"/>
          <w:kern w:val="2"/>
          <w:sz w:val="32"/>
          <w:szCs w:val="32"/>
          <w:lang w:val="en-US" w:eastAsia="zh-CN"/>
        </w:rPr>
        <w:t>万元，占比</w:t>
      </w:r>
      <w:r>
        <w:rPr>
          <w:rFonts w:hint="eastAsia" w:ascii="仿宋_GB2312" w:hAnsi="仿宋_GB2312" w:cs="仿宋_GB2312"/>
          <w:kern w:val="2"/>
          <w:sz w:val="32"/>
          <w:szCs w:val="32"/>
          <w:lang w:val="en-US" w:eastAsia="zh-CN"/>
        </w:rPr>
        <w:t>0.56</w:t>
      </w:r>
      <w:r>
        <w:rPr>
          <w:rFonts w:hint="eastAsia" w:ascii="仿宋_GB2312" w:hAnsi="仿宋_GB2312" w:eastAsia="仿宋_GB2312" w:cs="仿宋_GB2312"/>
          <w:kern w:val="2"/>
          <w:sz w:val="32"/>
          <w:szCs w:val="32"/>
          <w:lang w:val="en-US" w:eastAsia="zh-CN"/>
        </w:rPr>
        <w:t>%</w:t>
      </w:r>
      <w:r>
        <w:rPr>
          <w:rFonts w:hint="eastAsia" w:ascii="仿宋_GB2312" w:hAnsi="仿宋_GB2312" w:cs="仿宋_GB2312"/>
          <w:kern w:val="2"/>
          <w:sz w:val="32"/>
          <w:szCs w:val="32"/>
          <w:lang w:val="en-US" w:eastAsia="zh-CN"/>
        </w:rPr>
        <w:t>，其他收入114万元，占比6.37%</w:t>
      </w:r>
      <w:r>
        <w:rPr>
          <w:rFonts w:hint="eastAsia" w:ascii="仿宋_GB2312" w:hAnsi="仿宋_GB2312" w:eastAsia="仿宋_GB2312" w:cs="仿宋_GB2312"/>
          <w:kern w:val="2"/>
          <w:sz w:val="32"/>
          <w:szCs w:val="32"/>
          <w:lang w:val="en-US" w:eastAsia="zh-CN"/>
        </w:rPr>
        <w:t>。2021年整体支出</w:t>
      </w:r>
      <w:r>
        <w:rPr>
          <w:rFonts w:hint="eastAsia" w:ascii="仿宋_GB2312" w:hAnsi="仿宋_GB2312" w:cs="仿宋_GB2312"/>
          <w:kern w:val="2"/>
          <w:sz w:val="32"/>
          <w:szCs w:val="32"/>
          <w:lang w:val="en-US" w:eastAsia="zh-CN"/>
        </w:rPr>
        <w:t>1790.21</w:t>
      </w:r>
      <w:r>
        <w:rPr>
          <w:rFonts w:hint="eastAsia" w:ascii="仿宋_GB2312" w:hAnsi="仿宋_GB2312" w:eastAsia="仿宋_GB2312" w:cs="仿宋_GB2312"/>
          <w:kern w:val="2"/>
          <w:sz w:val="32"/>
          <w:szCs w:val="32"/>
          <w:lang w:val="en-US" w:eastAsia="zh-CN"/>
        </w:rPr>
        <w:t>万元，</w:t>
      </w:r>
      <w:r>
        <w:rPr>
          <w:rFonts w:hint="eastAsia" w:ascii="仿宋_GB2312" w:hAnsi="仿宋_GB2312" w:cs="仿宋_GB2312"/>
          <w:kern w:val="2"/>
          <w:sz w:val="32"/>
          <w:szCs w:val="32"/>
          <w:lang w:val="en-US" w:eastAsia="zh-CN"/>
        </w:rPr>
        <w:t>其中工资福利支出1060.71万元，占比59.25%，商品和服务支出636.05万元，占比35.53%，对个人和家庭的补助10.12万元，占比0.65%，资本支出83.88万元，占比4.57%</w:t>
      </w:r>
      <w:r>
        <w:rPr>
          <w:rFonts w:hint="eastAsia" w:ascii="仿宋_GB2312" w:hAnsi="仿宋_GB2312" w:eastAsia="仿宋_GB2312" w:cs="仿宋_GB2312"/>
          <w:kern w:val="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从收支总额来看，收支持平，未出现财政赤字，在预算支出方面注重优先保工资、保运转、保基本民生，通过加强预算收支管理，不断建立健全内部管理制度，梳理内部管理流程，部门整体支出管理情况得到提升，支出总额控制在预算总额以内，除专项预算的追加和政策性工资绩效预算的追加外，本年部门预算未进行预算相关事项的调整</w:t>
      </w:r>
      <w:r>
        <w:rPr>
          <w:rFonts w:hint="eastAsia" w:ascii="仿宋_GB2312" w:hAnsi="仿宋_GB2312" w:cs="仿宋_GB2312"/>
          <w:kern w:val="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预算管理方面，制度执行总体较为有效，资金使用管理合法合规；资产管理方面，建立了资产管理制度，定期进行了盘点和资产清理，总体执行较好，政府采购方面，通过制度的形式制定了严格规范化的采购程序，并在日常工作中严格执行采购审批程序，采购办严格执行政府采购限额规定，节约了采购成本，提高了政府财政资金的使用效益。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项目资金在产出数量、质量、时效方面都有明显成效，</w:t>
      </w:r>
      <w:r>
        <w:rPr>
          <w:rFonts w:hint="eastAsia" w:ascii="仿宋_GB2312" w:hAnsi="仿宋_GB2312" w:cs="仿宋_GB2312"/>
          <w:kern w:val="2"/>
          <w:sz w:val="32"/>
          <w:szCs w:val="32"/>
          <w:lang w:val="en-US" w:eastAsia="zh-CN"/>
        </w:rPr>
        <w:t>如</w:t>
      </w:r>
      <w:r>
        <w:rPr>
          <w:rFonts w:hint="eastAsia" w:ascii="仿宋_GB2312" w:hAnsi="仿宋_GB2312" w:eastAsia="仿宋_GB2312" w:cs="仿宋_GB2312"/>
          <w:color w:val="auto"/>
          <w:sz w:val="32"/>
          <w:szCs w:val="32"/>
          <w:lang w:eastAsia="zh-CN"/>
        </w:rPr>
        <w:t>举全乡之力推进温溪至反坝溪公路建设项目</w:t>
      </w:r>
      <w:r>
        <w:rPr>
          <w:rFonts w:hint="eastAsia" w:ascii="仿宋_GB2312" w:hAnsi="仿宋_GB2312" w:cs="仿宋_GB2312"/>
          <w:color w:val="auto"/>
          <w:sz w:val="32"/>
          <w:szCs w:val="32"/>
          <w:lang w:eastAsia="zh-CN"/>
        </w:rPr>
        <w:t>、大力开展环境整治等</w:t>
      </w:r>
      <w:r>
        <w:rPr>
          <w:rFonts w:hint="eastAsia" w:ascii="仿宋_GB2312" w:hAnsi="仿宋_GB2312" w:eastAsia="仿宋_GB2312" w:cs="仿宋_GB2312"/>
          <w:kern w:val="2"/>
          <w:sz w:val="32"/>
          <w:szCs w:val="32"/>
          <w:lang w:val="en-US" w:eastAsia="zh-CN"/>
        </w:rPr>
        <w:t>有效地巩固了脱贫攻坚成果，为乡村振兴任务助力。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五、绩效评价工作开展情况</w:t>
      </w:r>
    </w:p>
    <w:p>
      <w:pPr>
        <w:keepNext w:val="0"/>
        <w:keepLines w:val="0"/>
        <w:pageBreakBefore w:val="0"/>
        <w:widowControl/>
        <w:kinsoku/>
        <w:overflowPunct/>
        <w:topLinePunct w:val="0"/>
        <w:autoSpaceDE/>
        <w:autoSpaceDN/>
        <w:bidi w:val="0"/>
        <w:adjustRightInd/>
        <w:snapToGrid/>
        <w:spacing w:line="594" w:lineRule="exact"/>
        <w:ind w:firstLine="640" w:firstLineChars="200"/>
        <w:textAlignment w:val="auto"/>
        <w:rPr>
          <w:kern w:val="0"/>
          <w:szCs w:val="32"/>
        </w:rPr>
      </w:pPr>
      <w:r>
        <w:rPr>
          <w:rFonts w:hint="eastAsia" w:ascii="楷体_GB2312" w:hAnsi="楷体_GB2312" w:eastAsia="楷体_GB2312" w:cs="楷体_GB2312"/>
          <w:kern w:val="2"/>
          <w:sz w:val="32"/>
          <w:szCs w:val="32"/>
          <w:lang w:val="en-US" w:eastAsia="zh-CN"/>
        </w:rPr>
        <w:t>（一）绩效评价目的。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预算支出绩效考评是运用科学、规范的考评方法，对照统一的考评标准，对预算支出的效率和效益进行的考核衡量和综合评价。推进预算支出绩效考评，对加强部门预算管理、建设高效透明政府、深化行政管理体制改革具有重要意义。其目的是通过对部门绩效目标的综合考评，合理配置资源，优化支出结构，规范财政资金分配，从整体上提升预算绩效管理水平，强化支出责任，提高财政资金使用效益和效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楷体_GB2312" w:hAnsi="楷体_GB2312" w:eastAsia="楷体_GB2312" w:cs="楷体_GB2312"/>
          <w:kern w:val="2"/>
          <w:sz w:val="32"/>
          <w:szCs w:val="32"/>
          <w:lang w:val="en-US" w:eastAsia="zh-CN"/>
        </w:rPr>
      </w:pPr>
      <w:r>
        <w:rPr>
          <w:rFonts w:hint="eastAsia" w:ascii="楷体_GB2312" w:hAnsi="楷体_GB2312" w:eastAsia="楷体_GB2312" w:cs="楷体_GB2312"/>
          <w:kern w:val="2"/>
          <w:sz w:val="32"/>
          <w:szCs w:val="32"/>
          <w:lang w:val="en-US" w:eastAsia="zh-CN"/>
        </w:rPr>
        <w:t>（二）绩效评价工作过程，主要包括前期准备、组织实施和分析评价以及自评结果等内容。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lang w:val="en-US" w:eastAsia="zh-CN"/>
        </w:rPr>
        <w:t xml:space="preserve"> </w:t>
      </w:r>
      <w:r>
        <w:rPr>
          <w:rFonts w:hint="eastAsia" w:ascii="仿宋_GB2312" w:hAnsi="仿宋_GB2312" w:eastAsia="仿宋_GB2312" w:cs="仿宋_GB2312"/>
          <w:kern w:val="2"/>
          <w:sz w:val="32"/>
          <w:szCs w:val="32"/>
          <w:lang w:val="en-US" w:eastAsia="zh-CN"/>
        </w:rPr>
        <w:t>接县财政局关于开展20</w:t>
      </w:r>
      <w:r>
        <w:rPr>
          <w:rFonts w:hint="eastAsia" w:ascii="仿宋_GB2312" w:hAnsi="仿宋_GB2312" w:cs="仿宋_GB2312"/>
          <w:kern w:val="2"/>
          <w:sz w:val="32"/>
          <w:szCs w:val="32"/>
          <w:lang w:val="en-US" w:eastAsia="zh-CN"/>
        </w:rPr>
        <w:t>22</w:t>
      </w:r>
      <w:r>
        <w:rPr>
          <w:rFonts w:hint="eastAsia" w:ascii="仿宋_GB2312" w:hAnsi="仿宋_GB2312" w:eastAsia="仿宋_GB2312" w:cs="仿宋_GB2312"/>
          <w:kern w:val="2"/>
          <w:sz w:val="32"/>
          <w:szCs w:val="32"/>
          <w:lang w:val="en-US" w:eastAsia="zh-CN"/>
        </w:rPr>
        <w:t>年度预算单位整体支出绩效自评工作通知后，我乡主要领导高度重视，明确专人负责，一是对照通知的工作要求制订出评价工作方案，根据工作要求全面梳理了单位整体支出的结构，前期收集单位的基本概况、财务信息、财务报表基础资料；二是对于收集的基础资料和相关数据，评价小组成员深入的核实有关数据的全面性、真实性，进而整理出可供财政支出绩效评价所用的相关资料和基础数据。三是评价资料整理出后，评价人员按照评价方案的要求进行评价工作，科学合理的进行自查自评，填报《基础数据表》、《评价指标及评分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最后整理、分祈、汇总相关信息，提写整体支出绩效报告。通过对照资料清单，通过对我乡202</w:t>
      </w:r>
      <w:r>
        <w:rPr>
          <w:rFonts w:hint="eastAsia" w:ascii="仿宋_GB2312" w:hAnsi="仿宋_GB2312" w:cs="仿宋_GB2312"/>
          <w:kern w:val="2"/>
          <w:sz w:val="32"/>
          <w:szCs w:val="32"/>
          <w:lang w:val="en-US" w:eastAsia="zh-CN"/>
        </w:rPr>
        <w:t>2</w:t>
      </w:r>
      <w:r>
        <w:rPr>
          <w:rFonts w:hint="eastAsia" w:ascii="仿宋_GB2312" w:hAnsi="仿宋_GB2312" w:eastAsia="仿宋_GB2312" w:cs="仿宋_GB2312"/>
          <w:kern w:val="2"/>
          <w:sz w:val="32"/>
          <w:szCs w:val="32"/>
          <w:lang w:val="en-US" w:eastAsia="zh-CN"/>
        </w:rPr>
        <w:t>年度部门整体支出绩效和各项目支出的绩效目标的设立等投入情况、预算配置、执行、管理及资产管理整个过程、以及职责履行与履职效益等效果产出进行自评，我单位自评分为99分。</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存在的主要问题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（一）乡镇财政难以整合</w:t>
      </w:r>
    </w:p>
    <w:p>
      <w:pPr>
        <w:pStyle w:val="2"/>
        <w:keepNext w:val="0"/>
        <w:keepLines w:val="0"/>
        <w:pageBreakBefore w:val="0"/>
        <w:numPr>
          <w:ilvl w:val="0"/>
          <w:numId w:val="0"/>
        </w:numPr>
        <w:kinsoku/>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从当前的财政管理体制和项目实施主管部门的要求，乡镇没有能力对强农惠农的资金进行有效的整合使用，乡镇不是一级财政，所有款项都由县财政拨付，我单位对项目资金专款专用，并按照项目管理单位要求组织实施，接受项目主管单位的检查验收，但是有很多项目资金</w:t>
      </w:r>
      <w:r>
        <w:rPr>
          <w:rFonts w:hint="eastAsia" w:ascii="仿宋_GB2312" w:hAnsi="仿宋_GB2312" w:cs="仿宋_GB2312"/>
          <w:kern w:val="2"/>
          <w:sz w:val="32"/>
          <w:szCs w:val="32"/>
          <w:lang w:val="en-US" w:eastAsia="zh-CN" w:bidi="ar-SA"/>
        </w:rPr>
        <w:t>缺口较大</w:t>
      </w:r>
      <w:r>
        <w:rPr>
          <w:rFonts w:hint="eastAsia" w:ascii="仿宋_GB2312" w:hAnsi="仿宋_GB2312" w:eastAsia="仿宋_GB2312" w:cs="仿宋_GB2312"/>
          <w:kern w:val="2"/>
          <w:sz w:val="32"/>
          <w:szCs w:val="32"/>
          <w:lang w:val="en-US" w:eastAsia="zh-CN" w:bidi="ar-SA"/>
        </w:rPr>
        <w:t>，如</w:t>
      </w:r>
      <w:r>
        <w:rPr>
          <w:rFonts w:hint="eastAsia" w:ascii="仿宋_GB2312" w:hAnsi="仿宋_GB2312" w:cs="仿宋_GB2312"/>
          <w:kern w:val="2"/>
          <w:sz w:val="32"/>
          <w:szCs w:val="32"/>
          <w:lang w:val="en-US" w:eastAsia="zh-CN" w:bidi="ar-SA"/>
        </w:rPr>
        <w:t>我乡的温文公路配套建设</w:t>
      </w:r>
      <w:r>
        <w:rPr>
          <w:rFonts w:hint="eastAsia" w:ascii="仿宋_GB2312" w:hAnsi="仿宋_GB2312" w:eastAsia="仿宋_GB2312" w:cs="仿宋_GB2312"/>
          <w:kern w:val="2"/>
          <w:sz w:val="32"/>
          <w:szCs w:val="32"/>
          <w:lang w:val="en-US" w:eastAsia="zh-CN" w:bidi="ar-SA"/>
        </w:rPr>
        <w:t>等。</w:t>
      </w:r>
    </w:p>
    <w:p>
      <w:pPr>
        <w:pStyle w:val="2"/>
        <w:keepNext w:val="0"/>
        <w:keepLines w:val="0"/>
        <w:pageBreakBefore w:val="0"/>
        <w:numPr>
          <w:ilvl w:val="0"/>
          <w:numId w:val="0"/>
        </w:numPr>
        <w:kinsoku/>
        <w:overflowPunct/>
        <w:topLinePunct w:val="0"/>
        <w:autoSpaceDE/>
        <w:autoSpaceDN/>
        <w:bidi w:val="0"/>
        <w:adjustRightInd/>
        <w:snapToGrid/>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（二）事权财权不够匹配</w:t>
      </w:r>
    </w:p>
    <w:p>
      <w:pPr>
        <w:pStyle w:val="2"/>
        <w:keepNext w:val="0"/>
        <w:keepLines w:val="0"/>
        <w:pageBreakBefore w:val="0"/>
        <w:numPr>
          <w:ilvl w:val="0"/>
          <w:numId w:val="0"/>
        </w:numPr>
        <w:kinsoku/>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近年来乡镇财权减少的同时，事权却不断的增加，有的新增资金需要乡镇配套资金解决，导致基层乡镇收支矛盾突出，如农村公益事业建设、社会保障支出、农村卫生、义务教育、城镇基础设施等都需要乡镇资金配套，导致乡镇财政无力承担，只有通过自筹和举债形式解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lang w:val="en-US" w:eastAsia="zh-CN"/>
        </w:rPr>
      </w:pPr>
      <w:r>
        <w:rPr>
          <w:rFonts w:hint="eastAsia" w:ascii="楷体_GB2312" w:hAnsi="楷体_GB2312" w:eastAsia="楷体_GB2312" w:cs="楷体_GB2312"/>
          <w:kern w:val="2"/>
          <w:sz w:val="32"/>
          <w:szCs w:val="32"/>
          <w:lang w:val="en-US" w:eastAsia="zh-CN"/>
        </w:rPr>
        <w:t>（三）预算绩效管理专业度不够</w:t>
      </w:r>
      <w:r>
        <w:rPr>
          <w:rFonts w:hint="eastAsia"/>
          <w:lang w:val="en-US" w:eastAsia="zh-CN"/>
        </w:rPr>
        <w:t>。</w:t>
      </w:r>
    </w:p>
    <w:p>
      <w:pPr>
        <w:pStyle w:val="2"/>
        <w:keepNext w:val="0"/>
        <w:keepLines w:val="0"/>
        <w:pageBreakBefore w:val="0"/>
        <w:numPr>
          <w:ilvl w:val="0"/>
          <w:numId w:val="0"/>
        </w:numPr>
        <w:kinsoku/>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乡镇绩效管理专业人员匮乏，单位内部绩效管理工作力量薄弱，多数以财务人员牵头开展绩效管理，工作推动机制不全；财务部门从事预算绩效管理人员力量跟不上，当前绩效管理的制度体系还不完善，还需进一步谋划推动，不断完善全过程和全覆盖的制度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七、改进措施和有关建议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楷体_GB2312" w:hAnsi="楷体_GB2312" w:eastAsia="楷体_GB2312" w:cs="楷体_GB2312"/>
          <w:kern w:val="2"/>
          <w:sz w:val="32"/>
          <w:szCs w:val="32"/>
          <w:lang w:val="en-US" w:eastAsia="zh-CN"/>
        </w:rPr>
      </w:pPr>
      <w:r>
        <w:rPr>
          <w:rFonts w:hint="eastAsia" w:ascii="楷体_GB2312" w:hAnsi="楷体_GB2312" w:eastAsia="楷体_GB2312" w:cs="楷体_GB2312"/>
          <w:kern w:val="2"/>
          <w:sz w:val="32"/>
          <w:szCs w:val="32"/>
          <w:lang w:val="en-US" w:eastAsia="zh-CN"/>
        </w:rPr>
        <w:t>（一）进一步健全工作机制</w:t>
      </w:r>
    </w:p>
    <w:p>
      <w:pPr>
        <w:keepNext w:val="0"/>
        <w:keepLines w:val="0"/>
        <w:pageBreakBefore w:val="0"/>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按照“用途不变、渠道不乱、各尽其力、各计其功”的原则，有计划地对所有涉农项目资金进行有效整合，实现强农惠农资金使用一盘棋，对农业建设项目的财政支持，要避免资金分散，避免部门之间、乡镇之间、村与村之间各自为政，自行建设，重复投资。在项目审定上，相对集中投入，分年分批实施，提高资金使用效益。</w:t>
      </w:r>
    </w:p>
    <w:p>
      <w:pPr>
        <w:keepNext w:val="0"/>
        <w:keepLines w:val="0"/>
        <w:pageBreakBefore w:val="0"/>
        <w:kinsoku/>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kern w:val="2"/>
          <w:sz w:val="32"/>
          <w:szCs w:val="32"/>
          <w:lang w:val="en-US" w:eastAsia="zh-CN"/>
        </w:rPr>
      </w:pPr>
      <w:r>
        <w:rPr>
          <w:rFonts w:hint="eastAsia" w:ascii="楷体_GB2312" w:hAnsi="楷体_GB2312" w:eastAsia="楷体_GB2312" w:cs="楷体_GB2312"/>
          <w:kern w:val="2"/>
          <w:sz w:val="32"/>
          <w:szCs w:val="32"/>
          <w:lang w:val="en-US" w:eastAsia="zh-CN"/>
        </w:rPr>
        <w:t>（二）进一步理顺事财关系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理顺乡镇事权财权关系，是加快乡镇经济社会、统筹城乡和全面建成小康社会的需要。通过进一步理顺事权财权关系，确保乡镇新增必须支出纳入县级财政预算，增加乡镇财政可用财力，减轻乡镇自筹资金负担和债务的增加。</w:t>
      </w:r>
    </w:p>
    <w:p>
      <w:pPr>
        <w:pStyle w:val="2"/>
        <w:keepNext w:val="0"/>
        <w:keepLines w:val="0"/>
        <w:pageBreakBefore w:val="0"/>
        <w:kinsoku/>
        <w:overflowPunct/>
        <w:topLinePunct w:val="0"/>
        <w:autoSpaceDE/>
        <w:autoSpaceDN/>
        <w:bidi w:val="0"/>
        <w:adjustRightInd/>
        <w:snapToGrid/>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（三）提升预算支出绩效管理水平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pPr>
      <w:r>
        <w:rPr>
          <w:rFonts w:hint="eastAsia" w:ascii="仿宋_GB2312" w:hAnsi="仿宋_GB2312" w:eastAsia="仿宋_GB2312" w:cs="仿宋_GB2312"/>
          <w:kern w:val="2"/>
          <w:sz w:val="32"/>
          <w:szCs w:val="32"/>
          <w:lang w:val="en-US" w:eastAsia="zh-CN"/>
        </w:rPr>
        <w:t>一是县</w:t>
      </w:r>
      <w:r>
        <w:rPr>
          <w:rFonts w:hint="eastAsia" w:ascii="仿宋_GB2312" w:hAnsi="仿宋_GB2312" w:cs="仿宋_GB2312"/>
          <w:kern w:val="2"/>
          <w:sz w:val="32"/>
          <w:szCs w:val="32"/>
          <w:lang w:val="en-US" w:eastAsia="zh-CN"/>
        </w:rPr>
        <w:t>乡</w:t>
      </w:r>
      <w:r>
        <w:rPr>
          <w:rFonts w:hint="eastAsia" w:ascii="仿宋_GB2312" w:hAnsi="仿宋_GB2312" w:eastAsia="仿宋_GB2312" w:cs="仿宋_GB2312"/>
          <w:kern w:val="2"/>
          <w:sz w:val="32"/>
          <w:szCs w:val="32"/>
          <w:lang w:val="en-US" w:eastAsia="zh-CN"/>
        </w:rPr>
        <w:t>要构建“全方位、全过程、全覆盖”的预算绩效管理体系，形成政府预算、部门预算和项目预算全方位绩效管理格局，二是积极宣传预算绩效管理的必要性，推动绩效理念、绩效意识在预算绩效管理全过程深入人心，三是加强财务人员的培训，针对预算绩效管理的相关法规、绩效评价的操作方法进行业务培训。</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A749C1"/>
    <w:multiLevelType w:val="singleLevel"/>
    <w:tmpl w:val="A5A749C1"/>
    <w:lvl w:ilvl="0" w:tentative="0">
      <w:start w:val="2"/>
      <w:numFmt w:val="chineseCounting"/>
      <w:suff w:val="nothing"/>
      <w:lvlText w:val="（%1）"/>
      <w:lvlJc w:val="left"/>
      <w:rPr>
        <w:rFonts w:hint="eastAsia"/>
      </w:rPr>
    </w:lvl>
  </w:abstractNum>
  <w:abstractNum w:abstractNumId="1">
    <w:nsid w:val="CFDD714E"/>
    <w:multiLevelType w:val="singleLevel"/>
    <w:tmpl w:val="CFDD714E"/>
    <w:lvl w:ilvl="0" w:tentative="0">
      <w:start w:val="2"/>
      <w:numFmt w:val="chineseCounting"/>
      <w:suff w:val="nothing"/>
      <w:lvlText w:val="（%1）"/>
      <w:lvlJc w:val="left"/>
      <w:pPr>
        <w:ind w:left="6"/>
      </w:pPr>
      <w:rPr>
        <w:rFonts w:hint="eastAsia"/>
      </w:rPr>
    </w:lvl>
  </w:abstractNum>
  <w:abstractNum w:abstractNumId="2">
    <w:nsid w:val="EC523E82"/>
    <w:multiLevelType w:val="singleLevel"/>
    <w:tmpl w:val="EC523E82"/>
    <w:lvl w:ilvl="0" w:tentative="0">
      <w:start w:val="6"/>
      <w:numFmt w:val="chineseCounting"/>
      <w:suff w:val="nothing"/>
      <w:lvlText w:val="%1、"/>
      <w:lvlJc w:val="left"/>
      <w:rPr>
        <w:rFonts w:hint="eastAsia"/>
      </w:rPr>
    </w:lvl>
  </w:abstractNum>
  <w:abstractNum w:abstractNumId="3">
    <w:nsid w:val="75203B29"/>
    <w:multiLevelType w:val="singleLevel"/>
    <w:tmpl w:val="75203B29"/>
    <w:lvl w:ilvl="0" w:tentative="0">
      <w:start w:val="2"/>
      <w:numFmt w:val="decimal"/>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wNjgyZjcyNTQzMmQ5ZTQxOThhNjA3YTJhYmM5YWIifQ=="/>
  </w:docVars>
  <w:rsids>
    <w:rsidRoot w:val="71C4476D"/>
    <w:rsid w:val="0B5346A2"/>
    <w:rsid w:val="0E843670"/>
    <w:rsid w:val="13F7539A"/>
    <w:rsid w:val="36621DFD"/>
    <w:rsid w:val="447A4D50"/>
    <w:rsid w:val="4EDC7E00"/>
    <w:rsid w:val="513E4618"/>
    <w:rsid w:val="58287D67"/>
    <w:rsid w:val="5A78508C"/>
    <w:rsid w:val="6625009D"/>
    <w:rsid w:val="71C44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9"/>
    <w:pPr>
      <w:keepNext/>
      <w:keepLines/>
      <w:spacing w:before="340" w:after="330" w:line="578" w:lineRule="auto"/>
      <w:outlineLvl w:val="0"/>
    </w:pPr>
    <w:rPr>
      <w:rFonts w:ascii="仿宋_GB2312" w:hAnsi="Calibri" w:eastAsia="仿宋_GB2312" w:cs="Times New Roman"/>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0"/>
    <w:pPr>
      <w:spacing w:beforeLines="0" w:afterLines="0"/>
    </w:pPr>
    <w:rPr>
      <w:rFonts w:hint="default" w:cs="Times New Roman"/>
      <w:sz w:val="21"/>
      <w:szCs w:val="24"/>
    </w:rPr>
  </w:style>
  <w:style w:type="paragraph" w:styleId="4">
    <w:name w:val="Normal Indent"/>
    <w:basedOn w:val="1"/>
    <w:qFormat/>
    <w:uiPriority w:val="99"/>
    <w:pPr>
      <w:ind w:firstLine="880" w:firstLineChars="200"/>
    </w:pPr>
    <w:rPr>
      <w:rFonts w:ascii="Times New Roman" w:hAnsi="Times New Roman"/>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9402</Words>
  <Characters>9959</Characters>
  <Lines>0</Lines>
  <Paragraphs>0</Paragraphs>
  <TotalTime>12</TotalTime>
  <ScaleCrop>false</ScaleCrop>
  <LinksUpToDate>false</LinksUpToDate>
  <CharactersWithSpaces>10163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2022-08-16T09:05:00Z</dcterms:created>
  <dc:creator>蝉想</dc:creator>
  <cp:lastModifiedBy>糖果橙</cp:lastModifiedBy>
  <dcterms:modified xsi:type="dcterms:W3CDTF">2024-08-02T07:04:34Z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04397BFCA666470D928657D73122155E_13</vt:lpwstr>
  </property>
</Properties>
</file>