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bCs/>
          <w:kern w:val="0"/>
          <w:szCs w:val="32"/>
          <w:lang w:eastAsia="zh-CN"/>
        </w:rPr>
      </w:pPr>
      <w:r>
        <w:rPr>
          <w:rFonts w:eastAsia="黑体"/>
          <w:bCs/>
          <w:kern w:val="0"/>
          <w:szCs w:val="32"/>
        </w:rPr>
        <w:t>附件1</w:t>
      </w:r>
    </w:p>
    <w:p>
      <w:pPr>
        <w:widowControl/>
        <w:autoSpaceDE w:val="0"/>
        <w:autoSpaceDN w:val="0"/>
        <w:spacing w:before="164" w:line="240" w:lineRule="exact"/>
        <w:ind w:left="104"/>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2022年度部门整体支出绩效评价基础数据表</w:t>
      </w:r>
    </w:p>
    <w:p>
      <w:pPr>
        <w:widowControl/>
        <w:tabs>
          <w:tab w:val="left" w:pos="5686"/>
        </w:tabs>
        <w:autoSpaceDE w:val="0"/>
        <w:autoSpaceDN w:val="0"/>
        <w:spacing w:before="286" w:after="84" w:line="240" w:lineRule="exact"/>
        <w:ind w:left="226"/>
        <w:jc w:val="left"/>
        <w:rPr>
          <w:rFonts w:hint="eastAsia" w:ascii="宋体" w:hAnsi="宋体" w:eastAsia="宋体" w:cs="宋体"/>
          <w:sz w:val="24"/>
        </w:rPr>
      </w:pPr>
      <w:r>
        <w:rPr>
          <w:rFonts w:hint="eastAsia" w:ascii="宋体" w:hAnsi="宋体" w:eastAsia="宋体" w:cs="宋体"/>
          <w:color w:val="000000"/>
          <w:sz w:val="24"/>
        </w:rPr>
        <w:t>填报日期：</w:t>
      </w:r>
      <w:r>
        <w:rPr>
          <w:rFonts w:hint="eastAsia" w:ascii="宋体" w:hAnsi="宋体" w:eastAsia="宋体" w:cs="宋体"/>
          <w:color w:val="000000"/>
          <w:sz w:val="24"/>
          <w:lang w:val="en-US" w:eastAsia="zh-CN"/>
        </w:rPr>
        <w:t>2023</w:t>
      </w:r>
      <w:r>
        <w:rPr>
          <w:rFonts w:hint="eastAsia" w:ascii="宋体" w:hAnsi="宋体" w:eastAsia="宋体" w:cs="宋体"/>
          <w:color w:val="000000"/>
          <w:sz w:val="24"/>
        </w:rPr>
        <w:t>年</w:t>
      </w:r>
      <w:r>
        <w:rPr>
          <w:rFonts w:hint="eastAsia" w:ascii="宋体" w:hAnsi="宋体" w:eastAsia="宋体" w:cs="宋体"/>
          <w:color w:val="000000"/>
          <w:spacing w:val="53"/>
          <w:sz w:val="24"/>
          <w:lang w:val="en-US" w:eastAsia="zh-CN"/>
        </w:rPr>
        <w:t>7</w:t>
      </w:r>
      <w:r>
        <w:rPr>
          <w:rFonts w:hint="eastAsia" w:ascii="宋体" w:hAnsi="宋体" w:eastAsia="宋体" w:cs="宋体"/>
          <w:color w:val="000000"/>
          <w:sz w:val="24"/>
        </w:rPr>
        <w:t>月</w:t>
      </w:r>
      <w:r>
        <w:rPr>
          <w:rFonts w:hint="eastAsia" w:ascii="宋体" w:hAnsi="宋体" w:eastAsia="宋体" w:cs="宋体"/>
          <w:color w:val="000000"/>
          <w:spacing w:val="53"/>
          <w:sz w:val="24"/>
          <w:lang w:val="en-US" w:eastAsia="zh-CN"/>
        </w:rPr>
        <w:t>17</w:t>
      </w:r>
      <w:r>
        <w:rPr>
          <w:rFonts w:hint="eastAsia" w:ascii="宋体" w:hAnsi="宋体" w:eastAsia="宋体" w:cs="宋体"/>
          <w:color w:val="000000"/>
          <w:spacing w:val="53"/>
          <w:sz w:val="24"/>
        </w:rPr>
        <w:t xml:space="preserve">日         </w:t>
      </w:r>
      <w:r>
        <w:rPr>
          <w:rFonts w:hint="eastAsia" w:ascii="宋体" w:hAnsi="宋体" w:eastAsia="宋体" w:cs="宋体"/>
          <w:color w:val="000000"/>
          <w:sz w:val="24"/>
        </w:rPr>
        <w:t>金额单位：万元（保留两位小数）</w:t>
      </w:r>
    </w:p>
    <w:tbl>
      <w:tblPr>
        <w:tblStyle w:val="5"/>
        <w:tblW w:w="9354" w:type="dxa"/>
        <w:tblInd w:w="27" w:type="dxa"/>
        <w:tblLayout w:type="fixed"/>
        <w:tblCellMar>
          <w:top w:w="0" w:type="dxa"/>
          <w:left w:w="108" w:type="dxa"/>
          <w:bottom w:w="0" w:type="dxa"/>
          <w:right w:w="108" w:type="dxa"/>
        </w:tblCellMar>
      </w:tblPr>
      <w:tblGrid>
        <w:gridCol w:w="1740"/>
        <w:gridCol w:w="1488"/>
        <w:gridCol w:w="1826"/>
        <w:gridCol w:w="4300"/>
      </w:tblGrid>
      <w:tr>
        <w:tblPrEx>
          <w:tblCellMar>
            <w:top w:w="0" w:type="dxa"/>
            <w:left w:w="108" w:type="dxa"/>
            <w:bottom w:w="0" w:type="dxa"/>
            <w:right w:w="108" w:type="dxa"/>
          </w:tblCellMar>
        </w:tblPrEx>
        <w:trPr>
          <w:trHeight w:val="530" w:hRule="exact"/>
        </w:trPr>
        <w:tc>
          <w:tcPr>
            <w:tcW w:w="1740" w:type="dxa"/>
            <w:vMerge w:val="restart"/>
            <w:tcBorders>
              <w:top w:val="single" w:color="000000" w:sz="10" w:space="0"/>
              <w:left w:val="single" w:color="000000" w:sz="10" w:space="0"/>
              <w:bottom w:val="single" w:color="000000" w:sz="2" w:space="0"/>
              <w:right w:val="single" w:color="000000" w:sz="2" w:space="0"/>
            </w:tcBorders>
            <w:noWrap w:val="0"/>
            <w:tcMar>
              <w:left w:w="0" w:type="dxa"/>
              <w:right w:w="0" w:type="dxa"/>
            </w:tcMar>
            <w:vAlign w:val="top"/>
          </w:tcPr>
          <w:p>
            <w:pPr>
              <w:widowControl/>
              <w:autoSpaceDE w:val="0"/>
              <w:autoSpaceDN w:val="0"/>
              <w:spacing w:before="1870" w:line="240" w:lineRule="exact"/>
              <w:ind w:left="94"/>
              <w:jc w:val="left"/>
              <w:rPr>
                <w:rFonts w:hint="eastAsia" w:ascii="宋体" w:hAnsi="宋体" w:eastAsia="宋体" w:cs="宋体"/>
                <w:sz w:val="24"/>
              </w:rPr>
            </w:pPr>
            <w:r>
              <w:rPr>
                <w:rFonts w:hint="eastAsia" w:ascii="宋体" w:hAnsi="宋体" w:eastAsia="宋体" w:cs="宋体"/>
                <w:color w:val="000000"/>
                <w:sz w:val="24"/>
              </w:rPr>
              <w:t>收入合计：</w:t>
            </w:r>
            <w:r>
              <w:rPr>
                <w:rFonts w:hint="eastAsia" w:ascii="宋体" w:hAnsi="宋体" w:eastAsia="宋体" w:cs="宋体"/>
                <w:color w:val="000000"/>
                <w:sz w:val="24"/>
                <w:lang w:val="en-US" w:eastAsia="zh-CN"/>
              </w:rPr>
              <w:t>9899.64</w:t>
            </w:r>
            <w:r>
              <w:rPr>
                <w:rFonts w:hint="eastAsia" w:ascii="宋体" w:hAnsi="宋体" w:eastAsia="宋体" w:cs="宋体"/>
                <w:color w:val="000000"/>
                <w:sz w:val="24"/>
              </w:rPr>
              <w:t>万元</w:t>
            </w:r>
          </w:p>
          <w:p>
            <w:pPr>
              <w:widowControl/>
              <w:autoSpaceDE w:val="0"/>
              <w:autoSpaceDN w:val="0"/>
              <w:spacing w:before="100" w:line="240" w:lineRule="exact"/>
              <w:ind w:left="94"/>
              <w:jc w:val="left"/>
              <w:rPr>
                <w:rFonts w:hint="eastAsia" w:ascii="宋体" w:hAnsi="宋体" w:eastAsia="宋体" w:cs="宋体"/>
                <w:sz w:val="24"/>
              </w:rPr>
            </w:pPr>
          </w:p>
        </w:tc>
        <w:tc>
          <w:tcPr>
            <w:tcW w:w="7614" w:type="dxa"/>
            <w:gridSpan w:val="3"/>
            <w:tcBorders>
              <w:top w:val="single" w:color="000000" w:sz="10"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54" w:line="240" w:lineRule="exact"/>
              <w:ind w:left="102"/>
              <w:jc w:val="left"/>
              <w:rPr>
                <w:rFonts w:ascii="宋体" w:hAnsi="宋体" w:eastAsia="宋体" w:cs="宋体"/>
                <w:sz w:val="24"/>
              </w:rPr>
            </w:pPr>
            <w:r>
              <w:rPr>
                <w:rFonts w:hint="eastAsia" w:ascii="宋体" w:hAnsi="宋体" w:eastAsia="宋体" w:cs="宋体"/>
                <w:color w:val="000000"/>
                <w:sz w:val="24"/>
              </w:rPr>
              <w:t>上年结余结转：</w:t>
            </w:r>
            <w:r>
              <w:rPr>
                <w:rFonts w:hint="eastAsia" w:ascii="宋体" w:hAnsi="宋体" w:eastAsia="宋体" w:cs="宋体"/>
                <w:color w:val="000000"/>
                <w:sz w:val="24"/>
                <w:lang w:val="en-US" w:eastAsia="zh-CN"/>
              </w:rPr>
              <w:t>0</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10"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1488" w:type="dxa"/>
            <w:vMerge w:val="restart"/>
            <w:tcBorders>
              <w:top w:val="single" w:color="000000" w:sz="2" w:space="0"/>
              <w:left w:val="single" w:color="000000" w:sz="2" w:space="0"/>
              <w:bottom w:val="single" w:color="000000" w:sz="2" w:space="0"/>
              <w:right w:val="single" w:color="000000" w:sz="2" w:space="0"/>
            </w:tcBorders>
            <w:noWrap w:val="0"/>
            <w:tcMar>
              <w:left w:w="0" w:type="dxa"/>
              <w:right w:w="0" w:type="dxa"/>
            </w:tcMar>
            <w:vAlign w:val="top"/>
          </w:tcPr>
          <w:p>
            <w:pPr>
              <w:widowControl/>
              <w:autoSpaceDE w:val="0"/>
              <w:autoSpaceDN w:val="0"/>
              <w:spacing w:before="262" w:line="240" w:lineRule="exact"/>
              <w:jc w:val="center"/>
              <w:rPr>
                <w:rFonts w:hint="eastAsia" w:ascii="宋体" w:hAnsi="宋体" w:eastAsia="宋体" w:cs="宋体"/>
                <w:sz w:val="24"/>
              </w:rPr>
            </w:pPr>
            <w:r>
              <w:rPr>
                <w:rFonts w:hint="eastAsia" w:ascii="宋体" w:hAnsi="宋体" w:eastAsia="宋体" w:cs="宋体"/>
                <w:color w:val="000000"/>
                <w:sz w:val="24"/>
              </w:rPr>
              <w:t>年初预算：</w:t>
            </w:r>
          </w:p>
          <w:p>
            <w:pPr>
              <w:widowControl/>
              <w:autoSpaceDE w:val="0"/>
              <w:autoSpaceDN w:val="0"/>
              <w:spacing w:before="98" w:line="240" w:lineRule="exact"/>
              <w:ind w:left="102"/>
              <w:jc w:val="left"/>
              <w:rPr>
                <w:rFonts w:ascii="宋体" w:hAnsi="宋体" w:eastAsia="宋体" w:cs="宋体"/>
                <w:sz w:val="24"/>
              </w:rPr>
            </w:pPr>
            <w:r>
              <w:rPr>
                <w:rFonts w:hint="eastAsia" w:ascii="宋体" w:hAnsi="宋体" w:eastAsia="宋体" w:cs="宋体"/>
                <w:sz w:val="24"/>
                <w:lang w:val="en-US" w:eastAsia="zh-CN"/>
              </w:rPr>
              <w:t>3767.74</w:t>
            </w:r>
            <w:r>
              <w:rPr>
                <w:rFonts w:hint="eastAsia" w:ascii="宋体" w:hAnsi="宋体" w:eastAsia="宋体" w:cs="宋体"/>
                <w:sz w:val="24"/>
              </w:rPr>
              <w:t>万元</w:t>
            </w:r>
          </w:p>
        </w:tc>
        <w:tc>
          <w:tcPr>
            <w:tcW w:w="6126" w:type="dxa"/>
            <w:gridSpan w:val="2"/>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4"/>
              <w:jc w:val="left"/>
              <w:rPr>
                <w:rFonts w:ascii="宋体" w:hAnsi="宋体" w:eastAsia="宋体" w:cs="宋体"/>
                <w:sz w:val="24"/>
              </w:rPr>
            </w:pPr>
            <w:r>
              <w:rPr>
                <w:rFonts w:hint="eastAsia" w:ascii="宋体" w:hAnsi="宋体" w:eastAsia="宋体" w:cs="宋体"/>
                <w:color w:val="000000"/>
                <w:sz w:val="24"/>
              </w:rPr>
              <w:t>其中：1、基本支出：</w:t>
            </w:r>
            <w:r>
              <w:rPr>
                <w:rFonts w:hint="eastAsia" w:ascii="宋体" w:hAnsi="宋体" w:eastAsia="宋体" w:cs="宋体"/>
                <w:color w:val="000000"/>
                <w:sz w:val="24"/>
                <w:lang w:val="en-US" w:eastAsia="zh-CN"/>
              </w:rPr>
              <w:t>1077.24</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10"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1488"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6126" w:type="dxa"/>
            <w:gridSpan w:val="2"/>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4" w:line="240" w:lineRule="exact"/>
              <w:ind w:left="104"/>
              <w:jc w:val="left"/>
              <w:rPr>
                <w:rFonts w:ascii="宋体" w:hAnsi="宋体" w:eastAsia="宋体" w:cs="宋体"/>
                <w:sz w:val="24"/>
              </w:rPr>
            </w:pPr>
            <w:r>
              <w:rPr>
                <w:rFonts w:hint="eastAsia" w:ascii="宋体" w:hAnsi="宋体" w:eastAsia="宋体" w:cs="宋体"/>
                <w:color w:val="000000"/>
                <w:sz w:val="24"/>
              </w:rPr>
              <w:t>2、项目支出：</w:t>
            </w:r>
            <w:r>
              <w:rPr>
                <w:rFonts w:hint="eastAsia" w:ascii="宋体" w:hAnsi="宋体" w:eastAsia="宋体" w:cs="宋体"/>
                <w:color w:val="000000"/>
                <w:sz w:val="24"/>
                <w:lang w:val="en-US" w:eastAsia="zh-CN"/>
              </w:rPr>
              <w:t>2690.50</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10"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1488" w:type="dxa"/>
            <w:vMerge w:val="restart"/>
            <w:tcBorders>
              <w:top w:val="single" w:color="000000" w:sz="2" w:space="0"/>
              <w:left w:val="single" w:color="000000" w:sz="2" w:space="0"/>
              <w:bottom w:val="single" w:color="000000" w:sz="2" w:space="0"/>
              <w:right w:val="single" w:color="000000" w:sz="2" w:space="0"/>
            </w:tcBorders>
            <w:noWrap w:val="0"/>
            <w:tcMar>
              <w:left w:w="0" w:type="dxa"/>
              <w:right w:w="0" w:type="dxa"/>
            </w:tcMar>
            <w:vAlign w:val="top"/>
          </w:tcPr>
          <w:p>
            <w:pPr>
              <w:widowControl/>
              <w:autoSpaceDE w:val="0"/>
              <w:autoSpaceDN w:val="0"/>
              <w:spacing w:before="1070" w:line="240" w:lineRule="exact"/>
              <w:jc w:val="center"/>
              <w:rPr>
                <w:rFonts w:hint="eastAsia" w:ascii="宋体" w:hAnsi="宋体" w:eastAsia="宋体" w:cs="宋体"/>
                <w:sz w:val="24"/>
              </w:rPr>
            </w:pPr>
            <w:r>
              <w:rPr>
                <w:rFonts w:hint="eastAsia" w:ascii="宋体" w:hAnsi="宋体" w:eastAsia="宋体" w:cs="宋体"/>
                <w:color w:val="000000"/>
                <w:sz w:val="24"/>
              </w:rPr>
              <w:t>预算追加：</w:t>
            </w:r>
          </w:p>
          <w:p>
            <w:pPr>
              <w:widowControl/>
              <w:autoSpaceDE w:val="0"/>
              <w:autoSpaceDN w:val="0"/>
              <w:spacing w:before="100" w:line="240" w:lineRule="exact"/>
              <w:ind w:left="102"/>
              <w:jc w:val="left"/>
              <w:rPr>
                <w:rFonts w:ascii="宋体" w:hAnsi="宋体" w:eastAsia="宋体" w:cs="宋体"/>
                <w:sz w:val="24"/>
              </w:rPr>
            </w:pPr>
            <w:r>
              <w:rPr>
                <w:rFonts w:hint="eastAsia" w:ascii="宋体" w:hAnsi="宋体" w:eastAsia="宋体" w:cs="宋体"/>
                <w:sz w:val="24"/>
                <w:lang w:val="en-US" w:eastAsia="zh-CN"/>
              </w:rPr>
              <w:t>6131.90</w:t>
            </w:r>
            <w:r>
              <w:rPr>
                <w:rFonts w:hint="eastAsia" w:ascii="宋体" w:hAnsi="宋体" w:eastAsia="宋体" w:cs="宋体"/>
                <w:sz w:val="24"/>
              </w:rPr>
              <w:t>万元</w:t>
            </w:r>
          </w:p>
        </w:tc>
        <w:tc>
          <w:tcPr>
            <w:tcW w:w="6126" w:type="dxa"/>
            <w:gridSpan w:val="2"/>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4"/>
              <w:jc w:val="left"/>
              <w:rPr>
                <w:rFonts w:hint="eastAsia" w:ascii="宋体" w:hAnsi="宋体" w:eastAsia="宋体" w:cs="宋体"/>
                <w:sz w:val="24"/>
              </w:rPr>
            </w:pPr>
            <w:r>
              <w:rPr>
                <w:rFonts w:hint="eastAsia" w:ascii="宋体" w:hAnsi="宋体" w:eastAsia="宋体" w:cs="宋体"/>
                <w:color w:val="000000"/>
                <w:sz w:val="24"/>
              </w:rPr>
              <w:t>其中：1、基本支出：</w:t>
            </w:r>
            <w:r>
              <w:rPr>
                <w:rFonts w:hint="eastAsia" w:ascii="宋体" w:hAnsi="宋体" w:eastAsia="宋体" w:cs="宋体"/>
                <w:color w:val="000000"/>
                <w:sz w:val="24"/>
                <w:lang w:val="en-US" w:eastAsia="zh-CN"/>
              </w:rPr>
              <w:t>1066</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10"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1488"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1826" w:type="dxa"/>
            <w:vMerge w:val="restart"/>
            <w:tcBorders>
              <w:top w:val="single" w:color="000000" w:sz="2" w:space="0"/>
              <w:left w:val="single" w:color="000000" w:sz="2" w:space="0"/>
              <w:bottom w:val="single" w:color="000000" w:sz="2" w:space="0"/>
              <w:right w:val="single" w:color="000000" w:sz="2" w:space="0"/>
            </w:tcBorders>
            <w:noWrap w:val="0"/>
            <w:tcMar>
              <w:left w:w="0" w:type="dxa"/>
              <w:right w:w="0" w:type="dxa"/>
            </w:tcMar>
            <w:vAlign w:val="top"/>
          </w:tcPr>
          <w:p>
            <w:pPr>
              <w:widowControl/>
              <w:autoSpaceDE w:val="0"/>
              <w:autoSpaceDN w:val="0"/>
              <w:spacing w:before="802" w:line="240" w:lineRule="exact"/>
              <w:jc w:val="center"/>
              <w:rPr>
                <w:rFonts w:hint="eastAsia" w:ascii="宋体" w:hAnsi="宋体" w:eastAsia="宋体" w:cs="宋体"/>
                <w:sz w:val="24"/>
              </w:rPr>
            </w:pPr>
            <w:r>
              <w:rPr>
                <w:rFonts w:hint="eastAsia" w:ascii="宋体" w:hAnsi="宋体" w:eastAsia="宋体" w:cs="宋体"/>
                <w:color w:val="000000"/>
                <w:sz w:val="24"/>
              </w:rPr>
              <w:t>2、项目支出：</w:t>
            </w:r>
          </w:p>
          <w:p>
            <w:pPr>
              <w:widowControl/>
              <w:autoSpaceDE w:val="0"/>
              <w:autoSpaceDN w:val="0"/>
              <w:spacing w:before="100" w:line="240" w:lineRule="exact"/>
              <w:ind w:left="104"/>
              <w:jc w:val="left"/>
              <w:rPr>
                <w:rFonts w:ascii="宋体" w:hAnsi="宋体" w:eastAsia="宋体" w:cs="宋体"/>
                <w:sz w:val="24"/>
              </w:rPr>
            </w:pPr>
            <w:r>
              <w:rPr>
                <w:rFonts w:hint="eastAsia" w:ascii="宋体" w:hAnsi="宋体" w:eastAsia="宋体" w:cs="宋体"/>
                <w:sz w:val="24"/>
                <w:lang w:val="en-US" w:eastAsia="zh-CN"/>
              </w:rPr>
              <w:t>5065.90</w:t>
            </w:r>
            <w:r>
              <w:rPr>
                <w:rFonts w:hint="eastAsia" w:ascii="宋体" w:hAnsi="宋体" w:eastAsia="宋体" w:cs="宋体"/>
                <w:sz w:val="24"/>
              </w:rPr>
              <w:t>万元</w:t>
            </w: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4" w:line="240" w:lineRule="exact"/>
              <w:rPr>
                <w:rFonts w:ascii="宋体" w:hAnsi="宋体" w:eastAsia="宋体" w:cs="宋体"/>
                <w:sz w:val="24"/>
              </w:rPr>
            </w:pPr>
            <w:r>
              <w:rPr>
                <w:rFonts w:hint="eastAsia" w:ascii="宋体" w:hAnsi="宋体" w:eastAsia="宋体" w:cs="宋体"/>
                <w:color w:val="000000"/>
                <w:sz w:val="24"/>
                <w:lang w:eastAsia="zh-CN"/>
              </w:rPr>
              <w:t>垃圾场整改</w:t>
            </w:r>
            <w:r>
              <w:rPr>
                <w:rFonts w:hint="eastAsia" w:ascii="宋体" w:hAnsi="宋体" w:eastAsia="宋体" w:cs="宋体"/>
                <w:color w:val="000000"/>
                <w:sz w:val="24"/>
              </w:rPr>
              <w:t>项目：</w:t>
            </w:r>
            <w:r>
              <w:rPr>
                <w:rFonts w:hint="eastAsia" w:ascii="宋体" w:hAnsi="宋体" w:eastAsia="宋体" w:cs="宋体"/>
                <w:color w:val="000000"/>
                <w:sz w:val="24"/>
                <w:lang w:val="en-US" w:eastAsia="zh-CN"/>
              </w:rPr>
              <w:t>3592.31</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10"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1488"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1826"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0" w:line="240" w:lineRule="exact"/>
              <w:jc w:val="left"/>
              <w:rPr>
                <w:rFonts w:hint="eastAsia" w:ascii="宋体" w:hAnsi="宋体" w:eastAsia="宋体" w:cs="宋体"/>
                <w:sz w:val="24"/>
              </w:rPr>
            </w:pPr>
            <w:r>
              <w:rPr>
                <w:rFonts w:hint="eastAsia" w:ascii="宋体" w:hAnsi="宋体" w:eastAsia="宋体" w:cs="宋体"/>
                <w:color w:val="000000"/>
                <w:sz w:val="24"/>
                <w:lang w:eastAsia="zh-CN"/>
              </w:rPr>
              <w:t>渗滤液及垃圾场填埋</w:t>
            </w:r>
            <w:r>
              <w:rPr>
                <w:rFonts w:hint="eastAsia" w:ascii="宋体" w:hAnsi="宋体" w:eastAsia="宋体" w:cs="宋体"/>
                <w:color w:val="000000"/>
                <w:sz w:val="24"/>
              </w:rPr>
              <w:t>项目：</w:t>
            </w:r>
            <w:r>
              <w:rPr>
                <w:rFonts w:hint="eastAsia" w:ascii="宋体" w:hAnsi="宋体" w:eastAsia="宋体" w:cs="宋体"/>
                <w:color w:val="000000"/>
                <w:sz w:val="24"/>
                <w:lang w:val="en-US" w:eastAsia="zh-CN"/>
              </w:rPr>
              <w:t>1450.01</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10"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1488"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1826"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jc w:val="left"/>
              <w:rPr>
                <w:rFonts w:ascii="宋体" w:hAnsi="宋体" w:eastAsia="宋体" w:cs="宋体"/>
                <w:sz w:val="24"/>
              </w:rPr>
            </w:pPr>
            <w:r>
              <w:rPr>
                <w:rFonts w:hint="eastAsia" w:ascii="宋体" w:hAnsi="宋体" w:eastAsia="宋体" w:cs="宋体"/>
                <w:sz w:val="24"/>
                <w:lang w:eastAsia="zh-CN"/>
              </w:rPr>
              <w:t>驻村帮扶</w:t>
            </w:r>
            <w:r>
              <w:rPr>
                <w:rFonts w:hint="eastAsia" w:ascii="宋体" w:hAnsi="宋体" w:eastAsia="宋体" w:cs="宋体"/>
                <w:sz w:val="24"/>
              </w:rPr>
              <w:t>项目：</w:t>
            </w:r>
            <w:r>
              <w:rPr>
                <w:rFonts w:hint="eastAsia" w:ascii="宋体" w:hAnsi="宋体" w:eastAsia="宋体" w:cs="宋体"/>
                <w:color w:val="000000"/>
                <w:sz w:val="24"/>
                <w:lang w:val="en-US" w:eastAsia="zh-CN"/>
              </w:rPr>
              <w:t>23.58</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restart"/>
            <w:tcBorders>
              <w:top w:val="single" w:color="000000" w:sz="2" w:space="0"/>
              <w:left w:val="single" w:color="000000" w:sz="10" w:space="0"/>
              <w:bottom w:val="single" w:color="000000" w:sz="2" w:space="0"/>
              <w:right w:val="single" w:color="000000" w:sz="2" w:space="0"/>
            </w:tcBorders>
            <w:noWrap w:val="0"/>
            <w:tcMar>
              <w:left w:w="0" w:type="dxa"/>
              <w:right w:w="0" w:type="dxa"/>
            </w:tcMar>
            <w:vAlign w:val="top"/>
          </w:tcPr>
          <w:p>
            <w:pPr>
              <w:widowControl/>
              <w:autoSpaceDE w:val="0"/>
              <w:autoSpaceDN w:val="0"/>
              <w:spacing w:before="2688" w:line="240" w:lineRule="exact"/>
              <w:ind w:left="94"/>
              <w:jc w:val="left"/>
              <w:rPr>
                <w:rFonts w:hint="eastAsia" w:ascii="宋体" w:hAnsi="宋体" w:eastAsia="宋体" w:cs="宋体"/>
                <w:sz w:val="24"/>
              </w:rPr>
            </w:pPr>
            <w:r>
              <w:rPr>
                <w:rFonts w:hint="eastAsia" w:ascii="宋体" w:hAnsi="宋体" w:eastAsia="宋体" w:cs="宋体"/>
                <w:color w:val="000000"/>
                <w:sz w:val="24"/>
              </w:rPr>
              <w:t>实际支出合</w:t>
            </w:r>
          </w:p>
          <w:p>
            <w:pPr>
              <w:widowControl/>
              <w:autoSpaceDE w:val="0"/>
              <w:autoSpaceDN w:val="0"/>
              <w:spacing w:before="100" w:line="240" w:lineRule="exact"/>
              <w:ind w:left="94"/>
              <w:jc w:val="left"/>
              <w:rPr>
                <w:rFonts w:hint="eastAsia" w:ascii="宋体" w:hAnsi="宋体" w:eastAsia="宋体" w:cs="宋体"/>
                <w:sz w:val="24"/>
              </w:rPr>
            </w:pPr>
            <w:r>
              <w:rPr>
                <w:rFonts w:hint="eastAsia" w:ascii="宋体" w:hAnsi="宋体" w:eastAsia="宋体" w:cs="宋体"/>
                <w:color w:val="000000"/>
                <w:sz w:val="24"/>
              </w:rPr>
              <w:t>计：</w:t>
            </w:r>
            <w:r>
              <w:rPr>
                <w:rFonts w:hint="eastAsia" w:ascii="宋体" w:hAnsi="宋体" w:eastAsia="宋体" w:cs="宋体"/>
                <w:color w:val="000000"/>
                <w:sz w:val="24"/>
                <w:lang w:val="en-US" w:eastAsia="zh-CN"/>
              </w:rPr>
              <w:t>9899.64</w:t>
            </w:r>
            <w:r>
              <w:rPr>
                <w:rFonts w:hint="eastAsia" w:ascii="宋体" w:hAnsi="宋体" w:eastAsia="宋体" w:cs="宋体"/>
                <w:color w:val="000000"/>
                <w:sz w:val="24"/>
              </w:rPr>
              <w:t>万元</w:t>
            </w:r>
          </w:p>
        </w:tc>
        <w:tc>
          <w:tcPr>
            <w:tcW w:w="3314" w:type="dxa"/>
            <w:gridSpan w:val="2"/>
            <w:vMerge w:val="restart"/>
            <w:tcBorders>
              <w:top w:val="single" w:color="000000" w:sz="2" w:space="0"/>
              <w:left w:val="single" w:color="000000" w:sz="2" w:space="0"/>
              <w:bottom w:val="single" w:color="000000" w:sz="2" w:space="0"/>
              <w:right w:val="single" w:color="000000" w:sz="2" w:space="0"/>
            </w:tcBorders>
            <w:noWrap w:val="0"/>
            <w:tcMar>
              <w:left w:w="0" w:type="dxa"/>
              <w:right w:w="0" w:type="dxa"/>
            </w:tcMar>
            <w:vAlign w:val="top"/>
          </w:tcPr>
          <w:p>
            <w:pPr>
              <w:widowControl/>
              <w:autoSpaceDE w:val="0"/>
              <w:autoSpaceDN w:val="0"/>
              <w:spacing w:before="732" w:line="240" w:lineRule="exact"/>
              <w:ind w:left="102"/>
              <w:jc w:val="left"/>
              <w:rPr>
                <w:rFonts w:hint="eastAsia" w:ascii="宋体" w:hAnsi="宋体" w:eastAsia="宋体" w:cs="宋体"/>
                <w:sz w:val="24"/>
              </w:rPr>
            </w:pPr>
            <w:r>
              <w:rPr>
                <w:rFonts w:hint="eastAsia" w:ascii="宋体" w:hAnsi="宋体" w:eastAsia="宋体" w:cs="宋体"/>
                <w:color w:val="000000"/>
                <w:sz w:val="24"/>
              </w:rPr>
              <w:t>1、基本支出：</w:t>
            </w:r>
            <w:r>
              <w:rPr>
                <w:rFonts w:hint="eastAsia" w:ascii="宋体" w:hAnsi="宋体" w:eastAsia="宋体" w:cs="宋体"/>
                <w:color w:val="000000"/>
                <w:sz w:val="24"/>
                <w:highlight w:val="yellow"/>
                <w:lang w:val="en-US" w:eastAsia="zh-CN"/>
              </w:rPr>
              <w:t>2413.23</w:t>
            </w:r>
            <w:r>
              <w:rPr>
                <w:rFonts w:hint="eastAsia" w:ascii="宋体" w:hAnsi="宋体" w:eastAsia="宋体" w:cs="宋体"/>
                <w:color w:val="000000"/>
                <w:sz w:val="24"/>
              </w:rPr>
              <w:t>万元</w:t>
            </w:r>
          </w:p>
          <w:p>
            <w:pPr>
              <w:widowControl/>
              <w:autoSpaceDE w:val="0"/>
              <w:autoSpaceDN w:val="0"/>
              <w:spacing w:before="780" w:line="240" w:lineRule="exact"/>
              <w:ind w:left="102"/>
              <w:jc w:val="left"/>
              <w:rPr>
                <w:rFonts w:hint="eastAsia" w:ascii="宋体" w:hAnsi="宋体" w:eastAsia="宋体" w:cs="宋体"/>
                <w:sz w:val="24"/>
              </w:rPr>
            </w:pPr>
            <w:r>
              <w:rPr>
                <w:rFonts w:hint="eastAsia" w:ascii="宋体" w:hAnsi="宋体" w:eastAsia="宋体" w:cs="宋体"/>
                <w:color w:val="000000"/>
                <w:sz w:val="24"/>
              </w:rPr>
              <w:t>其中：三公经费支出：</w:t>
            </w:r>
            <w:r>
              <w:rPr>
                <w:rFonts w:hint="eastAsia" w:ascii="宋体" w:hAnsi="宋体" w:eastAsia="宋体" w:cs="宋体"/>
                <w:color w:val="000000"/>
                <w:sz w:val="24"/>
                <w:lang w:val="en-US" w:eastAsia="zh-CN"/>
              </w:rPr>
              <w:t>2.39</w:t>
            </w:r>
            <w:r>
              <w:rPr>
                <w:rFonts w:hint="eastAsia" w:ascii="宋体" w:hAnsi="宋体" w:eastAsia="宋体" w:cs="宋体"/>
                <w:color w:val="000000"/>
                <w:sz w:val="24"/>
              </w:rPr>
              <w:t>万元</w:t>
            </w: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2"/>
              <w:jc w:val="left"/>
              <w:rPr>
                <w:rFonts w:hint="eastAsia" w:ascii="宋体" w:hAnsi="宋体" w:eastAsia="宋体" w:cs="宋体"/>
                <w:sz w:val="24"/>
              </w:rPr>
            </w:pPr>
            <w:r>
              <w:rPr>
                <w:rFonts w:hint="eastAsia" w:ascii="宋体" w:hAnsi="宋体" w:eastAsia="宋体" w:cs="宋体"/>
                <w:color w:val="000000"/>
                <w:sz w:val="24"/>
              </w:rPr>
              <w:t>1、工资福利支出：</w:t>
            </w:r>
            <w:r>
              <w:rPr>
                <w:rFonts w:hint="eastAsia" w:ascii="宋体" w:hAnsi="宋体" w:eastAsia="宋体" w:cs="宋体"/>
                <w:color w:val="000000"/>
                <w:sz w:val="24"/>
                <w:lang w:val="en-US" w:eastAsia="zh-CN"/>
              </w:rPr>
              <w:t>1717.15</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2"/>
              <w:jc w:val="left"/>
              <w:rPr>
                <w:rFonts w:hint="eastAsia" w:ascii="宋体" w:hAnsi="宋体" w:eastAsia="宋体" w:cs="宋体"/>
                <w:sz w:val="24"/>
              </w:rPr>
            </w:pPr>
            <w:r>
              <w:rPr>
                <w:rFonts w:hint="eastAsia" w:ascii="宋体" w:hAnsi="宋体" w:eastAsia="宋体" w:cs="宋体"/>
                <w:color w:val="000000"/>
                <w:sz w:val="24"/>
              </w:rPr>
              <w:t>2、商品和服务支出：</w:t>
            </w:r>
            <w:r>
              <w:rPr>
                <w:rFonts w:hint="eastAsia" w:ascii="宋体" w:hAnsi="宋体" w:eastAsia="宋体" w:cs="宋体"/>
                <w:color w:val="000000"/>
                <w:sz w:val="24"/>
                <w:lang w:val="en-US" w:eastAsia="zh-CN"/>
              </w:rPr>
              <w:t>378.39</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2"/>
              <w:jc w:val="left"/>
              <w:rPr>
                <w:rFonts w:hint="eastAsia" w:ascii="宋体" w:hAnsi="宋体" w:eastAsia="宋体" w:cs="宋体"/>
                <w:sz w:val="24"/>
              </w:rPr>
            </w:pPr>
            <w:r>
              <w:rPr>
                <w:rFonts w:hint="eastAsia" w:ascii="宋体" w:hAnsi="宋体" w:eastAsia="宋体" w:cs="宋体"/>
                <w:color w:val="000000"/>
                <w:sz w:val="24"/>
              </w:rPr>
              <w:t>3、对个人和家庭支出：</w:t>
            </w:r>
            <w:r>
              <w:rPr>
                <w:rFonts w:hint="eastAsia" w:ascii="宋体" w:hAnsi="宋体" w:eastAsia="宋体" w:cs="宋体"/>
                <w:color w:val="000000"/>
                <w:sz w:val="24"/>
                <w:lang w:val="en-US" w:eastAsia="zh-CN"/>
              </w:rPr>
              <w:t>43.81</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2"/>
              <w:jc w:val="left"/>
              <w:rPr>
                <w:rFonts w:hint="eastAsia" w:ascii="宋体" w:hAnsi="宋体" w:eastAsia="宋体" w:cs="宋体"/>
                <w:sz w:val="24"/>
              </w:rPr>
            </w:pPr>
            <w:r>
              <w:rPr>
                <w:rFonts w:hint="eastAsia" w:ascii="宋体" w:hAnsi="宋体" w:eastAsia="宋体" w:cs="宋体"/>
                <w:color w:val="000000"/>
                <w:sz w:val="24"/>
              </w:rPr>
              <w:t>4、资本性支出：</w:t>
            </w:r>
            <w:r>
              <w:rPr>
                <w:rFonts w:hint="eastAsia" w:ascii="宋体" w:hAnsi="宋体" w:eastAsia="宋体" w:cs="宋体"/>
                <w:color w:val="000000"/>
                <w:sz w:val="24"/>
                <w:lang w:val="en-US" w:eastAsia="zh-CN"/>
              </w:rPr>
              <w:t>3.88</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2"/>
              <w:jc w:val="left"/>
              <w:rPr>
                <w:rFonts w:hint="eastAsia" w:ascii="宋体" w:hAnsi="宋体" w:eastAsia="宋体" w:cs="宋体"/>
                <w:sz w:val="24"/>
              </w:rPr>
            </w:pPr>
            <w:r>
              <w:rPr>
                <w:rFonts w:hint="eastAsia" w:ascii="宋体" w:hAnsi="宋体" w:eastAsia="宋体" w:cs="宋体"/>
                <w:color w:val="000000"/>
                <w:sz w:val="24"/>
              </w:rPr>
              <w:t>5、其他支出：</w:t>
            </w:r>
            <w:r>
              <w:rPr>
                <w:rFonts w:hint="eastAsia" w:ascii="宋体" w:hAnsi="宋体" w:eastAsia="宋体" w:cs="宋体"/>
                <w:color w:val="000000"/>
                <w:sz w:val="24"/>
                <w:lang w:val="en-US" w:eastAsia="zh-CN"/>
              </w:rPr>
              <w:t>0</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restart"/>
            <w:tcBorders>
              <w:top w:val="single" w:color="000000" w:sz="2" w:space="0"/>
              <w:left w:val="single" w:color="000000" w:sz="2" w:space="0"/>
              <w:bottom w:val="single" w:color="000000" w:sz="2" w:space="0"/>
              <w:right w:val="single" w:color="000000" w:sz="2" w:space="0"/>
            </w:tcBorders>
            <w:noWrap w:val="0"/>
            <w:tcMar>
              <w:left w:w="0" w:type="dxa"/>
              <w:right w:w="0" w:type="dxa"/>
            </w:tcMar>
            <w:vAlign w:val="top"/>
          </w:tcPr>
          <w:p>
            <w:pPr>
              <w:widowControl/>
              <w:autoSpaceDE w:val="0"/>
              <w:autoSpaceDN w:val="0"/>
              <w:spacing w:before="1510" w:line="240" w:lineRule="exact"/>
              <w:ind w:left="102"/>
              <w:jc w:val="left"/>
              <w:rPr>
                <w:rFonts w:hint="eastAsia" w:ascii="宋体" w:hAnsi="宋体" w:eastAsia="宋体" w:cs="宋体"/>
                <w:sz w:val="24"/>
              </w:rPr>
            </w:pPr>
            <w:r>
              <w:rPr>
                <w:rFonts w:hint="eastAsia" w:ascii="宋体" w:hAnsi="宋体" w:eastAsia="宋体" w:cs="宋体"/>
                <w:color w:val="000000"/>
                <w:sz w:val="24"/>
              </w:rPr>
              <w:t>2、项目支出：</w:t>
            </w:r>
            <w:r>
              <w:rPr>
                <w:rFonts w:hint="eastAsia" w:ascii="宋体" w:hAnsi="宋体" w:eastAsia="宋体" w:cs="宋体"/>
                <w:color w:val="000000"/>
                <w:sz w:val="24"/>
                <w:lang w:val="en-US" w:eastAsia="zh-CN"/>
              </w:rPr>
              <w:t>7756.41</w:t>
            </w:r>
            <w:r>
              <w:rPr>
                <w:rFonts w:hint="eastAsia" w:ascii="宋体" w:hAnsi="宋体" w:eastAsia="宋体" w:cs="宋体"/>
                <w:color w:val="000000"/>
                <w:sz w:val="24"/>
              </w:rPr>
              <w:t>万元</w:t>
            </w: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center"/>
          </w:tcPr>
          <w:p>
            <w:pPr>
              <w:widowControl/>
              <w:autoSpaceDE w:val="0"/>
              <w:autoSpaceDN w:val="0"/>
              <w:rPr>
                <w:rFonts w:hint="eastAsia" w:ascii="宋体" w:hAnsi="宋体" w:eastAsia="宋体" w:cs="宋体"/>
                <w:sz w:val="24"/>
              </w:rPr>
            </w:pPr>
            <w:r>
              <w:rPr>
                <w:rFonts w:hint="eastAsia" w:ascii="宋体" w:hAnsi="宋体" w:eastAsia="宋体" w:cs="宋体"/>
                <w:color w:val="000000"/>
                <w:sz w:val="24"/>
                <w:lang w:eastAsia="zh-CN"/>
              </w:rPr>
              <w:t>垃圾场整改</w:t>
            </w:r>
            <w:r>
              <w:rPr>
                <w:rFonts w:hint="eastAsia" w:ascii="宋体" w:hAnsi="宋体" w:eastAsia="宋体" w:cs="宋体"/>
                <w:color w:val="000000"/>
                <w:sz w:val="24"/>
              </w:rPr>
              <w:t>项目：</w:t>
            </w:r>
            <w:r>
              <w:rPr>
                <w:rFonts w:hint="eastAsia" w:ascii="宋体" w:hAnsi="宋体" w:eastAsia="宋体" w:cs="宋体"/>
                <w:color w:val="000000"/>
                <w:sz w:val="24"/>
                <w:lang w:val="en-US" w:eastAsia="zh-CN"/>
              </w:rPr>
              <w:t>3592.31</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center"/>
          </w:tcPr>
          <w:p>
            <w:pPr>
              <w:widowControl/>
              <w:autoSpaceDE w:val="0"/>
              <w:autoSpaceDN w:val="0"/>
              <w:rPr>
                <w:rFonts w:hint="eastAsia" w:ascii="宋体" w:hAnsi="宋体" w:eastAsia="宋体" w:cs="宋体"/>
                <w:sz w:val="24"/>
              </w:rPr>
            </w:pPr>
            <w:r>
              <w:rPr>
                <w:rFonts w:hint="eastAsia" w:ascii="宋体" w:hAnsi="宋体" w:eastAsia="宋体" w:cs="宋体"/>
                <w:color w:val="000000"/>
                <w:sz w:val="24"/>
                <w:lang w:eastAsia="zh-CN"/>
              </w:rPr>
              <w:t>环卫一体化</w:t>
            </w:r>
            <w:r>
              <w:rPr>
                <w:rFonts w:hint="eastAsia" w:ascii="宋体" w:hAnsi="宋体" w:eastAsia="宋体" w:cs="宋体"/>
                <w:color w:val="000000"/>
                <w:sz w:val="24"/>
              </w:rPr>
              <w:t>项目</w:t>
            </w:r>
            <w:r>
              <w:rPr>
                <w:rFonts w:hint="eastAsia" w:ascii="宋体" w:hAnsi="宋体" w:eastAsia="宋体" w:cs="宋体"/>
                <w:color w:val="000000"/>
                <w:spacing w:val="-58"/>
                <w:sz w:val="24"/>
              </w:rPr>
              <w:t>：</w:t>
            </w:r>
            <w:r>
              <w:rPr>
                <w:rFonts w:hint="eastAsia" w:ascii="宋体" w:hAnsi="宋体" w:eastAsia="宋体" w:cs="宋体"/>
                <w:color w:val="000000"/>
                <w:sz w:val="24"/>
                <w:lang w:val="en-US" w:eastAsia="zh-CN"/>
              </w:rPr>
              <w:t>1958.13</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center"/>
          </w:tcPr>
          <w:p>
            <w:pPr>
              <w:widowControl/>
              <w:autoSpaceDE w:val="0"/>
              <w:autoSpaceDN w:val="0"/>
              <w:rPr>
                <w:rFonts w:hint="eastAsia" w:ascii="宋体" w:hAnsi="宋体" w:eastAsia="宋体" w:cs="宋体"/>
                <w:sz w:val="24"/>
              </w:rPr>
            </w:pPr>
            <w:r>
              <w:rPr>
                <w:rFonts w:hint="eastAsia" w:ascii="宋体" w:hAnsi="宋体" w:eastAsia="宋体" w:cs="宋体"/>
                <w:color w:val="000000"/>
                <w:sz w:val="24"/>
                <w:lang w:eastAsia="zh-CN"/>
              </w:rPr>
              <w:t>市政设施</w:t>
            </w:r>
            <w:r>
              <w:rPr>
                <w:rFonts w:hint="eastAsia" w:ascii="宋体" w:hAnsi="宋体" w:eastAsia="宋体" w:cs="宋体"/>
                <w:color w:val="000000"/>
                <w:sz w:val="24"/>
              </w:rPr>
              <w:t>项目：</w:t>
            </w:r>
            <w:r>
              <w:rPr>
                <w:rFonts w:hint="eastAsia" w:ascii="宋体" w:hAnsi="宋体" w:eastAsia="宋体" w:cs="宋体"/>
                <w:color w:val="000000"/>
                <w:sz w:val="24"/>
                <w:lang w:val="en-US" w:eastAsia="zh-CN"/>
              </w:rPr>
              <w:t>521.37</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center"/>
          </w:tcPr>
          <w:p>
            <w:pPr>
              <w:widowControl/>
              <w:autoSpaceDE w:val="0"/>
              <w:autoSpaceDN w:val="0"/>
              <w:rPr>
                <w:rFonts w:hint="eastAsia" w:ascii="宋体" w:hAnsi="宋体" w:eastAsia="宋体" w:cs="宋体"/>
                <w:sz w:val="24"/>
              </w:rPr>
            </w:pPr>
            <w:r>
              <w:rPr>
                <w:rFonts w:hint="eastAsia" w:ascii="宋体" w:hAnsi="宋体" w:eastAsia="宋体" w:cs="宋体"/>
                <w:color w:val="000000"/>
                <w:sz w:val="24"/>
                <w:lang w:eastAsia="zh-CN"/>
              </w:rPr>
              <w:t>路灯电费</w:t>
            </w:r>
            <w:r>
              <w:rPr>
                <w:rFonts w:hint="eastAsia" w:ascii="宋体" w:hAnsi="宋体" w:eastAsia="宋体" w:cs="宋体"/>
                <w:color w:val="000000"/>
                <w:sz w:val="24"/>
              </w:rPr>
              <w:t>项目：</w:t>
            </w:r>
            <w:r>
              <w:rPr>
                <w:rFonts w:hint="eastAsia" w:ascii="宋体" w:hAnsi="宋体" w:eastAsia="宋体" w:cs="宋体"/>
                <w:color w:val="000000"/>
                <w:sz w:val="24"/>
                <w:lang w:val="en-US" w:eastAsia="zh-CN"/>
              </w:rPr>
              <w:t>203.86</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center"/>
          </w:tcPr>
          <w:p>
            <w:pPr>
              <w:widowControl/>
              <w:autoSpaceDE w:val="0"/>
              <w:autoSpaceDN w:val="0"/>
              <w:rPr>
                <w:rFonts w:hint="eastAsia" w:ascii="宋体" w:hAnsi="宋体" w:eastAsia="宋体" w:cs="宋体"/>
                <w:sz w:val="24"/>
              </w:rPr>
            </w:pPr>
            <w:r>
              <w:rPr>
                <w:rFonts w:hint="eastAsia" w:ascii="宋体" w:hAnsi="宋体" w:eastAsia="宋体" w:cs="宋体"/>
                <w:color w:val="000000"/>
                <w:sz w:val="24"/>
                <w:lang w:eastAsia="zh-CN"/>
              </w:rPr>
              <w:t>驻村帮扶</w:t>
            </w:r>
            <w:r>
              <w:rPr>
                <w:rFonts w:hint="eastAsia" w:ascii="宋体" w:hAnsi="宋体" w:eastAsia="宋体" w:cs="宋体"/>
                <w:color w:val="000000"/>
                <w:sz w:val="24"/>
              </w:rPr>
              <w:t>项目：</w:t>
            </w:r>
            <w:r>
              <w:rPr>
                <w:rFonts w:hint="eastAsia" w:ascii="宋体" w:hAnsi="宋体" w:eastAsia="宋体" w:cs="宋体"/>
                <w:color w:val="000000"/>
                <w:sz w:val="24"/>
                <w:lang w:val="en-US" w:eastAsia="zh-CN"/>
              </w:rPr>
              <w:t>30.73</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40" w:hRule="exact"/>
        </w:trPr>
        <w:tc>
          <w:tcPr>
            <w:tcW w:w="1740" w:type="dxa"/>
            <w:vMerge w:val="continue"/>
            <w:tcBorders>
              <w:top w:val="single" w:color="000000" w:sz="2" w:space="0"/>
              <w:left w:val="single" w:color="000000" w:sz="10" w:space="0"/>
              <w:bottom w:val="single" w:color="000000" w:sz="2" w:space="0"/>
              <w:right w:val="single" w:color="000000" w:sz="2" w:space="0"/>
            </w:tcBorders>
            <w:noWrap w:val="0"/>
            <w:vAlign w:val="top"/>
          </w:tcPr>
          <w:p>
            <w:pPr>
              <w:rPr>
                <w:rFonts w:hint="eastAsia" w:ascii="宋体" w:hAnsi="宋体" w:eastAsia="宋体" w:cs="宋体"/>
                <w:sz w:val="24"/>
              </w:rPr>
            </w:pPr>
          </w:p>
        </w:tc>
        <w:tc>
          <w:tcPr>
            <w:tcW w:w="3314" w:type="dxa"/>
            <w:gridSpan w:val="2"/>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eastAsia="宋体" w:cs="宋体"/>
                <w:sz w:val="24"/>
              </w:rPr>
            </w:pPr>
          </w:p>
        </w:tc>
        <w:tc>
          <w:tcPr>
            <w:tcW w:w="4300" w:type="dxa"/>
            <w:tcBorders>
              <w:top w:val="single" w:color="000000" w:sz="2" w:space="0"/>
              <w:left w:val="single" w:color="000000" w:sz="2" w:space="0"/>
              <w:bottom w:val="single" w:color="000000" w:sz="2" w:space="0"/>
              <w:right w:val="single" w:color="000000" w:sz="10" w:space="0"/>
            </w:tcBorders>
            <w:noWrap w:val="0"/>
            <w:tcMar>
              <w:left w:w="0" w:type="dxa"/>
              <w:right w:w="0" w:type="dxa"/>
            </w:tcMar>
            <w:vAlign w:val="center"/>
          </w:tcPr>
          <w:p>
            <w:pPr>
              <w:widowControl/>
              <w:autoSpaceDE w:val="0"/>
              <w:autoSpaceDN w:val="0"/>
              <w:rPr>
                <w:rFonts w:hint="eastAsia" w:ascii="宋体" w:hAnsi="宋体" w:eastAsia="宋体" w:cs="宋体"/>
                <w:sz w:val="24"/>
              </w:rPr>
            </w:pPr>
            <w:r>
              <w:rPr>
                <w:rFonts w:hint="eastAsia" w:ascii="宋体" w:hAnsi="宋体" w:eastAsia="宋体" w:cs="宋体"/>
                <w:color w:val="000000"/>
                <w:sz w:val="24"/>
                <w:lang w:eastAsia="zh-CN"/>
              </w:rPr>
              <w:t>渗滤液及垃圾场填埋</w:t>
            </w:r>
            <w:r>
              <w:rPr>
                <w:rFonts w:hint="eastAsia" w:ascii="宋体" w:hAnsi="宋体" w:eastAsia="宋体" w:cs="宋体"/>
                <w:color w:val="000000"/>
                <w:sz w:val="24"/>
              </w:rPr>
              <w:t>项目项目：</w:t>
            </w:r>
            <w:r>
              <w:rPr>
                <w:rFonts w:hint="eastAsia" w:ascii="宋体" w:hAnsi="宋体" w:eastAsia="宋体" w:cs="宋体"/>
                <w:color w:val="000000"/>
                <w:sz w:val="24"/>
                <w:lang w:val="en-US" w:eastAsia="zh-CN"/>
              </w:rPr>
              <w:t>1450.01</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38" w:hRule="exact"/>
        </w:trPr>
        <w:tc>
          <w:tcPr>
            <w:tcW w:w="1740" w:type="dxa"/>
            <w:vMerge w:val="restart"/>
            <w:tcBorders>
              <w:top w:val="single" w:color="000000" w:sz="2" w:space="0"/>
              <w:left w:val="single" w:color="000000" w:sz="10" w:space="0"/>
              <w:bottom w:val="single" w:color="000000" w:sz="10" w:space="0"/>
              <w:right w:val="single" w:color="000000" w:sz="2" w:space="0"/>
            </w:tcBorders>
            <w:noWrap w:val="0"/>
            <w:tcMar>
              <w:left w:w="0" w:type="dxa"/>
              <w:right w:w="0" w:type="dxa"/>
            </w:tcMar>
            <w:vAlign w:val="top"/>
          </w:tcPr>
          <w:p>
            <w:pPr>
              <w:widowControl/>
              <w:autoSpaceDE w:val="0"/>
              <w:autoSpaceDN w:val="0"/>
              <w:spacing w:before="432" w:line="240" w:lineRule="exact"/>
              <w:jc w:val="center"/>
              <w:rPr>
                <w:rFonts w:hint="eastAsia" w:ascii="宋体" w:hAnsi="宋体" w:eastAsia="宋体" w:cs="宋体"/>
                <w:sz w:val="24"/>
              </w:rPr>
            </w:pPr>
            <w:r>
              <w:rPr>
                <w:rFonts w:hint="eastAsia" w:ascii="宋体" w:hAnsi="宋体" w:eastAsia="宋体" w:cs="宋体"/>
                <w:color w:val="000000"/>
                <w:spacing w:val="-12"/>
                <w:sz w:val="24"/>
              </w:rPr>
              <w:t>结余结转合计</w:t>
            </w:r>
            <w:r>
              <w:rPr>
                <w:rFonts w:hint="eastAsia" w:ascii="宋体" w:hAnsi="宋体" w:eastAsia="宋体" w:cs="宋体"/>
                <w:color w:val="000000"/>
                <w:sz w:val="24"/>
              </w:rPr>
              <w:t>：</w:t>
            </w:r>
          </w:p>
        </w:tc>
        <w:tc>
          <w:tcPr>
            <w:tcW w:w="7614" w:type="dxa"/>
            <w:gridSpan w:val="3"/>
            <w:tcBorders>
              <w:top w:val="single" w:color="000000" w:sz="2" w:space="0"/>
              <w:left w:val="single" w:color="000000" w:sz="2" w:space="0"/>
              <w:bottom w:val="single" w:color="000000" w:sz="2" w:space="0"/>
              <w:right w:val="single" w:color="000000" w:sz="10" w:space="0"/>
            </w:tcBorders>
            <w:noWrap w:val="0"/>
            <w:tcMar>
              <w:left w:w="0" w:type="dxa"/>
              <w:right w:w="0" w:type="dxa"/>
            </w:tcMar>
            <w:vAlign w:val="top"/>
          </w:tcPr>
          <w:p>
            <w:pPr>
              <w:widowControl/>
              <w:autoSpaceDE w:val="0"/>
              <w:autoSpaceDN w:val="0"/>
              <w:spacing w:before="162" w:line="240" w:lineRule="exact"/>
              <w:ind w:left="102"/>
              <w:jc w:val="left"/>
              <w:rPr>
                <w:rFonts w:hint="eastAsia" w:ascii="宋体" w:hAnsi="宋体" w:eastAsia="宋体" w:cs="宋体"/>
                <w:sz w:val="24"/>
              </w:rPr>
            </w:pPr>
            <w:r>
              <w:rPr>
                <w:rFonts w:hint="eastAsia" w:ascii="宋体" w:hAnsi="宋体" w:eastAsia="宋体" w:cs="宋体"/>
                <w:color w:val="000000"/>
                <w:sz w:val="24"/>
              </w:rPr>
              <w:t>1、基本支出结转：</w:t>
            </w:r>
            <w:r>
              <w:rPr>
                <w:rFonts w:hint="eastAsia" w:ascii="宋体" w:hAnsi="宋体" w:eastAsia="宋体" w:cs="宋体"/>
                <w:color w:val="000000"/>
                <w:sz w:val="24"/>
                <w:lang w:val="en-US" w:eastAsia="zh-CN"/>
              </w:rPr>
              <w:t>0</w:t>
            </w:r>
            <w:r>
              <w:rPr>
                <w:rFonts w:hint="eastAsia" w:ascii="宋体" w:hAnsi="宋体" w:eastAsia="宋体" w:cs="宋体"/>
                <w:color w:val="000000"/>
                <w:sz w:val="24"/>
              </w:rPr>
              <w:t>万元</w:t>
            </w:r>
          </w:p>
        </w:tc>
      </w:tr>
      <w:tr>
        <w:tblPrEx>
          <w:tblCellMar>
            <w:top w:w="0" w:type="dxa"/>
            <w:left w:w="108" w:type="dxa"/>
            <w:bottom w:w="0" w:type="dxa"/>
            <w:right w:w="108" w:type="dxa"/>
          </w:tblCellMar>
        </w:tblPrEx>
        <w:trPr>
          <w:trHeight w:val="550" w:hRule="exact"/>
        </w:trPr>
        <w:tc>
          <w:tcPr>
            <w:tcW w:w="1740" w:type="dxa"/>
            <w:vMerge w:val="continue"/>
            <w:tcBorders>
              <w:top w:val="single" w:color="000000" w:sz="2" w:space="0"/>
              <w:left w:val="single" w:color="000000" w:sz="10" w:space="0"/>
              <w:bottom w:val="single" w:color="000000" w:sz="10" w:space="0"/>
              <w:right w:val="single" w:color="000000" w:sz="2" w:space="0"/>
            </w:tcBorders>
            <w:noWrap w:val="0"/>
            <w:vAlign w:val="top"/>
          </w:tcPr>
          <w:p>
            <w:pPr>
              <w:rPr>
                <w:rFonts w:hint="eastAsia" w:ascii="宋体" w:hAnsi="宋体" w:eastAsia="宋体" w:cs="宋体"/>
                <w:sz w:val="24"/>
              </w:rPr>
            </w:pPr>
          </w:p>
        </w:tc>
        <w:tc>
          <w:tcPr>
            <w:tcW w:w="7614" w:type="dxa"/>
            <w:gridSpan w:val="3"/>
            <w:tcBorders>
              <w:top w:val="single" w:color="000000" w:sz="2" w:space="0"/>
              <w:left w:val="single" w:color="000000" w:sz="2" w:space="0"/>
              <w:bottom w:val="single" w:color="000000" w:sz="10" w:space="0"/>
              <w:right w:val="single" w:color="000000" w:sz="10" w:space="0"/>
            </w:tcBorders>
            <w:noWrap w:val="0"/>
            <w:tcMar>
              <w:left w:w="0" w:type="dxa"/>
              <w:right w:w="0" w:type="dxa"/>
            </w:tcMar>
            <w:vAlign w:val="top"/>
          </w:tcPr>
          <w:p>
            <w:pPr>
              <w:widowControl/>
              <w:autoSpaceDE w:val="0"/>
              <w:autoSpaceDN w:val="0"/>
              <w:spacing w:before="162" w:line="240" w:lineRule="exact"/>
              <w:ind w:left="102"/>
              <w:jc w:val="left"/>
              <w:rPr>
                <w:rFonts w:hint="eastAsia" w:ascii="宋体" w:hAnsi="宋体" w:eastAsia="宋体" w:cs="宋体"/>
                <w:sz w:val="24"/>
              </w:rPr>
            </w:pPr>
            <w:r>
              <w:rPr>
                <w:rFonts w:hint="eastAsia" w:ascii="宋体" w:hAnsi="宋体" w:eastAsia="宋体" w:cs="宋体"/>
                <w:color w:val="000000"/>
                <w:sz w:val="24"/>
              </w:rPr>
              <w:t>2、项目支出结转：</w:t>
            </w:r>
            <w:r>
              <w:rPr>
                <w:rFonts w:hint="eastAsia" w:ascii="宋体" w:hAnsi="宋体" w:eastAsia="宋体" w:cs="宋体"/>
                <w:color w:val="000000"/>
                <w:sz w:val="24"/>
                <w:lang w:val="en-US" w:eastAsia="zh-CN"/>
              </w:rPr>
              <w:t>0</w:t>
            </w:r>
            <w:r>
              <w:rPr>
                <w:rFonts w:hint="eastAsia" w:ascii="宋体" w:hAnsi="宋体" w:eastAsia="宋体" w:cs="宋体"/>
                <w:color w:val="000000"/>
                <w:sz w:val="24"/>
              </w:rPr>
              <w:t>万元</w:t>
            </w:r>
          </w:p>
        </w:tc>
      </w:tr>
    </w:tbl>
    <w:p>
      <w:pPr>
        <w:spacing w:line="560" w:lineRule="exact"/>
        <w:jc w:val="center"/>
        <w:rPr>
          <w:rFonts w:eastAsia="楷体_GB2312"/>
          <w:color w:val="000000"/>
          <w:szCs w:val="32"/>
        </w:rPr>
        <w:sectPr>
          <w:footerReference r:id="rId3" w:type="default"/>
          <w:pgSz w:w="11907" w:h="16840"/>
          <w:pgMar w:top="1871" w:right="1418" w:bottom="1616" w:left="1588" w:header="851" w:footer="1304" w:gutter="0"/>
          <w:cols w:space="720" w:num="1"/>
          <w:docGrid w:linePitch="534" w:charSpace="704"/>
        </w:sectPr>
      </w:pP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hint="eastAsia" w:eastAsia="方正小标宋简体"/>
          <w:bCs/>
          <w:kern w:val="0"/>
          <w:sz w:val="44"/>
          <w:szCs w:val="44"/>
        </w:rPr>
        <w:t>安化</w:t>
      </w:r>
      <w:r>
        <w:rPr>
          <w:rFonts w:eastAsia="方正小标宋简体"/>
          <w:bCs/>
          <w:kern w:val="0"/>
          <w:sz w:val="44"/>
          <w:szCs w:val="44"/>
        </w:rPr>
        <w:t>县20</w:t>
      </w:r>
      <w:r>
        <w:rPr>
          <w:rFonts w:hint="eastAsia" w:eastAsia="方正小标宋简体"/>
          <w:bCs/>
          <w:kern w:val="0"/>
          <w:sz w:val="44"/>
          <w:szCs w:val="44"/>
        </w:rPr>
        <w:t>22</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评价单位（盖章）：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7</w:t>
      </w:r>
      <w:r>
        <w:rPr>
          <w:rFonts w:eastAsia="宋体"/>
          <w:kern w:val="0"/>
          <w:sz w:val="24"/>
        </w:rPr>
        <w:t>月</w:t>
      </w:r>
      <w:r>
        <w:rPr>
          <w:rFonts w:hint="eastAsia" w:eastAsia="宋体"/>
          <w:kern w:val="0"/>
          <w:sz w:val="24"/>
          <w:lang w:val="en-US" w:eastAsia="zh-CN"/>
        </w:rPr>
        <w:t>17</w:t>
      </w:r>
      <w:r>
        <w:rPr>
          <w:rFonts w:eastAsia="宋体"/>
          <w:kern w:val="0"/>
          <w:sz w:val="24"/>
        </w:rPr>
        <w:t>日</w:t>
      </w:r>
    </w:p>
    <w:tbl>
      <w:tblPr>
        <w:tblStyle w:val="5"/>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hint="eastAsia" w:eastAsia="宋体"/>
                <w:kern w:val="0"/>
                <w:sz w:val="24"/>
              </w:rPr>
            </w:pPr>
          </w:p>
          <w:p>
            <w:pPr>
              <w:widowControl/>
              <w:spacing w:line="300" w:lineRule="exact"/>
              <w:jc w:val="center"/>
              <w:rPr>
                <w:rFonts w:hint="eastAsia" w:eastAsia="宋体"/>
                <w:kern w:val="0"/>
                <w:sz w:val="24"/>
              </w:rPr>
            </w:pPr>
            <w:r>
              <w:rPr>
                <w:rFonts w:eastAsia="宋体"/>
                <w:kern w:val="0"/>
                <w:sz w:val="24"/>
              </w:rPr>
              <w:t>投入</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b/>
                <w:bCs/>
                <w:kern w:val="0"/>
                <w:sz w:val="24"/>
                <w:lang w:val="en-US" w:eastAsia="zh-CN"/>
              </w:rPr>
            </w:pPr>
            <w:r>
              <w:rPr>
                <w:rFonts w:hint="eastAsia" w:eastAsia="宋体"/>
                <w:b/>
                <w:bCs/>
                <w:kern w:val="0"/>
                <w:sz w:val="24"/>
                <w:lang w:val="en-US" w:eastAsia="zh-CN"/>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hint="eastAsia" w:eastAsia="宋体"/>
                <w:kern w:val="0"/>
                <w:sz w:val="24"/>
              </w:rPr>
            </w:pPr>
            <w:r>
              <w:rPr>
                <w:rFonts w:eastAsia="宋体"/>
                <w:kern w:val="0"/>
                <w:sz w:val="24"/>
              </w:rPr>
              <w:t>绩效指标明确性</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hint="eastAsia" w:eastAsia="宋体"/>
                <w:kern w:val="0"/>
                <w:sz w:val="24"/>
              </w:rPr>
            </w:pPr>
            <w:r>
              <w:rPr>
                <w:rFonts w:eastAsia="宋体"/>
                <w:kern w:val="0"/>
                <w:sz w:val="24"/>
              </w:rPr>
              <w:t>在职人员控制率</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hint="eastAsia" w:eastAsia="宋体"/>
                <w:kern w:val="0"/>
                <w:sz w:val="24"/>
              </w:rPr>
            </w:pPr>
            <w:r>
              <w:rPr>
                <w:rFonts w:eastAsia="宋体"/>
                <w:kern w:val="0"/>
                <w:sz w:val="24"/>
              </w:rPr>
              <w:t>重点支出安排率</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hint="eastAsia" w:eastAsia="宋体"/>
                <w:kern w:val="0"/>
                <w:sz w:val="24"/>
              </w:rPr>
            </w:pPr>
            <w:r>
              <w:rPr>
                <w:rFonts w:eastAsia="宋体"/>
                <w:kern w:val="0"/>
                <w:sz w:val="24"/>
              </w:rPr>
              <w:t>预算</w:t>
            </w:r>
          </w:p>
          <w:p>
            <w:pPr>
              <w:widowControl/>
              <w:spacing w:line="300" w:lineRule="exact"/>
              <w:jc w:val="center"/>
              <w:rPr>
                <w:rFonts w:hint="eastAsia" w:eastAsia="宋体"/>
                <w:kern w:val="0"/>
                <w:sz w:val="24"/>
              </w:rPr>
            </w:pPr>
            <w:r>
              <w:rPr>
                <w:rFonts w:eastAsia="宋体"/>
                <w:kern w:val="0"/>
                <w:sz w:val="24"/>
              </w:rPr>
              <w:t>执行</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预算</w:t>
            </w:r>
          </w:p>
          <w:p>
            <w:pPr>
              <w:widowControl/>
              <w:spacing w:line="300" w:lineRule="exact"/>
              <w:jc w:val="center"/>
              <w:rPr>
                <w:rFonts w:hint="eastAsia" w:eastAsia="宋体"/>
                <w:kern w:val="0"/>
                <w:sz w:val="24"/>
              </w:rPr>
            </w:pPr>
            <w:r>
              <w:rPr>
                <w:rFonts w:eastAsia="宋体"/>
                <w:kern w:val="0"/>
                <w:sz w:val="24"/>
              </w:rPr>
              <w:t>完成率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预算</w:t>
            </w:r>
          </w:p>
          <w:p>
            <w:pPr>
              <w:widowControl/>
              <w:spacing w:line="300" w:lineRule="exact"/>
              <w:jc w:val="center"/>
              <w:rPr>
                <w:rFonts w:hint="eastAsia" w:eastAsia="宋体"/>
                <w:kern w:val="0"/>
                <w:sz w:val="24"/>
              </w:rPr>
            </w:pPr>
            <w:r>
              <w:rPr>
                <w:rFonts w:eastAsia="宋体"/>
                <w:kern w:val="0"/>
                <w:sz w:val="24"/>
              </w:rPr>
              <w:t>调整率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hint="default" w:eastAsia="宋体"/>
                <w:kern w:val="0"/>
                <w:sz w:val="24"/>
                <w:lang w:val="en-US" w:eastAsia="zh-CN"/>
              </w:rPr>
            </w:pPr>
            <w:r>
              <w:rPr>
                <w:rFonts w:hint="eastAsia" w:eastAsia="宋体"/>
                <w:kern w:val="0"/>
                <w:sz w:val="24"/>
                <w:lang w:val="en-US" w:eastAsia="zh-CN"/>
              </w:rPr>
              <w:t>2.8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支付</w:t>
            </w:r>
          </w:p>
          <w:p>
            <w:pPr>
              <w:widowControl/>
              <w:spacing w:line="300" w:lineRule="exact"/>
              <w:jc w:val="center"/>
              <w:rPr>
                <w:rFonts w:hint="eastAsia" w:eastAsia="宋体"/>
                <w:kern w:val="0"/>
                <w:sz w:val="24"/>
              </w:rPr>
            </w:pPr>
            <w:r>
              <w:rPr>
                <w:rFonts w:eastAsia="宋体"/>
                <w:kern w:val="0"/>
                <w:sz w:val="24"/>
              </w:rPr>
              <w:t>进度率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default" w:eastAsia="宋体"/>
                <w:kern w:val="0"/>
                <w:sz w:val="24"/>
                <w:lang w:val="en-US" w:eastAsia="zh-CN"/>
              </w:rPr>
            </w:pPr>
            <w:r>
              <w:rPr>
                <w:rFonts w:hint="eastAsia" w:eastAsia="宋体"/>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结 转</w:t>
            </w:r>
          </w:p>
          <w:p>
            <w:pPr>
              <w:widowControl/>
              <w:spacing w:line="300" w:lineRule="exact"/>
              <w:jc w:val="center"/>
              <w:rPr>
                <w:rFonts w:hint="eastAsia" w:eastAsia="宋体"/>
                <w:kern w:val="0"/>
                <w:sz w:val="24"/>
              </w:rPr>
            </w:pPr>
            <w:r>
              <w:rPr>
                <w:rFonts w:eastAsia="宋体"/>
                <w:kern w:val="0"/>
                <w:sz w:val="24"/>
              </w:rPr>
              <w:t>结余率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三公经费控制率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政府采购执行率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default" w:eastAsia="宋体"/>
                <w:kern w:val="0"/>
                <w:sz w:val="24"/>
                <w:lang w:val="en-US" w:eastAsia="zh-CN"/>
              </w:rPr>
            </w:pPr>
            <w:r>
              <w:rPr>
                <w:rFonts w:hint="eastAsia" w:eastAsia="宋体"/>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hint="eastAsia" w:eastAsia="宋体"/>
                <w:kern w:val="0"/>
                <w:sz w:val="24"/>
              </w:rPr>
            </w:pPr>
            <w:r>
              <w:rPr>
                <w:rFonts w:eastAsia="宋体"/>
                <w:kern w:val="0"/>
                <w:sz w:val="24"/>
              </w:rPr>
              <w:t>管理</w:t>
            </w:r>
          </w:p>
          <w:p>
            <w:pPr>
              <w:widowControl/>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hint="eastAsia" w:eastAsia="宋体"/>
                <w:kern w:val="0"/>
                <w:sz w:val="24"/>
              </w:rPr>
            </w:pPr>
            <w:r>
              <w:rPr>
                <w:rFonts w:eastAsia="宋体"/>
                <w:kern w:val="0"/>
                <w:sz w:val="24"/>
              </w:rPr>
              <w:t>制度管理</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hint="eastAsia" w:eastAsia="宋体"/>
                <w:kern w:val="0"/>
                <w:sz w:val="24"/>
              </w:rPr>
            </w:pPr>
            <w:r>
              <w:rPr>
                <w:rFonts w:eastAsia="宋体"/>
                <w:kern w:val="0"/>
                <w:sz w:val="24"/>
              </w:rPr>
              <w:t>资金管理</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default" w:eastAsia="宋体"/>
                <w:kern w:val="0"/>
                <w:sz w:val="24"/>
                <w:lang w:val="en-US" w:eastAsia="zh-CN"/>
              </w:rPr>
            </w:pPr>
            <w:r>
              <w:rPr>
                <w:rFonts w:hint="eastAsia" w:eastAsia="宋体"/>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hint="eastAsia" w:eastAsia="宋体"/>
                <w:kern w:val="0"/>
                <w:sz w:val="24"/>
              </w:rPr>
            </w:pPr>
            <w:r>
              <w:rPr>
                <w:rFonts w:eastAsia="宋体"/>
                <w:kern w:val="0"/>
                <w:sz w:val="24"/>
              </w:rPr>
              <w:t>信息公开</w:t>
            </w:r>
          </w:p>
          <w:p>
            <w:pPr>
              <w:widowControl/>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hint="eastAsia" w:eastAsia="宋体"/>
                <w:kern w:val="0"/>
                <w:sz w:val="24"/>
              </w:rPr>
            </w:pPr>
          </w:p>
          <w:p>
            <w:pPr>
              <w:widowControl/>
              <w:spacing w:line="300" w:lineRule="exact"/>
              <w:jc w:val="center"/>
              <w:rPr>
                <w:rFonts w:hint="eastAsia" w:eastAsia="宋体"/>
                <w:kern w:val="0"/>
                <w:sz w:val="24"/>
              </w:rPr>
            </w:pPr>
            <w:r>
              <w:rPr>
                <w:rFonts w:eastAsia="宋体"/>
                <w:kern w:val="0"/>
                <w:sz w:val="24"/>
              </w:rPr>
              <w:t>过程</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hint="eastAsia" w:eastAsia="宋体"/>
                <w:kern w:val="0"/>
                <w:sz w:val="24"/>
              </w:rPr>
            </w:pPr>
            <w:r>
              <w:rPr>
                <w:rFonts w:eastAsia="宋体"/>
                <w:kern w:val="0"/>
                <w:sz w:val="24"/>
              </w:rPr>
              <w:t>资产</w:t>
            </w:r>
          </w:p>
          <w:p>
            <w:pPr>
              <w:widowControl/>
              <w:spacing w:line="360" w:lineRule="exact"/>
              <w:jc w:val="center"/>
              <w:rPr>
                <w:rFonts w:hint="eastAsia" w:eastAsia="宋体"/>
                <w:kern w:val="0"/>
                <w:sz w:val="24"/>
              </w:rPr>
            </w:pPr>
            <w:r>
              <w:rPr>
                <w:rFonts w:eastAsia="宋体"/>
                <w:kern w:val="0"/>
                <w:sz w:val="24"/>
              </w:rPr>
              <w:t>管理</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hint="eastAsia" w:eastAsia="宋体"/>
                <w:kern w:val="0"/>
                <w:sz w:val="24"/>
              </w:rPr>
            </w:pPr>
            <w:r>
              <w:rPr>
                <w:rFonts w:eastAsia="宋体"/>
                <w:kern w:val="0"/>
                <w:sz w:val="24"/>
              </w:rPr>
              <w:t>资产管理安全性</w:t>
            </w:r>
          </w:p>
          <w:p>
            <w:pPr>
              <w:widowControl/>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固定资产利用率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hint="eastAsia" w:eastAsia="宋体"/>
                <w:kern w:val="0"/>
                <w:sz w:val="24"/>
              </w:rPr>
            </w:pPr>
            <w:r>
              <w:rPr>
                <w:rFonts w:eastAsia="宋体"/>
                <w:kern w:val="0"/>
                <w:sz w:val="24"/>
              </w:rPr>
              <w:t>产出</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实际</w:t>
            </w:r>
          </w:p>
          <w:p>
            <w:pPr>
              <w:widowControl/>
              <w:spacing w:line="300" w:lineRule="exact"/>
              <w:jc w:val="center"/>
              <w:rPr>
                <w:rFonts w:hint="eastAsia" w:eastAsia="宋体"/>
                <w:kern w:val="0"/>
                <w:sz w:val="24"/>
              </w:rPr>
            </w:pPr>
            <w:r>
              <w:rPr>
                <w:rFonts w:eastAsia="宋体"/>
                <w:kern w:val="0"/>
                <w:sz w:val="24"/>
              </w:rPr>
              <w:t>完成率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rPr>
            </w:pPr>
            <w:r>
              <w:rPr>
                <w:rFonts w:eastAsia="宋体"/>
                <w:kern w:val="0"/>
                <w:sz w:val="24"/>
              </w:rPr>
              <w:t>完成</w:t>
            </w:r>
          </w:p>
          <w:p>
            <w:pPr>
              <w:widowControl/>
              <w:spacing w:line="300" w:lineRule="exact"/>
              <w:jc w:val="center"/>
              <w:rPr>
                <w:rFonts w:hint="eastAsia" w:eastAsia="宋体"/>
                <w:kern w:val="0"/>
                <w:sz w:val="24"/>
              </w:rPr>
            </w:pPr>
            <w:r>
              <w:rPr>
                <w:rFonts w:eastAsia="宋体"/>
                <w:kern w:val="0"/>
                <w:sz w:val="24"/>
              </w:rPr>
              <w:t>及时率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hint="eastAsia" w:eastAsia="宋体"/>
                <w:kern w:val="0"/>
                <w:sz w:val="24"/>
              </w:rPr>
            </w:pPr>
            <w:r>
              <w:rPr>
                <w:rFonts w:eastAsia="宋体"/>
                <w:kern w:val="0"/>
                <w:sz w:val="24"/>
              </w:rPr>
              <w:t xml:space="preserve">达标率 </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4.5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hint="eastAsia" w:eastAsia="宋体"/>
                <w:kern w:val="0"/>
                <w:sz w:val="24"/>
              </w:rPr>
            </w:pPr>
            <w:r>
              <w:rPr>
                <w:rFonts w:eastAsia="宋体"/>
                <w:kern w:val="0"/>
                <w:sz w:val="24"/>
              </w:rPr>
              <w:t>产出</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hint="eastAsia" w:eastAsia="宋体"/>
                <w:kern w:val="0"/>
                <w:sz w:val="24"/>
              </w:rPr>
            </w:pPr>
            <w:r>
              <w:rPr>
                <w:rFonts w:eastAsia="宋体"/>
                <w:kern w:val="0"/>
                <w:sz w:val="24"/>
              </w:rPr>
              <w:t>重点工作办结率</w:t>
            </w:r>
          </w:p>
          <w:p>
            <w:pPr>
              <w:widowControl/>
              <w:spacing w:line="360" w:lineRule="exact"/>
              <w:jc w:val="center"/>
              <w:rPr>
                <w:rFonts w:eastAsia="宋体"/>
                <w:kern w:val="0"/>
                <w:sz w:val="24"/>
              </w:rPr>
            </w:pP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hint="eastAsia" w:eastAsia="宋体"/>
                <w:kern w:val="0"/>
                <w:sz w:val="24"/>
              </w:rPr>
            </w:pPr>
            <w:r>
              <w:rPr>
                <w:rFonts w:eastAsia="宋体"/>
                <w:kern w:val="0"/>
                <w:sz w:val="24"/>
              </w:rPr>
              <w:t>效果</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hint="eastAsia" w:eastAsia="宋体"/>
                <w:kern w:val="0"/>
                <w:sz w:val="24"/>
              </w:rPr>
            </w:pPr>
            <w:r>
              <w:rPr>
                <w:rFonts w:eastAsia="宋体"/>
                <w:kern w:val="0"/>
                <w:sz w:val="24"/>
              </w:rPr>
              <w:t>履职</w:t>
            </w:r>
          </w:p>
          <w:p>
            <w:pPr>
              <w:widowControl/>
              <w:spacing w:line="360" w:lineRule="exact"/>
              <w:jc w:val="center"/>
              <w:rPr>
                <w:rFonts w:hint="eastAsia" w:eastAsia="宋体"/>
                <w:kern w:val="0"/>
                <w:sz w:val="24"/>
              </w:rPr>
            </w:pPr>
            <w:r>
              <w:rPr>
                <w:rFonts w:eastAsia="宋体"/>
                <w:kern w:val="0"/>
                <w:sz w:val="24"/>
              </w:rPr>
              <w:t>效益</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hint="eastAsia" w:eastAsia="宋体"/>
                <w:kern w:val="0"/>
                <w:sz w:val="24"/>
              </w:rPr>
            </w:pPr>
            <w:r>
              <w:rPr>
                <w:rFonts w:eastAsia="宋体"/>
                <w:kern w:val="0"/>
                <w:sz w:val="24"/>
              </w:rPr>
              <w:t>经济效益</w:t>
            </w:r>
          </w:p>
          <w:p>
            <w:pPr>
              <w:widowControl/>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hint="eastAsia" w:eastAsia="宋体"/>
                <w:kern w:val="0"/>
                <w:sz w:val="24"/>
              </w:rPr>
            </w:pPr>
            <w:r>
              <w:rPr>
                <w:rFonts w:eastAsia="宋体"/>
                <w:kern w:val="0"/>
                <w:sz w:val="24"/>
              </w:rPr>
              <w:t>生态效益</w:t>
            </w:r>
          </w:p>
          <w:p>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4</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hint="eastAsia" w:eastAsia="宋体"/>
                <w:kern w:val="0"/>
                <w:sz w:val="24"/>
              </w:rPr>
            </w:pPr>
            <w:r>
              <w:rPr>
                <w:rFonts w:eastAsia="宋体"/>
                <w:kern w:val="0"/>
                <w:sz w:val="24"/>
              </w:rPr>
              <w:t>服务对象满意度</w:t>
            </w:r>
          </w:p>
          <w:p>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3</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93.7</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p>
    <w:p>
      <w:pPr>
        <w:keepNext w:val="0"/>
        <w:keepLines w:val="0"/>
        <w:pageBreakBefore w:val="0"/>
        <w:kinsoku/>
        <w:wordWrap/>
        <w:overflowPunct/>
        <w:topLinePunct w:val="0"/>
        <w:autoSpaceDE/>
        <w:autoSpaceDN/>
        <w:bidi w:val="0"/>
        <w:adjustRightInd/>
        <w:spacing w:line="600" w:lineRule="exact"/>
        <w:jc w:val="left"/>
        <w:rPr>
          <w:rFonts w:eastAsia="黑体"/>
          <w:bCs/>
          <w:kern w:val="0"/>
          <w:szCs w:val="32"/>
        </w:rPr>
      </w:pPr>
      <w:bookmarkStart w:id="0" w:name="RANGE!A1:G4"/>
      <w:r>
        <w:rPr>
          <w:rFonts w:eastAsia="黑体"/>
          <w:bCs/>
          <w:kern w:val="0"/>
          <w:szCs w:val="32"/>
        </w:rPr>
        <w:t>附件3</w:t>
      </w:r>
      <w:bookmarkEnd w:id="0"/>
    </w:p>
    <w:p>
      <w:pPr>
        <w:keepNext w:val="0"/>
        <w:keepLines w:val="0"/>
        <w:pageBreakBefore w:val="0"/>
        <w:kinsoku/>
        <w:wordWrap/>
        <w:overflowPunct/>
        <w:topLinePunct w:val="0"/>
        <w:autoSpaceDE/>
        <w:autoSpaceDN/>
        <w:bidi w:val="0"/>
        <w:adjustRightInd/>
        <w:spacing w:line="600" w:lineRule="exact"/>
        <w:jc w:val="center"/>
        <w:rPr>
          <w:rFonts w:hint="eastAsia" w:eastAsia="方正小标宋简体"/>
          <w:kern w:val="0"/>
          <w:sz w:val="44"/>
          <w:szCs w:val="44"/>
        </w:rPr>
      </w:pPr>
      <w:r>
        <w:rPr>
          <w:rFonts w:hint="eastAsia" w:eastAsia="方正小标宋简体"/>
          <w:kern w:val="0"/>
          <w:sz w:val="44"/>
          <w:szCs w:val="44"/>
        </w:rPr>
        <w:t>2022年度</w:t>
      </w:r>
      <w:r>
        <w:rPr>
          <w:rFonts w:eastAsia="方正小标宋简体"/>
          <w:kern w:val="0"/>
          <w:sz w:val="44"/>
          <w:szCs w:val="44"/>
        </w:rPr>
        <w:t>部门整体支出绩效报告</w:t>
      </w:r>
    </w:p>
    <w:p>
      <w:pPr>
        <w:keepNext w:val="0"/>
        <w:keepLines w:val="0"/>
        <w:pageBreakBefore w:val="0"/>
        <w:kinsoku/>
        <w:wordWrap/>
        <w:overflowPunct/>
        <w:topLinePunct w:val="0"/>
        <w:autoSpaceDE/>
        <w:autoSpaceDN/>
        <w:bidi w:val="0"/>
        <w:adjustRightInd/>
        <w:spacing w:line="600" w:lineRule="exact"/>
        <w:jc w:val="center"/>
        <w:rPr>
          <w:rFonts w:eastAsia="楷体_GB2312"/>
          <w:kern w:val="0"/>
          <w:szCs w:val="32"/>
        </w:rPr>
      </w:pPr>
      <w:r>
        <w:rPr>
          <w:rFonts w:eastAsia="楷体_GB2312"/>
          <w:kern w:val="0"/>
          <w:szCs w:val="32"/>
        </w:rPr>
        <w:t>（</w:t>
      </w:r>
      <w:r>
        <w:rPr>
          <w:rFonts w:hint="eastAsia" w:eastAsia="楷体_GB2312"/>
          <w:kern w:val="0"/>
          <w:szCs w:val="32"/>
          <w:lang w:eastAsia="zh-CN"/>
        </w:rPr>
        <w:t>安化县城管执法局</w:t>
      </w:r>
      <w:r>
        <w:rPr>
          <w:rFonts w:eastAsia="楷体_GB2312"/>
          <w:kern w:val="0"/>
          <w:szCs w:val="32"/>
        </w:rPr>
        <w:t>）</w:t>
      </w:r>
    </w:p>
    <w:p>
      <w:pPr>
        <w:pStyle w:val="2"/>
        <w:keepNext w:val="0"/>
        <w:keepLines w:val="0"/>
        <w:pageBreakBefore w:val="0"/>
        <w:kinsoku/>
        <w:wordWrap/>
        <w:overflowPunct/>
        <w:topLinePunct w:val="0"/>
        <w:autoSpaceDE/>
        <w:autoSpaceDN/>
        <w:bidi w:val="0"/>
        <w:adjustRightInd/>
        <w:spacing w:line="600" w:lineRule="exact"/>
      </w:pPr>
    </w:p>
    <w:p>
      <w:pPr>
        <w:keepNext w:val="0"/>
        <w:keepLines w:val="0"/>
        <w:pageBreakBefore w:val="0"/>
        <w:numPr>
          <w:ilvl w:val="0"/>
          <w:numId w:val="1"/>
        </w:numPr>
        <w:kinsoku/>
        <w:wordWrap/>
        <w:overflowPunct/>
        <w:topLinePunct w:val="0"/>
        <w:autoSpaceDE/>
        <w:autoSpaceDN/>
        <w:bidi w:val="0"/>
        <w:adjustRightInd/>
        <w:spacing w:line="600" w:lineRule="exact"/>
        <w:ind w:left="640" w:leftChars="0" w:firstLine="0" w:firstLineChars="0"/>
        <w:jc w:val="left"/>
        <w:rPr>
          <w:rFonts w:eastAsia="黑体"/>
          <w:bCs/>
          <w:kern w:val="0"/>
          <w:szCs w:val="32"/>
        </w:rPr>
      </w:pPr>
      <w:r>
        <w:rPr>
          <w:rFonts w:eastAsia="黑体"/>
          <w:bCs/>
          <w:kern w:val="0"/>
          <w:szCs w:val="32"/>
        </w:rPr>
        <w:t>部门概况</w:t>
      </w:r>
    </w:p>
    <w:p>
      <w:pPr>
        <w:keepNext w:val="0"/>
        <w:keepLines w:val="0"/>
        <w:pageBreakBefore w:val="0"/>
        <w:widowControl/>
        <w:kinsoku/>
        <w:wordWrap/>
        <w:overflowPunct/>
        <w:topLinePunct w:val="0"/>
        <w:autoSpaceDE/>
        <w:autoSpaceDN/>
        <w:bidi w:val="0"/>
        <w:adjustRightInd/>
        <w:spacing w:line="600" w:lineRule="exact"/>
        <w:ind w:firstLine="640" w:firstLineChars="200"/>
        <w:rPr>
          <w:kern w:val="0"/>
          <w:szCs w:val="32"/>
        </w:rPr>
      </w:pPr>
      <w:r>
        <w:rPr>
          <w:kern w:val="0"/>
          <w:szCs w:val="32"/>
        </w:rPr>
        <w:t>（一）部门基本情况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人员编制情况：县城管执法局核定人员编制149人，其中公务员编制8人，机关工勤编1人，全额拨款编制95人，差额拨款编制45人。截至2022年12月，实有在职干职工139人，其中在编人员134人（公务员编8人，机关工勤编1人，全额编81人，差额编44人），无编人员5人。另外，退休人员51人。</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机构设置情况：安化县城市管理和综合执法局（以下简称“县城管执法局”）系县人民政府工作部门，为正科级。包括局机关以及直属大队、指挥中心、市政设施服务中心（加挂安化县城区园林绿化服务中心牌子）、环境卫生管理所4个所属事业机构。局机关内设有办公室、组织人事股、政策法规股（行政审批服务股）、计划财务股、市容管理股等职能股室。</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职责职能：负责县城中心城区城市公共市政设施、亮化设施、园林设施和园林绿化的规划设计、建设维护、监督管理工作；负责县城中心城区市容环境卫生管理工作；负责县数字化城市管理技术系统的规划建设管理工作；以及行使城市规划管理方面法律、法规、规章规定的部分行政审批、处罚权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4、年度重点工作计划</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（1）对原渗滤液处理系统进行升级改造，以及建设渗滤液抽排井、地下水监测井、尾水排放管网等辅助内容，保证工程质量安全，改善流域生态环境，营造了洁净、优美的城市环境，促进了生态城市建设</w:t>
      </w:r>
      <w:r>
        <w:rPr>
          <w:rFonts w:hint="eastAsia"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确保</w:t>
      </w:r>
      <w:r>
        <w:rPr>
          <w:rFonts w:hint="eastAsia" w:cs="Times New Roman"/>
          <w:color w:val="auto"/>
          <w:kern w:val="0"/>
          <w:sz w:val="32"/>
          <w:szCs w:val="32"/>
          <w:lang w:val="en-US" w:eastAsia="zh-CN" w:bidi="ar-SA"/>
        </w:rPr>
        <w:t>垃圾场</w:t>
      </w:r>
      <w:r>
        <w:rPr>
          <w:rFonts w:hint="eastAsia" w:ascii="Times New Roman" w:hAnsi="Times New Roman" w:eastAsia="仿宋_GB2312" w:cs="Times New Roman"/>
          <w:color w:val="auto"/>
          <w:kern w:val="0"/>
          <w:sz w:val="32"/>
          <w:szCs w:val="32"/>
          <w:lang w:val="en-US" w:eastAsia="zh-CN" w:bidi="ar-SA"/>
        </w:rPr>
        <w:t>整改销号。</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（2）完善基础设施扩建。完善道路管护、绿化管护、市政管护、道路清扫服务等基础设施扩建。</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w:t>
      </w:r>
      <w:r>
        <w:rPr>
          <w:rFonts w:hint="eastAsia"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）开展各类专项整治行动。开展占道经营整治、违法建设整治、违规户外广告整治、油烟污染整治、违规渣土运输整治、“牛皮癣”整治及交通秩序整治等。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（4）强化生活垃圾处理能力。引进专业团队，强化垃圾处理能力，打好污染防治攻坚战。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（二）部门整体支出规模、使用方向和主要内容、涉及范围等。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2022年度收入总额9899.64万元，其中财政拨款收入9747.70万元，占98.47%；其他收入151.94万元，占1.53%。本年支出总额9899.64万元，按支出性质区分，基本支出2143.23万元，占比21.65%，项目支出7756.41万元，占比78.35%。</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垃圾场整改、垃圾场填埋及渗滤液处理、环卫一体化服务、市政设施维修维护、城区亮化及绿化维护、涉及开展各项专项业务工作、乡村振兴、党建等发生的全部支出。</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（三）绩效目标设立情况，主要包括部门中长期绩效目标和年度绩效目标。</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安化县东坪城区生活垃圾无害化处理填埋场整改处理项目，湖南爱一环保科技有限公司为实施主体，主要是完善库区雨污分流改造，新建渗滤液处理系统1座，处理规模为500m³/d及相关配套工程；对原渗滤液处理系统进行升级改造，以及建设渗滤液抽排井、地下水监测井、尾水排放管网等辅助内容，保证工程质量安全，确保整改已彻底销号。项目实施后，改善了流域生态环境，营造了洁净、优美的城市环境，促进了生态城市建设。</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安化县城乡环卫一体化垃圾收运体系PPP项目由长沙中联重科环境产业有限公司作为实施主体，县城管局负责管理及考核。项目实施后，环境卫生质量得到明显改善，给广大居民创造优美的工作、生活环境，取得了良好的社会效益。同时，也带动了安化县的旅游产业，促进了当地的经济发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安化县东坪城区生活垃圾无害化处理填埋场渗滤液处理项目，主要是垃圾场的渗滤液处理，此项目为第三方运营托管服务，实行总承包委托运营。根据日常运行记录和水质监测化验结果，渗滤液经污水设备处理后达到GB16889-2008《生活垃圾填埋场污染控制标准》一级标准。项目实施后，改善了流域生态环境，营造了洁净、优美的城市环境，促进了生态城市建设，实现了环境与经济效益的双赢。</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Times New Roman" w:hAnsi="Times New Roman" w:eastAsia="黑体" w:cs="Times New Roman"/>
          <w:bCs/>
          <w:kern w:val="0"/>
          <w:szCs w:val="32"/>
        </w:rPr>
      </w:pPr>
      <w:r>
        <w:rPr>
          <w:rFonts w:ascii="Times New Roman" w:hAnsi="Times New Roman" w:eastAsia="黑体" w:cs="Times New Roman"/>
          <w:bCs/>
          <w:kern w:val="0"/>
          <w:szCs w:val="32"/>
        </w:rPr>
        <w:t>二、部门整体支出管理及使用情况分析</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Times New Roman" w:hAnsi="Times New Roman" w:cs="Times New Roman"/>
          <w:kern w:val="0"/>
          <w:szCs w:val="32"/>
        </w:rPr>
      </w:pPr>
      <w:r>
        <w:rPr>
          <w:rFonts w:ascii="Times New Roman" w:hAnsi="Times New Roman" w:cs="Times New Roman"/>
          <w:kern w:val="0"/>
          <w:szCs w:val="32"/>
        </w:rPr>
        <w:t>（一）基本支出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jc w:val="left"/>
        <w:textAlignment w:val="center"/>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1．基本支出情况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2022年度财政拨款基本支出2</w:t>
      </w:r>
      <w:r>
        <w:rPr>
          <w:rFonts w:hint="eastAsia" w:cs="Times New Roman"/>
          <w:color w:val="auto"/>
          <w:kern w:val="0"/>
          <w:sz w:val="32"/>
          <w:szCs w:val="32"/>
          <w:lang w:val="en-US" w:eastAsia="zh-CN" w:bidi="ar-SA"/>
        </w:rPr>
        <w:t>143.24</w:t>
      </w:r>
      <w:r>
        <w:rPr>
          <w:rFonts w:hint="eastAsia" w:ascii="Times New Roman" w:hAnsi="Times New Roman" w:eastAsia="仿宋_GB2312" w:cs="Times New Roman"/>
          <w:color w:val="auto"/>
          <w:kern w:val="0"/>
          <w:sz w:val="32"/>
          <w:szCs w:val="32"/>
          <w:lang w:val="en-US" w:eastAsia="zh-CN" w:bidi="ar-SA"/>
        </w:rPr>
        <w:t>万元，其中：人员经费1</w:t>
      </w:r>
      <w:r>
        <w:rPr>
          <w:rFonts w:hint="eastAsia" w:cs="Times New Roman"/>
          <w:color w:val="auto"/>
          <w:kern w:val="0"/>
          <w:sz w:val="32"/>
          <w:szCs w:val="32"/>
          <w:lang w:val="en-US" w:eastAsia="zh-CN" w:bidi="ar-SA"/>
        </w:rPr>
        <w:t>760.96</w:t>
      </w:r>
      <w:r>
        <w:rPr>
          <w:rFonts w:hint="eastAsia" w:ascii="Times New Roman" w:hAnsi="Times New Roman" w:eastAsia="仿宋_GB2312" w:cs="Times New Roman"/>
          <w:color w:val="auto"/>
          <w:kern w:val="0"/>
          <w:sz w:val="32"/>
          <w:szCs w:val="32"/>
          <w:lang w:val="en-US" w:eastAsia="zh-CN" w:bidi="ar-SA"/>
        </w:rPr>
        <w:t>万元，占基本支出的</w:t>
      </w:r>
      <w:r>
        <w:rPr>
          <w:rFonts w:hint="eastAsia" w:cs="Times New Roman"/>
          <w:color w:val="auto"/>
          <w:kern w:val="0"/>
          <w:sz w:val="32"/>
          <w:szCs w:val="32"/>
          <w:lang w:val="en-US" w:eastAsia="zh-CN" w:bidi="ar-SA"/>
        </w:rPr>
        <w:t>82</w:t>
      </w:r>
      <w:r>
        <w:rPr>
          <w:rFonts w:hint="eastAsia" w:ascii="Times New Roman" w:hAnsi="Times New Roman" w:eastAsia="仿宋_GB2312" w:cs="Times New Roman"/>
          <w:color w:val="auto"/>
          <w:kern w:val="0"/>
          <w:sz w:val="32"/>
          <w:szCs w:val="32"/>
          <w:lang w:val="en-US" w:eastAsia="zh-CN" w:bidi="ar-SA"/>
        </w:rPr>
        <w:t>%，主要包括基本工资、津贴补贴、奖金、机关事业单位基本养老保险缴费、其他工资福利支出、退休费、住房公积金、其他对个人和家庭的补助支出；公用经费</w:t>
      </w:r>
      <w:r>
        <w:rPr>
          <w:rFonts w:hint="eastAsia" w:cs="Times New Roman"/>
          <w:color w:val="auto"/>
          <w:kern w:val="0"/>
          <w:sz w:val="32"/>
          <w:szCs w:val="32"/>
          <w:lang w:val="en-US" w:eastAsia="zh-CN" w:bidi="ar-SA"/>
        </w:rPr>
        <w:t>382.27</w:t>
      </w:r>
      <w:r>
        <w:rPr>
          <w:rFonts w:hint="eastAsia" w:ascii="Times New Roman" w:hAnsi="Times New Roman" w:eastAsia="仿宋_GB2312" w:cs="Times New Roman"/>
          <w:color w:val="auto"/>
          <w:kern w:val="0"/>
          <w:sz w:val="32"/>
          <w:szCs w:val="32"/>
          <w:lang w:val="en-US" w:eastAsia="zh-CN" w:bidi="ar-SA"/>
        </w:rPr>
        <w:t>万元，占基本支出的1</w:t>
      </w:r>
      <w:r>
        <w:rPr>
          <w:rFonts w:hint="eastAsia" w:cs="Times New Roman"/>
          <w:color w:val="auto"/>
          <w:kern w:val="0"/>
          <w:sz w:val="32"/>
          <w:szCs w:val="32"/>
          <w:lang w:val="en-US" w:eastAsia="zh-CN" w:bidi="ar-SA"/>
        </w:rPr>
        <w:t>8</w:t>
      </w:r>
      <w:r>
        <w:rPr>
          <w:rFonts w:hint="eastAsia" w:ascii="Times New Roman" w:hAnsi="Times New Roman" w:eastAsia="仿宋_GB2312" w:cs="Times New Roman"/>
          <w:color w:val="auto"/>
          <w:kern w:val="0"/>
          <w:sz w:val="32"/>
          <w:szCs w:val="32"/>
          <w:lang w:val="en-US" w:eastAsia="zh-CN" w:bidi="ar-SA"/>
        </w:rPr>
        <w:t>%，主要包括办公费、差旅费、培训费、公务接待费、劳务费、工会经费、福利费、公务用车运行维护费、其他交通费用、其他商品和服务支出等机关运行费用。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2.“三公”经费总支出情况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2022年三公经费预算为17.28万元，其中：因公出国（境）费预算0万元,公务用车购置费0万元，公务用车运行维护费0万元，公务接待费17.28万元。本年度我局实际支出2.39万元，其中：因公出国（</w:t>
      </w:r>
      <w:bookmarkStart w:id="2" w:name="_GoBack"/>
      <w:bookmarkEnd w:id="2"/>
      <w:r>
        <w:rPr>
          <w:rFonts w:hint="eastAsia" w:ascii="Times New Roman" w:hAnsi="Times New Roman" w:eastAsia="仿宋_GB2312" w:cs="Times New Roman"/>
          <w:color w:val="auto"/>
          <w:kern w:val="0"/>
          <w:sz w:val="32"/>
          <w:szCs w:val="32"/>
          <w:lang w:val="en-US" w:eastAsia="zh-CN" w:bidi="ar-SA"/>
        </w:rPr>
        <w:t>境）费0万元，公务用车购置费0万元，公务用车运行维护费0万元，公务接待费2.39万元，比预算节约14.89万元，较上年同期减少2.25万元，公务接待费用支出减少的主要原因是厉行节约，压缩“三公”经费。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3.因公出国（境）费用支出和公务用车（购置）情况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2022年参加出国（境）团组0个，因公出国（境）费用零支出，购置新车0台。</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（二）项目支出</w:t>
      </w:r>
      <w:r>
        <w:rPr>
          <w:rFonts w:hint="eastAsia" w:ascii="Times New Roman" w:hAnsi="Times New Roman" w:eastAsia="仿宋_GB2312" w:cs="Times New Roman"/>
          <w:color w:val="auto"/>
          <w:kern w:val="0"/>
          <w:sz w:val="32"/>
          <w:szCs w:val="32"/>
          <w:lang w:val="en-US" w:eastAsia="zh-CN" w:bidi="ar-SA"/>
        </w:rPr>
        <w:tab/>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1．项目资金安排落实、总投入等情况分析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2022年度项目支出7756.41万元，其中商品和服务支出4381.32万元、资本性支出3375.09万元。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2．项目资金实际使用情况分析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度项目支出7756.41万元，主要项目包括：垃圾场整改3592.31万元、垃圾场填埋及渗滤液处理项目费用1450.01万元、环卫一体化1958.13万元、市政设施维修维护等费用521.37万元、路灯电费203.86万元、驻村帮扶30.73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3.项目资金管理情况分析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eastAsia="黑体"/>
          <w:bCs/>
          <w:kern w:val="0"/>
          <w:szCs w:val="32"/>
        </w:rPr>
      </w:pPr>
      <w:r>
        <w:rPr>
          <w:rFonts w:eastAsia="黑体"/>
          <w:bCs/>
          <w:kern w:val="0"/>
          <w:szCs w:val="32"/>
        </w:rPr>
        <w:t>三、项目组织实施情况分析</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rPr>
        <w:t>（一）项目组织情况分析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度组织实施的项目招投标工作均本着公平、公正、科学、择优的原则，严格按照有关规定进行招标，在指定媒介发布招标公告，并按公告约定时间、地点开标、评标。开标、评标过程均受财政、纪检等行政监督部门行政监督。</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（二）项目管理情况分析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eastAsia="黑体"/>
          <w:bCs/>
          <w:kern w:val="0"/>
          <w:szCs w:val="32"/>
        </w:rPr>
      </w:pPr>
      <w:r>
        <w:rPr>
          <w:rFonts w:eastAsia="黑体"/>
          <w:bCs/>
          <w:kern w:val="0"/>
          <w:szCs w:val="32"/>
        </w:rPr>
        <w:t>四、部门整体支出绩效情况分析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（一）单位总支出情况的绩效分析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度支出总额9899.64万元，其中基本支出2143.24万元，基本支出保障了单位正常运转的日常支出，包括基本工资、津贴补贴等人员经费以及办公费、水电费、差旅费等日常公用经费；项目支出金额7756.41万元，项目支出主要用于垃圾场整改、垃圾场填埋及渗滤液处理、环卫一体化、市政设施、城区路灯亮化及绿化维护等支出，包括办公费、印刷费、委托业务费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（二）单位项目资金绩效分析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1、项目基本情况简介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年初预算数为3767.74万元，年中追加预算为6131.9万元，共计9899.64万元。是指单位为完成特定行政工作任务或事业发展目标而发生的支出。其中，垃圾场整改3592.31万元、垃圾场填埋及渗滤液处理项目费用1450.01万元、环卫一体化1958.13万元、市政设施维修维护等费用521.37万元、路灯电费203.86万元、驻村帮扶30.73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2、项目组织实施情况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环卫一体化服务项目：2017年4月24日，安化县住房和城乡建设局与长沙中联重科环境产业有限公司签订了特许经营权为25年的PPP项目。2021年，购买服务费达到1734.84万元/年。目前由安化县城市管理和综合执法局按月根据考核细则负责考核付费，2022年共计付费1958.13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（2）垃圾场填埋服务项目：2021年4月15日，安化县城市管理和综合执法局与湖南迪亚环境工程有限公司签订了为期3年的垃圾场填埋作业承包合同，年运行费488万元/年，2022年共计付费221.20万元。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垃圾场渗滤液处理服务项目：2019年12月与湖南天为环保科技有限公司签订了为期5年的渗滤液处理服务项目，年运行费480万元/年，因设备受损，2022年共计付费48.56万元；2021年8月与广东锦帆公司签订了临时应急处理服务合同，按实际达标产水量计价（85元/吨）。2022年共计付费1180.25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市政设施维修维护项目：</w:t>
      </w:r>
      <w:r>
        <w:rPr>
          <w:rFonts w:hint="default" w:ascii="Times New Roman" w:hAnsi="Times New Roman" w:eastAsia="仿宋_GB2312" w:cs="Times New Roman"/>
          <w:color w:val="auto"/>
          <w:kern w:val="0"/>
          <w:sz w:val="32"/>
          <w:szCs w:val="32"/>
          <w:lang w:val="en-US" w:eastAsia="zh-CN" w:bidi="ar-SA"/>
        </w:rPr>
        <w:t>20</w:t>
      </w:r>
      <w:r>
        <w:rPr>
          <w:rFonts w:hint="eastAsia" w:ascii="Times New Roman" w:hAnsi="Times New Roman" w:eastAsia="仿宋_GB2312" w:cs="Times New Roman"/>
          <w:color w:val="auto"/>
          <w:kern w:val="0"/>
          <w:sz w:val="32"/>
          <w:szCs w:val="32"/>
          <w:lang w:val="en-US" w:eastAsia="zh-CN" w:bidi="ar-SA"/>
        </w:rPr>
        <w:t>21</w:t>
      </w:r>
      <w:r>
        <w:rPr>
          <w:rFonts w:hint="default" w:ascii="Times New Roman" w:hAnsi="Times New Roman" w:eastAsia="仿宋_GB2312" w:cs="Times New Roman"/>
          <w:color w:val="auto"/>
          <w:kern w:val="0"/>
          <w:sz w:val="32"/>
          <w:szCs w:val="32"/>
          <w:lang w:val="en-US" w:eastAsia="zh-CN" w:bidi="ar-SA"/>
        </w:rPr>
        <w:t>年</w:t>
      </w:r>
      <w:r>
        <w:rPr>
          <w:rFonts w:hint="eastAsia" w:ascii="Times New Roman" w:hAnsi="Times New Roman" w:eastAsia="仿宋_GB2312" w:cs="Times New Roman"/>
          <w:color w:val="auto"/>
          <w:kern w:val="0"/>
          <w:sz w:val="32"/>
          <w:szCs w:val="32"/>
          <w:lang w:val="en-US" w:eastAsia="zh-CN" w:bidi="ar-SA"/>
        </w:rPr>
        <w:t>10</w:t>
      </w:r>
      <w:r>
        <w:rPr>
          <w:rFonts w:hint="default" w:ascii="Times New Roman" w:hAnsi="Times New Roman" w:eastAsia="仿宋_GB2312" w:cs="Times New Roman"/>
          <w:color w:val="auto"/>
          <w:kern w:val="0"/>
          <w:sz w:val="32"/>
          <w:szCs w:val="32"/>
          <w:lang w:val="en-US" w:eastAsia="zh-CN" w:bidi="ar-SA"/>
        </w:rPr>
        <w:t>月与湖南上林环境景观工程有限公司签订了为期3年的城区绿化补植、养护及维护合同，服务费</w:t>
      </w:r>
      <w:r>
        <w:rPr>
          <w:rFonts w:hint="eastAsia" w:ascii="Times New Roman" w:hAnsi="Times New Roman" w:eastAsia="仿宋_GB2312" w:cs="Times New Roman"/>
          <w:color w:val="auto"/>
          <w:kern w:val="0"/>
          <w:sz w:val="32"/>
          <w:szCs w:val="32"/>
          <w:lang w:val="en-US" w:eastAsia="zh-CN" w:bidi="ar-SA"/>
        </w:rPr>
        <w:t>125.83</w:t>
      </w:r>
      <w:r>
        <w:rPr>
          <w:rFonts w:hint="default" w:ascii="Times New Roman" w:hAnsi="Times New Roman" w:eastAsia="仿宋_GB2312" w:cs="Times New Roman"/>
          <w:color w:val="auto"/>
          <w:kern w:val="0"/>
          <w:sz w:val="32"/>
          <w:szCs w:val="32"/>
          <w:lang w:val="en-US" w:eastAsia="zh-CN" w:bidi="ar-SA"/>
        </w:rPr>
        <w:t>万元/年；2019年8月1日与安化九源建筑有限公司签订了为期3年的城区路灯亮化工程维修合同，服务费68.8万元/年；202</w:t>
      </w:r>
      <w:r>
        <w:rPr>
          <w:rFonts w:hint="eastAsia" w:ascii="Times New Roman" w:hAnsi="Times New Roman" w:eastAsia="仿宋_GB2312" w:cs="Times New Roman"/>
          <w:color w:val="auto"/>
          <w:kern w:val="0"/>
          <w:sz w:val="32"/>
          <w:szCs w:val="32"/>
          <w:lang w:val="en-US" w:eastAsia="zh-CN" w:bidi="ar-SA"/>
        </w:rPr>
        <w:t>1</w:t>
      </w:r>
      <w:r>
        <w:rPr>
          <w:rFonts w:hint="default" w:ascii="Times New Roman" w:hAnsi="Times New Roman" w:eastAsia="仿宋_GB2312" w:cs="Times New Roman"/>
          <w:color w:val="auto"/>
          <w:kern w:val="0"/>
          <w:sz w:val="32"/>
          <w:szCs w:val="32"/>
          <w:lang w:val="en-US" w:eastAsia="zh-CN" w:bidi="ar-SA"/>
        </w:rPr>
        <w:t>年</w:t>
      </w:r>
      <w:r>
        <w:rPr>
          <w:rFonts w:hint="eastAsia" w:ascii="Times New Roman" w:hAnsi="Times New Roman" w:eastAsia="仿宋_GB2312" w:cs="Times New Roman"/>
          <w:color w:val="auto"/>
          <w:kern w:val="0"/>
          <w:sz w:val="32"/>
          <w:szCs w:val="32"/>
          <w:lang w:val="en-US" w:eastAsia="zh-CN" w:bidi="ar-SA"/>
        </w:rPr>
        <w:t>10</w:t>
      </w:r>
      <w:r>
        <w:rPr>
          <w:rFonts w:hint="default" w:ascii="Times New Roman" w:hAnsi="Times New Roman" w:eastAsia="仿宋_GB2312" w:cs="Times New Roman"/>
          <w:color w:val="auto"/>
          <w:kern w:val="0"/>
          <w:sz w:val="32"/>
          <w:szCs w:val="32"/>
          <w:lang w:val="en-US" w:eastAsia="zh-CN" w:bidi="ar-SA"/>
        </w:rPr>
        <w:t>月与</w:t>
      </w:r>
      <w:r>
        <w:rPr>
          <w:rFonts w:hint="eastAsia" w:ascii="Times New Roman" w:hAnsi="Times New Roman" w:eastAsia="仿宋_GB2312" w:cs="Times New Roman"/>
          <w:color w:val="auto"/>
          <w:kern w:val="0"/>
          <w:sz w:val="32"/>
          <w:szCs w:val="32"/>
          <w:lang w:val="en-US" w:eastAsia="zh-CN" w:bidi="ar-SA"/>
        </w:rPr>
        <w:t>青山铺建设工程</w:t>
      </w:r>
      <w:r>
        <w:rPr>
          <w:rFonts w:hint="default" w:ascii="Times New Roman" w:hAnsi="Times New Roman" w:eastAsia="仿宋_GB2312" w:cs="Times New Roman"/>
          <w:color w:val="auto"/>
          <w:kern w:val="0"/>
          <w:sz w:val="32"/>
          <w:szCs w:val="32"/>
          <w:lang w:val="en-US" w:eastAsia="zh-CN" w:bidi="ar-SA"/>
        </w:rPr>
        <w:t>公司签订了为期</w:t>
      </w:r>
      <w:r>
        <w:rPr>
          <w:rFonts w:hint="eastAsia" w:ascii="Times New Roman" w:hAnsi="Times New Roman" w:eastAsia="仿宋_GB2312" w:cs="Times New Roman"/>
          <w:color w:val="auto"/>
          <w:kern w:val="0"/>
          <w:sz w:val="32"/>
          <w:szCs w:val="32"/>
          <w:lang w:val="en-US" w:eastAsia="zh-CN" w:bidi="ar-SA"/>
        </w:rPr>
        <w:t>3</w:t>
      </w:r>
      <w:r>
        <w:rPr>
          <w:rFonts w:hint="default" w:ascii="Times New Roman" w:hAnsi="Times New Roman" w:eastAsia="仿宋_GB2312" w:cs="Times New Roman"/>
          <w:color w:val="auto"/>
          <w:kern w:val="0"/>
          <w:sz w:val="32"/>
          <w:szCs w:val="32"/>
          <w:lang w:val="en-US" w:eastAsia="zh-CN" w:bidi="ar-SA"/>
        </w:rPr>
        <w:t>年的县城道路、人行道、雨水管网维修合同，服务费</w:t>
      </w:r>
      <w:r>
        <w:rPr>
          <w:rFonts w:hint="eastAsia" w:ascii="Times New Roman" w:hAnsi="Times New Roman" w:eastAsia="仿宋_GB2312" w:cs="Times New Roman"/>
          <w:color w:val="auto"/>
          <w:kern w:val="0"/>
          <w:sz w:val="32"/>
          <w:szCs w:val="32"/>
          <w:lang w:val="en-US" w:eastAsia="zh-CN" w:bidi="ar-SA"/>
        </w:rPr>
        <w:t>99.70</w:t>
      </w:r>
      <w:r>
        <w:rPr>
          <w:rFonts w:hint="default" w:ascii="Times New Roman" w:hAnsi="Times New Roman" w:eastAsia="仿宋_GB2312" w:cs="Times New Roman"/>
          <w:color w:val="auto"/>
          <w:kern w:val="0"/>
          <w:sz w:val="32"/>
          <w:szCs w:val="32"/>
          <w:lang w:val="en-US" w:eastAsia="zh-CN" w:bidi="ar-SA"/>
        </w:rPr>
        <w:t>万元/年。</w:t>
      </w:r>
      <w:r>
        <w:rPr>
          <w:rFonts w:hint="eastAsia" w:ascii="Times New Roman" w:hAnsi="Times New Roman" w:eastAsia="仿宋_GB2312" w:cs="Times New Roman"/>
          <w:color w:val="auto"/>
          <w:kern w:val="0"/>
          <w:sz w:val="32"/>
          <w:szCs w:val="32"/>
          <w:lang w:val="en-US" w:eastAsia="zh-CN" w:bidi="ar-SA"/>
        </w:rPr>
        <w:t>城区路灯LED节能改造243.82万元；</w:t>
      </w:r>
      <w:r>
        <w:rPr>
          <w:rFonts w:hint="default" w:ascii="Times New Roman" w:hAnsi="Times New Roman" w:eastAsia="仿宋_GB2312" w:cs="Times New Roman"/>
          <w:color w:val="auto"/>
          <w:kern w:val="0"/>
          <w:sz w:val="32"/>
          <w:szCs w:val="32"/>
          <w:lang w:val="en-US" w:eastAsia="zh-CN" w:bidi="ar-SA"/>
        </w:rPr>
        <w:t>202</w:t>
      </w:r>
      <w:r>
        <w:rPr>
          <w:rFonts w:hint="eastAsia"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lang w:val="en-US" w:eastAsia="zh-CN" w:bidi="ar-SA"/>
        </w:rPr>
        <w:t>年共计付费</w:t>
      </w:r>
      <w:r>
        <w:rPr>
          <w:rFonts w:hint="eastAsia" w:ascii="Times New Roman" w:hAnsi="Times New Roman" w:eastAsia="仿宋_GB2312" w:cs="Times New Roman"/>
          <w:color w:val="auto"/>
          <w:kern w:val="0"/>
          <w:sz w:val="32"/>
          <w:szCs w:val="32"/>
          <w:lang w:val="en-US" w:eastAsia="zh-CN" w:bidi="ar-SA"/>
        </w:rPr>
        <w:t>521.37</w:t>
      </w:r>
      <w:r>
        <w:rPr>
          <w:rFonts w:hint="default" w:ascii="Times New Roman" w:hAnsi="Times New Roman" w:eastAsia="仿宋_GB2312" w:cs="Times New Roman"/>
          <w:color w:val="auto"/>
          <w:kern w:val="0"/>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各项制度落实到行动，日常工作正常运转，2022年县级资金项目的实施取得了一定的成果。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安化县东坪城区生活垃圾无害化处理填埋场整改处理项目，湖南爱一环保科技有限公司为实施主体，主要是完善库区雨污分流改造，新建渗滤液处理系统1座，处理规模为500m³/d及相关配套工程；对原渗滤液处理系统进行升级改造，以及建设渗滤液抽排井、地下水监测井、尾水排放管网等辅助内容，保证工程质量安全，目前整改已销号。项目实施后，改善了流域生态环境，营造了洁净、优美的城市环境，促进了生态城市建设。</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安化县城乡环卫一体化垃圾收运体系PPP项目由长沙中联重科环境产业有限公司作为实施主体，县城管局负责管理及考核。项目实施后，环境卫生质量得到明显改善，给广大居民创造优美的工作、生活环境，取得了良好的社会效益。同时，也带动了安化县的旅游产业，促进了当地的经济发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安化县东坪城区生活垃圾无害化处理填埋场渗滤液处理项目，主要是垃圾场垃圾填埋及渗滤液处理，此项目为第三方运营托管服务，实行总承包委托运营。根据日常运行记录和水质监测化验结果，渗滤液经污水设备处理后达到GB16889-2008《生活垃圾填埋场污染控制标准》一级标准。项目实施后，改善了流域生态环境，营造了洁净、优美的城市环境，促进了生态城市建设，实现了环境与经济效益的双赢。</w:t>
      </w:r>
    </w:p>
    <w:p>
      <w:pPr>
        <w:keepNext w:val="0"/>
        <w:keepLines w:val="0"/>
        <w:pageBreakBefore w:val="0"/>
        <w:widowControl/>
        <w:kinsoku/>
        <w:wordWrap/>
        <w:overflowPunct/>
        <w:topLinePunct w:val="0"/>
        <w:autoSpaceDE/>
        <w:autoSpaceDN/>
        <w:bidi w:val="0"/>
        <w:adjustRightInd/>
        <w:spacing w:line="600" w:lineRule="exact"/>
        <w:ind w:firstLine="640" w:firstLineChars="200"/>
        <w:rPr>
          <w:kern w:val="0"/>
          <w:szCs w:val="32"/>
        </w:rPr>
      </w:pPr>
      <w:r>
        <w:rPr>
          <w:rFonts w:eastAsia="黑体"/>
          <w:bCs/>
          <w:kern w:val="0"/>
          <w:szCs w:val="32"/>
        </w:rPr>
        <w:t>五、绩效评价工作开展情况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（一）绩效评价目的。</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通过对该局开展部门整体支出绩效评价， 全面了解分析县城管执法局部门预算执行及公开、</w:t>
      </w:r>
      <w:r>
        <w:rPr>
          <w:rFonts w:hint="eastAsia" w:ascii="Times New Roman" w:hAnsi="Times New Roman" w:eastAsia="仿宋_GB2312" w:cs="Times New Roman"/>
          <w:color w:val="auto"/>
          <w:kern w:val="0"/>
          <w:sz w:val="32"/>
          <w:szCs w:val="32"/>
          <w:lang w:val="zh-CN" w:eastAsia="zh-CN" w:bidi="ar-SA"/>
        </w:rPr>
        <w:t>“三</w:t>
      </w:r>
      <w:r>
        <w:rPr>
          <w:rFonts w:hint="eastAsia" w:ascii="Times New Roman" w:hAnsi="Times New Roman" w:eastAsia="仿宋_GB2312" w:cs="Times New Roman"/>
          <w:color w:val="auto"/>
          <w:kern w:val="0"/>
          <w:sz w:val="32"/>
          <w:szCs w:val="32"/>
          <w:lang w:val="en-US" w:eastAsia="zh-CN" w:bidi="ar-SA"/>
        </w:rPr>
        <w:t>公”经费管理、 相关政策制度执行、资产管理及部门工作绩效等情况，使我局进一步围绕绩效目标开展工作，加强财务管理，强化支出责任，提髙财政资金使用绩效。</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（二）绩效评价工作过程，主要包括前期准备、组织实施和分析评价以及自评结果等内容。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我局明确了工作职责和分工，制定了切实可行的评价方案。根据各业务股室的情况汇报和提交的工作计划、工作总结等资料，评价小组现场进行询查和核实，根据确定的评价指标、评价标准和评价方法统一打分，形成自评结论。</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我局2022年度严格执行年初部门预算，资金使用及管理规范，制度落实到位，绩效考核目标任务圆满完成，我局自评结果为93.7分（具体见评分表）。</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eastAsia="黑体"/>
          <w:bCs/>
          <w:kern w:val="0"/>
          <w:szCs w:val="32"/>
        </w:rPr>
      </w:pPr>
      <w:r>
        <w:rPr>
          <w:rFonts w:eastAsia="黑体"/>
          <w:bCs/>
          <w:kern w:val="0"/>
          <w:szCs w:val="32"/>
        </w:rPr>
        <w:t>六、存在的主要问题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bookmarkStart w:id="1" w:name="bookmark24"/>
      <w:r>
        <w:rPr>
          <w:rFonts w:hint="eastAsia" w:ascii="Times New Roman" w:hAnsi="Times New Roman" w:eastAsia="仿宋_GB2312" w:cs="Times New Roman"/>
          <w:color w:val="auto"/>
          <w:kern w:val="0"/>
          <w:sz w:val="32"/>
          <w:szCs w:val="32"/>
          <w:lang w:val="en-US" w:eastAsia="zh-CN" w:bidi="ar-SA"/>
        </w:rPr>
        <w:t>（</w:t>
      </w:r>
      <w:bookmarkEnd w:id="1"/>
      <w:r>
        <w:rPr>
          <w:rFonts w:hint="eastAsia" w:ascii="Times New Roman" w:hAnsi="Times New Roman" w:eastAsia="仿宋_GB2312" w:cs="Times New Roman"/>
          <w:color w:val="auto"/>
          <w:kern w:val="0"/>
          <w:sz w:val="32"/>
          <w:szCs w:val="32"/>
          <w:lang w:val="en-US" w:eastAsia="zh-CN" w:bidi="ar-SA"/>
        </w:rPr>
        <w:t>一）预算编制存在资金缺口。</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2022年度部门决算一般公共预算财政拨款支出总额 9899.64万元，而年初预算为3767.74万元。其中，基本支出2143.23万元，为年初预算1077.24万元的198.96%；项目支出7756.41万元，为年初预算2690.50万元的288.29%。年初预算未能反映单位资金需求的全貌，但因工作需要，部分必须支出的费用只能在年中追加项目经费中列支或在往来资金中列支。年中追加的项目资金是年初预算的</w:t>
      </w:r>
      <w:r>
        <w:rPr>
          <w:rFonts w:hint="eastAsia" w:cs="Times New Roman"/>
          <w:color w:val="auto"/>
          <w:kern w:val="0"/>
          <w:sz w:val="32"/>
          <w:szCs w:val="32"/>
          <w:lang w:val="en-US" w:eastAsia="zh-CN" w:bidi="ar-SA"/>
        </w:rPr>
        <w:t>1.6</w:t>
      </w:r>
      <w:r>
        <w:rPr>
          <w:rFonts w:hint="eastAsia" w:ascii="Times New Roman" w:hAnsi="Times New Roman" w:eastAsia="仿宋_GB2312" w:cs="Times New Roman"/>
          <w:color w:val="auto"/>
          <w:kern w:val="0"/>
          <w:sz w:val="32"/>
          <w:szCs w:val="32"/>
          <w:lang w:val="en-US" w:eastAsia="zh-CN" w:bidi="ar-SA"/>
        </w:rPr>
        <w:t>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（二）预算编制不合理。</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县执法局2022年有16台执勤用车，其他车辆19台。因不在公车序列平台，2022年无预算，实际执勤用车运行维护费支出达50万元。预算编制没有考虑该项开支，造成支出挤占其他资金。</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（三）预算与决算存在偏差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由于目前的预算管理在编制和实施中还存在编制不细、预算调整较多、追加预算比重较大等现象，因此预算执行的准确性还存在一定程度上的偏差。</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黑体" w:cs="Times New Roman"/>
          <w:bCs/>
          <w:color w:val="auto"/>
          <w:kern w:val="0"/>
          <w:szCs w:val="32"/>
          <w:lang w:val="en-US" w:eastAsia="zh-CN"/>
        </w:rPr>
      </w:pPr>
      <w:r>
        <w:rPr>
          <w:rFonts w:hint="eastAsia" w:ascii="Times New Roman" w:hAnsi="Times New Roman" w:eastAsia="黑体" w:cs="Times New Roman"/>
          <w:bCs/>
          <w:color w:val="auto"/>
          <w:kern w:val="0"/>
          <w:szCs w:val="32"/>
          <w:lang w:val="en-US" w:eastAsia="zh-CN"/>
        </w:rPr>
        <w:t>七、改进措施和有关建议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1、强化预算编制工作，提高预算编制的质量。</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对年初预算经费不足的情况，进一步加强预算编制管理，公用经费根据单位的年度工作重点和项目专项工作规划，本着“勤俭节约、保障运转”的原则进行编制；编制范围尽可能的全面，不漏项；在预算编制时首先需满足固定性的、相对刚性的费用支出项目，尽量压缩变动性的费用项目；进一步提高预算编制的科学性、合理性、严谨性和可控性。同时会同相关部门解决预算资金缺口问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2、对专项资金设定绩效量化目标，强化预算执行动态监控。</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绩效目标实行多目标管理，可分为总目标、阶段性目标，尽可能细化、量化。预算管理机构按照预算方案适时跟踪和监督资金投向及预算执行情况，随时把握预算执行进程和均衡性。在项目实施过程中如实际情况发生变化及时调整预算和绩效目标，充分发挥资金的使用效益。</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3、建议专款专用。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在使用项目资金时，要始终坚持专款专用，按下达的任务和预算，合理、正确的核算和归集项目各项费用，不得超范围使用资金，不得挤占专项资金。</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4、建议加强组织协调，夯实决算工作基础。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决算报表的编报口径与单位预算衔接一致，做好预算执行、账户管理、收支清理、会计核算等工作，确保部门决算信息全面完整，建立多层次的决算审核工作机制。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p>
    <w:p>
      <w:pPr>
        <w:keepNext w:val="0"/>
        <w:keepLines w:val="0"/>
        <w:pageBreakBefore w:val="0"/>
        <w:kinsoku/>
        <w:wordWrap/>
        <w:overflowPunct/>
        <w:topLinePunct w:val="0"/>
        <w:autoSpaceDE/>
        <w:autoSpaceDN/>
        <w:bidi w:val="0"/>
        <w:adjustRightInd/>
        <w:spacing w:line="600" w:lineRule="exact"/>
        <w:rPr>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701" w:wrap="around" w:vAnchor="text" w:hAnchor="margin" w:xAlign="outside" w:y="1"/>
      <w:jc w:val="center"/>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w:t>
    </w:r>
    <w:r>
      <w:rPr>
        <w:sz w:val="28"/>
        <w:szCs w:val="28"/>
      </w:rPr>
      <w:fldChar w:fldCharType="end"/>
    </w:r>
    <w:r>
      <w:rPr>
        <w:rFonts w:hint="eastAsia"/>
        <w:sz w:val="28"/>
        <w:szCs w:val="28"/>
      </w:rPr>
      <w:t xml:space="preserve"> </w:t>
    </w:r>
    <w:r>
      <w:rPr>
        <w:rStyle w:val="7"/>
        <w:rFonts w:hint="eastAsia"/>
        <w:sz w:val="28"/>
        <w:szCs w:val="28"/>
      </w:rPr>
      <w:t>—</w:t>
    </w:r>
  </w:p>
  <w:p>
    <w:pPr>
      <w:pStyle w:val="3"/>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7CA37"/>
    <w:multiLevelType w:val="singleLevel"/>
    <w:tmpl w:val="AD67CA37"/>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2U1MzdkY2I2ODQ5MzlkYTY0ZTQ0M2U5ZjM3ZTUifQ=="/>
  </w:docVars>
  <w:rsids>
    <w:rsidRoot w:val="381B0A52"/>
    <w:rsid w:val="01D0693F"/>
    <w:rsid w:val="0636392C"/>
    <w:rsid w:val="0A173452"/>
    <w:rsid w:val="0A8C7FBE"/>
    <w:rsid w:val="19F47A8F"/>
    <w:rsid w:val="1B3D3D80"/>
    <w:rsid w:val="1C1F5136"/>
    <w:rsid w:val="1CCE090A"/>
    <w:rsid w:val="25FD2876"/>
    <w:rsid w:val="2F17755D"/>
    <w:rsid w:val="355A6D87"/>
    <w:rsid w:val="35A83B1E"/>
    <w:rsid w:val="381B0A52"/>
    <w:rsid w:val="398E0F0F"/>
    <w:rsid w:val="3CC13C83"/>
    <w:rsid w:val="3CEA1AF1"/>
    <w:rsid w:val="3EDC0354"/>
    <w:rsid w:val="3FDD483D"/>
    <w:rsid w:val="46195EE9"/>
    <w:rsid w:val="465F5550"/>
    <w:rsid w:val="481758C5"/>
    <w:rsid w:val="4BA91A77"/>
    <w:rsid w:val="5419348E"/>
    <w:rsid w:val="562106D0"/>
    <w:rsid w:val="601479AF"/>
    <w:rsid w:val="60893C31"/>
    <w:rsid w:val="6A280954"/>
    <w:rsid w:val="6DDC4041"/>
    <w:rsid w:val="6EA72352"/>
    <w:rsid w:val="70CB4366"/>
    <w:rsid w:val="76BE39D4"/>
    <w:rsid w:val="771834D1"/>
    <w:rsid w:val="771F2A69"/>
    <w:rsid w:val="7A2A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00" w:beforeLines="0" w:beforeAutospacing="1" w:after="100" w:afterLines="0" w:afterAutospacing="1"/>
    </w:pPr>
    <w:rPr>
      <w:rFonts w:eastAsia="黑体"/>
      <w:bCs/>
      <w:cap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8765</Words>
  <Characters>9502</Characters>
  <Lines>0</Lines>
  <Paragraphs>0</Paragraphs>
  <TotalTime>270</TotalTime>
  <ScaleCrop>false</ScaleCrop>
  <LinksUpToDate>false</LinksUpToDate>
  <CharactersWithSpaces>9716</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2023-07-11T01:41:00Z</dcterms:created>
  <dc:creator>lenovo</dc:creator>
  <cp:lastModifiedBy>Administrator</cp:lastModifiedBy>
  <cp:lastPrinted>2023-07-12T03:57:00Z</cp:lastPrinted>
  <dcterms:modified xsi:type="dcterms:W3CDTF">2023-07-17T01:35:48Z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CDC5D818FDC740C1A3850A14136D9659</vt:lpwstr>
  </property>
</Properties>
</file>