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7347A9D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2023年度</w:t>
      </w:r>
      <w:bookmarkStart w:id="0" w:name="_GoBack"/>
      <w:r>
        <w:rPr>
          <w:rFonts w:hint="eastAsia" w:ascii="微软雅黑" w:hAnsi="微软雅黑" w:eastAsia="微软雅黑" w:cs="微软雅黑"/>
          <w:sz w:val="52"/>
          <w:szCs w:val="52"/>
          <w:lang w:val="en-US" w:eastAsia="zh-CN"/>
        </w:rPr>
        <w:t>中共安化县委组织部</w:t>
      </w:r>
      <w:bookmarkEnd w:id="0"/>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5"/>
      </w:pPr>
    </w:p>
    <w:p w14:paraId="311F1E4D">
      <w:pPr>
        <w:widowControl/>
        <w:ind w:firstLine="361" w:firstLineChars="100"/>
        <w:rPr>
          <w:rFonts w:hint="eastAsia" w:ascii="楷体" w:hAnsi="楷体" w:eastAsia="楷体" w:cs="楷体"/>
          <w:b/>
          <w:bCs/>
          <w:kern w:val="0"/>
          <w:sz w:val="36"/>
          <w:szCs w:val="36"/>
        </w:rPr>
      </w:pPr>
    </w:p>
    <w:p w14:paraId="7D7DCF73">
      <w:pPr>
        <w:widowControl/>
        <w:ind w:firstLine="2520" w:firstLineChars="700"/>
        <w:jc w:val="both"/>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中共安化县委组织部</w:t>
      </w:r>
    </w:p>
    <w:p w14:paraId="70454183">
      <w:pPr>
        <w:widowControl/>
        <w:rPr>
          <w:rFonts w:hint="eastAsia" w:ascii="黑体" w:hAnsi="黑体" w:eastAsia="黑体" w:cs="黑体"/>
          <w:b w:val="0"/>
          <w:bCs w:val="0"/>
          <w:kern w:val="0"/>
          <w:sz w:val="48"/>
          <w:szCs w:val="48"/>
          <w:u w:val="single"/>
        </w:rPr>
      </w:pP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06</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7186672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14:paraId="3C6BC7E8">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年度中共安化县委组织部</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(一)2023年度重点工作</w:t>
      </w:r>
    </w:p>
    <w:p w14:paraId="04CBDB1E">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严格执行党的干部路线、方针、政策，负责全县干部队伍建设的宏观管理，拟订或参与拟订组织、干部、人事工作的政策、规定、制度。负责全县党的建设制度改革工作的规划研究、部署和组织实施。负责干部队伍建设的规划和指导工作。执行公务员管理政策和法律法规。负责干部监督工作，对党政领导干部选拔任用工作进行监督。负责制定全县干部教育工作规划，协调、指导全县干部教育培训工作。负责全县干部信息、人事档案、干部统计工作，负责全县组织系统信息网络建设。负责全县人才工作和人才队伍建设，研究拟订人才工作有关政策，协调落实专项重点人才工作。研究指导党组织建设工作。研究指导党员队伍建设工作。负责全县非公有制经济组织和社会组织党的建设工作。承担县委基层党建工作领导小组日常工作。负责组织工作的综合协调、督促检查和调查研究。负责全县老干部服务管理工作。负责全县的绩效考评工作。完成县委交办的其他任务。</w:t>
      </w:r>
    </w:p>
    <w:p w14:paraId="0AB67CC8">
      <w:pPr>
        <w:pStyle w:val="6"/>
        <w:shd w:val="clear" w:color="auto" w:fill="FFFFFF"/>
        <w:spacing w:before="0" w:beforeAutospacing="0" w:after="0" w:afterAutospacing="0" w:line="594" w:lineRule="exact"/>
        <w:ind w:firstLine="640" w:firstLineChars="200"/>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03817F0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2023年度整体支出总额1966.11万元，其中财政拨款收入1966.11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基本支出1008.63万元，是为保障各部门正常运转、完成日常工作任务而发生的各项支出，主要包括工资福利支出705.8万元，商品和服务支出194.13万元，对个人和家庭支出103.6万元,资本性支出5.1。</w:t>
      </w:r>
    </w:p>
    <w:p w14:paraId="5F0BD81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“三公”经费支出情况：2023年“三公”经费完成12.73万元，比上年减少3.04万元。</w:t>
      </w:r>
    </w:p>
    <w:p w14:paraId="0203E22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w:t>
      </w:r>
      <w:r>
        <w:rPr>
          <w:rFonts w:hint="eastAsia" w:ascii="Times New Roman" w:hAnsi="Times New Roman" w:eastAsia="仿宋_GB2312"/>
          <w:sz w:val="32"/>
          <w:szCs w:val="32"/>
        </w:rPr>
        <w:t>完成</w:t>
      </w:r>
      <w:r>
        <w:rPr>
          <w:rFonts w:hint="eastAsia" w:ascii="Times New Roman" w:hAnsi="Times New Roman" w:eastAsia="仿宋_GB2312"/>
          <w:sz w:val="32"/>
          <w:szCs w:val="32"/>
          <w:lang w:eastAsia="zh-CN"/>
        </w:rPr>
        <w:t>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与上年数相比无变化，主要是本年与上年都没有</w:t>
      </w:r>
      <w:r>
        <w:rPr>
          <w:rFonts w:hint="eastAsia" w:ascii="Times New Roman" w:hAnsi="Times New Roman" w:eastAsia="仿宋_GB2312"/>
          <w:sz w:val="32"/>
          <w:szCs w:val="32"/>
        </w:rPr>
        <w:t>因公出国（境）</w:t>
      </w:r>
      <w:r>
        <w:rPr>
          <w:rFonts w:hint="eastAsia" w:ascii="Times New Roman" w:hAnsi="Times New Roman" w:eastAsia="仿宋_GB2312"/>
          <w:sz w:val="32"/>
          <w:szCs w:val="32"/>
          <w:lang w:eastAsia="zh-CN"/>
        </w:rPr>
        <w:t>安排，也没有发生实际支出。</w:t>
      </w:r>
    </w:p>
    <w:p w14:paraId="7F3075E5">
      <w:pPr>
        <w:pStyle w:val="11"/>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12.73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98.14</w:t>
      </w:r>
      <w:r>
        <w:rPr>
          <w:rFonts w:hint="eastAsia" w:ascii="Times New Roman" w:hAnsi="Times New Roman" w:eastAsia="仿宋_GB2312"/>
          <w:sz w:val="32"/>
          <w:szCs w:val="32"/>
        </w:rPr>
        <w:t>%，决算数小于预算数的主要原因是按照中央、省委、省政府要求，厉行节约，继续严控“三公”经费。</w:t>
      </w:r>
    </w:p>
    <w:p w14:paraId="03291A3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w:t>
      </w:r>
      <w:r>
        <w:rPr>
          <w:rFonts w:hint="eastAsia" w:ascii="Times New Roman" w:hAnsi="Times New Roman" w:eastAsia="仿宋_GB2312"/>
          <w:sz w:val="32"/>
          <w:szCs w:val="32"/>
        </w:rPr>
        <w:t>完成</w:t>
      </w:r>
      <w:r>
        <w:rPr>
          <w:rFonts w:hint="eastAsia" w:ascii="Times New Roman" w:hAnsi="Times New Roman" w:eastAsia="仿宋_GB2312"/>
          <w:sz w:val="32"/>
          <w:szCs w:val="32"/>
          <w:lang w:eastAsia="zh-CN"/>
        </w:rPr>
        <w:t>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决算与预算数一致，主要是本年没有</w:t>
      </w:r>
      <w:r>
        <w:rPr>
          <w:rFonts w:hint="eastAsia" w:ascii="Times New Roman" w:hAnsi="Times New Roman" w:eastAsia="仿宋_GB2312"/>
          <w:sz w:val="32"/>
          <w:szCs w:val="32"/>
        </w:rPr>
        <w:t>公务用车购置</w:t>
      </w:r>
      <w:r>
        <w:rPr>
          <w:rFonts w:hint="eastAsia" w:ascii="Times New Roman" w:hAnsi="Times New Roman" w:eastAsia="仿宋_GB2312"/>
          <w:sz w:val="32"/>
          <w:szCs w:val="32"/>
          <w:lang w:eastAsia="zh-CN"/>
        </w:rPr>
        <w:t>安排，也没有发生实际支出。与上年相比无变化，主要是本年与上年都没有</w:t>
      </w:r>
      <w:r>
        <w:rPr>
          <w:rFonts w:hint="eastAsia" w:ascii="Times New Roman" w:hAnsi="Times New Roman" w:eastAsia="仿宋_GB2312"/>
          <w:sz w:val="32"/>
          <w:szCs w:val="32"/>
        </w:rPr>
        <w:t>公务用车购置</w:t>
      </w:r>
      <w:r>
        <w:rPr>
          <w:rFonts w:hint="eastAsia" w:ascii="Times New Roman" w:hAnsi="Times New Roman" w:eastAsia="仿宋_GB2312"/>
          <w:sz w:val="32"/>
          <w:szCs w:val="32"/>
          <w:lang w:eastAsia="zh-CN"/>
        </w:rPr>
        <w:t>安排，也没有发生实际支出。</w:t>
      </w:r>
    </w:p>
    <w:p w14:paraId="77B2C14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w:t>
      </w:r>
      <w:r>
        <w:rPr>
          <w:rFonts w:hint="eastAsia" w:ascii="Times New Roman" w:hAnsi="Times New Roman" w:eastAsia="仿宋_GB2312"/>
          <w:sz w:val="32"/>
          <w:szCs w:val="32"/>
        </w:rPr>
        <w:t>完成</w:t>
      </w:r>
      <w:r>
        <w:rPr>
          <w:rFonts w:hint="eastAsia" w:ascii="Times New Roman" w:hAnsi="Times New Roman" w:eastAsia="仿宋_GB2312"/>
          <w:sz w:val="32"/>
          <w:szCs w:val="32"/>
          <w:lang w:eastAsia="zh-CN"/>
        </w:rPr>
        <w:t>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决算与预算数一致，主要是本年没有</w:t>
      </w:r>
      <w:r>
        <w:rPr>
          <w:rFonts w:hint="eastAsia" w:ascii="Times New Roman" w:hAnsi="Times New Roman" w:eastAsia="仿宋_GB2312"/>
          <w:sz w:val="32"/>
          <w:szCs w:val="32"/>
        </w:rPr>
        <w:t>公务用车运行维护</w:t>
      </w:r>
      <w:r>
        <w:rPr>
          <w:rFonts w:hint="eastAsia" w:ascii="Times New Roman" w:hAnsi="Times New Roman" w:eastAsia="仿宋_GB2312"/>
          <w:sz w:val="32"/>
          <w:szCs w:val="32"/>
          <w:lang w:eastAsia="zh-CN"/>
        </w:rPr>
        <w:t>安排，也没有发生实际支出。</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项目支出957.48万元，包含：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以及运行维护经费等。主要用于负责安化县组织人事制度改革的规划、部署、组织实施和宏观管理。</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default" w:eastAsia="仿宋_GB2312"/>
          <w:lang w:val="en-US" w:eastAsia="zh-CN"/>
        </w:rPr>
      </w:pPr>
      <w:r>
        <w:rPr>
          <w:color w:val="232323"/>
          <w:sz w:val="32"/>
          <w:szCs w:val="32"/>
          <w:shd w:val="clear" w:color="auto" w:fill="FFFFFF"/>
        </w:rPr>
        <w:t>2023</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65D3F2F9">
      <w:pPr>
        <w:spacing w:line="594" w:lineRule="exact"/>
        <w:ind w:firstLine="640" w:firstLineChars="200"/>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2023年度支出总额</w:t>
      </w:r>
      <w:r>
        <w:rPr>
          <w:rFonts w:hint="eastAsia" w:ascii="仿宋" w:hAnsi="仿宋" w:eastAsia="仿宋" w:cs="仿宋"/>
          <w:b w:val="0"/>
          <w:bCs w:val="0"/>
          <w:i w:val="0"/>
          <w:iCs w:val="0"/>
          <w:caps w:val="0"/>
          <w:color w:val="3D3D3D"/>
          <w:spacing w:val="0"/>
          <w:sz w:val="32"/>
          <w:szCs w:val="32"/>
          <w:shd w:val="clear" w:color="auto" w:fill="FFFFFF"/>
          <w:lang w:val="en-US" w:eastAsia="zh-CN"/>
        </w:rPr>
        <w:t>1966.11</w:t>
      </w:r>
      <w:r>
        <w:rPr>
          <w:rFonts w:hint="eastAsia" w:ascii="Times New Roman" w:hAnsi="Times New Roman" w:eastAsia="仿宋_GB2312" w:cs="Times New Roman"/>
          <w:bCs/>
          <w:color w:val="auto"/>
          <w:kern w:val="2"/>
          <w:sz w:val="32"/>
          <w:szCs w:val="32"/>
          <w:highlight w:val="none"/>
          <w:lang w:val="en-US" w:eastAsia="zh-CN" w:bidi="ar-SA"/>
        </w:rPr>
        <w:t>万元，其中基本支出</w:t>
      </w:r>
      <w:r>
        <w:rPr>
          <w:rFonts w:hint="eastAsia" w:ascii="仿宋" w:hAnsi="仿宋" w:eastAsia="仿宋" w:cs="Times New Roman"/>
          <w:kern w:val="2"/>
          <w:sz w:val="32"/>
          <w:szCs w:val="24"/>
          <w:u w:val="none"/>
          <w:shd w:val="clear" w:color="auto" w:fill="auto"/>
          <w:lang w:val="en-US" w:eastAsia="zh-CN" w:bidi="ar-SA"/>
        </w:rPr>
        <w:t>1008.63</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957.48</w:t>
      </w:r>
      <w:r>
        <w:rPr>
          <w:rFonts w:hint="eastAsia" w:ascii="Times New Roman" w:hAnsi="Times New Roman" w:eastAsia="仿宋_GB2312" w:cs="Times New Roman"/>
          <w:bCs/>
          <w:color w:val="auto"/>
          <w:kern w:val="2"/>
          <w:sz w:val="32"/>
          <w:szCs w:val="32"/>
          <w:highlight w:val="none"/>
          <w:lang w:val="en-US" w:eastAsia="zh-CN" w:bidi="ar-SA"/>
        </w:rPr>
        <w:t>万元。</w:t>
      </w:r>
      <w:r>
        <w:rPr>
          <w:rFonts w:hint="eastAsia" w:ascii="Times New Roman" w:hAnsi="Times New Roman" w:eastAsia="仿宋_GB2312" w:cs="Times New Roman"/>
          <w:bCs/>
          <w:color w:val="auto"/>
          <w:kern w:val="2"/>
          <w:sz w:val="32"/>
          <w:szCs w:val="32"/>
          <w:highlight w:val="none"/>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31805A93">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14:paraId="62E653A6">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2、绩效管理的整体性上还有差距，管理体系需进一步健全。</w:t>
      </w:r>
    </w:p>
    <w:p w14:paraId="18A0011A">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3、绩效目标设定的科学性、时效性有待加强。</w:t>
      </w:r>
    </w:p>
    <w:p w14:paraId="201C221B">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4、部机关监督管理制度还有待健全，某些方面制度执行还不严格。比如对专项资金的使用缺乏有效的监督，在项目资金使用时虽有详细的申报计划，但具体资金如何使用，有没有按计划进行等监督还不够。</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33625343">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14:paraId="1D234B24">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设置项目资金台账，严格财务管理，规范会计核算。严格区分“基本支出”和“项目支出”，凡属预算安排的项目资金，支出时应归集到“项目支出”并按预算项目的分类进行明细核算，避免混淆与挪项；制定专项资金管理办法，加强专项资金的追踪检查。</w:t>
      </w:r>
    </w:p>
    <w:p w14:paraId="7EAC497C">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人员业务水平。结合上一年度预算执行情况及本年度预算收支变化因素，根据单位具体绩效目标，科学编制本年度预算，力求精准，尽量减少调项和追加，保持预算执行的严肃性。</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29228E1"/>
    <w:rsid w:val="074B01AA"/>
    <w:rsid w:val="14FF1319"/>
    <w:rsid w:val="257D691C"/>
    <w:rsid w:val="33357B76"/>
    <w:rsid w:val="3C0774ED"/>
    <w:rsid w:val="53246BC3"/>
    <w:rsid w:val="58057740"/>
    <w:rsid w:val="5E1C1B39"/>
    <w:rsid w:val="64B56C4A"/>
    <w:rsid w:val="6CB62BA9"/>
    <w:rsid w:val="6D445020"/>
    <w:rsid w:val="720A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pPr>
  </w:style>
  <w:style w:type="character" w:styleId="10">
    <w:name w:val="Strong"/>
    <w:basedOn w:val="9"/>
    <w:qFormat/>
    <w:uiPriority w:val="0"/>
    <w:rPr>
      <w:b/>
      <w:bCs/>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1898</Words>
  <Characters>2011</Characters>
  <Lines>0</Lines>
  <Paragraphs>0</Paragraphs>
  <TotalTime>0</TotalTime>
  <ScaleCrop>false</ScaleCrop>
  <LinksUpToDate>false</LinksUpToDate>
  <CharactersWithSpaces>2030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啊斌</cp:lastModifiedBy>
  <dcterms:modified xsi:type="dcterms:W3CDTF">2024-06-28T01:31:52Z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4DCAD72549A84EA8AFB75EAD4AC1CDD5_13</vt:lpwstr>
  </property>
</Properties>
</file>