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81352">
      <w:pPr>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hint="eastAsia" w:ascii="黑体" w:hAnsi="黑体" w:eastAsia="黑体" w:cs="黑体"/>
          <w:b w:val="0"/>
          <w:bCs/>
          <w:color w:val="000000"/>
          <w:kern w:val="0"/>
          <w:sz w:val="44"/>
          <w:szCs w:val="44"/>
        </w:rPr>
      </w:pPr>
      <w:bookmarkStart w:id="0" w:name="_GoBack"/>
      <w:r>
        <w:rPr>
          <w:rFonts w:hint="eastAsia" w:ascii="黑体" w:hAnsi="黑体" w:eastAsia="黑体" w:cs="黑体"/>
          <w:b w:val="0"/>
          <w:bCs/>
          <w:color w:val="000000"/>
          <w:kern w:val="0"/>
          <w:sz w:val="44"/>
          <w:szCs w:val="44"/>
        </w:rPr>
        <w:t>202</w:t>
      </w:r>
      <w:r>
        <w:rPr>
          <w:rFonts w:hint="eastAsia" w:ascii="黑体" w:hAnsi="黑体" w:eastAsia="黑体" w:cs="黑体"/>
          <w:b w:val="0"/>
          <w:bCs/>
          <w:color w:val="000000"/>
          <w:kern w:val="0"/>
          <w:sz w:val="44"/>
          <w:szCs w:val="44"/>
          <w:lang w:val="en-US" w:eastAsia="zh-CN"/>
        </w:rPr>
        <w:t>3</w:t>
      </w:r>
      <w:r>
        <w:rPr>
          <w:rFonts w:hint="eastAsia" w:ascii="黑体" w:hAnsi="黑体" w:eastAsia="黑体" w:cs="黑体"/>
          <w:b w:val="0"/>
          <w:bCs/>
          <w:color w:val="000000"/>
          <w:kern w:val="0"/>
          <w:sz w:val="44"/>
          <w:szCs w:val="44"/>
        </w:rPr>
        <w:t>年度部门整体支出绩效</w:t>
      </w:r>
      <w:r>
        <w:rPr>
          <w:rFonts w:hint="eastAsia" w:ascii="黑体" w:hAnsi="黑体" w:eastAsia="黑体" w:cs="黑体"/>
          <w:b w:val="0"/>
          <w:bCs/>
          <w:color w:val="000000"/>
          <w:kern w:val="0"/>
          <w:sz w:val="44"/>
          <w:szCs w:val="44"/>
          <w:lang w:val="en-US" w:eastAsia="zh-CN"/>
        </w:rPr>
        <w:t>自评</w:t>
      </w:r>
      <w:r>
        <w:rPr>
          <w:rFonts w:hint="eastAsia" w:ascii="黑体" w:hAnsi="黑体" w:eastAsia="黑体" w:cs="黑体"/>
          <w:b w:val="0"/>
          <w:bCs/>
          <w:color w:val="000000"/>
          <w:kern w:val="0"/>
          <w:sz w:val="44"/>
          <w:szCs w:val="44"/>
        </w:rPr>
        <w:t>报告</w:t>
      </w:r>
    </w:p>
    <w:bookmarkEnd w:id="0"/>
    <w:p w14:paraId="5C4A58A6">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center"/>
        <w:textAlignment w:val="auto"/>
        <w:rPr>
          <w:rFonts w:hint="eastAsia" w:ascii="仿宋_GB2312" w:hAnsi="仿宋_GB2312" w:eastAsia="仿宋_GB2312" w:cs="仿宋_GB2312"/>
          <w:caps/>
          <w:kern w:val="2"/>
          <w:sz w:val="32"/>
          <w:szCs w:val="32"/>
          <w:lang w:val="en-US" w:eastAsia="zh-CN" w:bidi="ar-SA"/>
        </w:rPr>
      </w:pPr>
    </w:p>
    <w:p w14:paraId="4558EC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一、部门概况</w:t>
      </w:r>
    </w:p>
    <w:p w14:paraId="0CCC98FD">
      <w:pPr>
        <w:keepNext w:val="0"/>
        <w:keepLines w:val="0"/>
        <w:pageBreakBefore w:val="0"/>
        <w:kinsoku/>
        <w:wordWrap/>
        <w:overflowPunct/>
        <w:topLinePunct w:val="0"/>
        <w:autoSpaceDE/>
        <w:autoSpaceDN/>
        <w:bidi w:val="0"/>
        <w:adjustRightInd/>
        <w:spacing w:beforeAutospacing="0" w:afterAutospacing="0" w:line="560" w:lineRule="exact"/>
        <w:ind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（一）部门基本情况</w:t>
      </w:r>
    </w:p>
    <w:p w14:paraId="4CD2DE16">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一、主要职能</w:t>
      </w:r>
    </w:p>
    <w:p w14:paraId="1EE01F95">
      <w:pPr>
        <w:widowControl/>
        <w:shd w:val="clear" w:color="auto" w:fill="FFFFFF"/>
        <w:spacing w:before="0" w:beforeLines="0" w:beforeAutospacing="0" w:after="0" w:afterLines="0" w:afterAutospacing="0"/>
        <w:ind w:firstLine="600" w:firstLineChars="200"/>
        <w:jc w:val="left"/>
        <w:rPr>
          <w:rFonts w:hint="eastAsia" w:ascii="Arial" w:hAnsi="Arial" w:eastAsia="仿宋_GB2312"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1、贯彻执行上级党委、政府关于行政管理体制改革和机构改革及机构编制工作的方针、政策和法律法规；研究拟定全县行政管理体制改革和机构改革及机构编制管理的规定、办法和实施细则，并认真组织实施；统一管理全县各级党政机关、人大、政协机关以及各民主党派、人民团体机关的机构编制工作；检查监督各级机关行政管理体制改革和机构改革方案以及机构编制的执行情况。</w:t>
      </w:r>
    </w:p>
    <w:p w14:paraId="4823A2C0">
      <w:pPr>
        <w:widowControl/>
        <w:shd w:val="clear" w:color="auto" w:fill="FFFFFF"/>
        <w:spacing w:before="0" w:beforeLines="0" w:beforeAutospacing="0" w:after="0" w:afterLines="0" w:afterAutospacing="0"/>
        <w:ind w:firstLine="600" w:firstLineChars="200"/>
        <w:jc w:val="left"/>
        <w:rPr>
          <w:rFonts w:hint="eastAsia" w:ascii="Arial" w:hAnsi="Arial" w:eastAsia="仿宋_GB2312"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2、研究拟定全县行政管理体制改革与机构改革方案及相关规定；指导、协调全县各级行政管理体制改革和机构改革及机构编制管理工作。</w:t>
      </w:r>
    </w:p>
    <w:p w14:paraId="50F11BC9">
      <w:pPr>
        <w:widowControl/>
        <w:shd w:val="clear" w:color="auto" w:fill="FFFFFF"/>
        <w:spacing w:before="0" w:beforeLines="0" w:beforeAutospacing="0" w:after="0" w:afterLines="0" w:afterAutospacing="0"/>
        <w:ind w:firstLine="600" w:firstLineChars="200"/>
        <w:jc w:val="left"/>
        <w:rPr>
          <w:rFonts w:hint="eastAsia" w:ascii="Arial" w:hAnsi="Arial" w:eastAsia="仿宋_GB2312"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3、负责审核县委、县人民政府各部门职能配置、人员编制、内设机构及其领导职数；审核股级机构设置及副科级以上机构设置的呈报。</w:t>
      </w:r>
    </w:p>
    <w:p w14:paraId="48330849">
      <w:pPr>
        <w:widowControl/>
        <w:shd w:val="clear" w:color="auto" w:fill="FFFFFF"/>
        <w:spacing w:before="0" w:beforeLines="0" w:beforeAutospacing="0" w:after="0" w:afterLines="0" w:afterAutospacing="0"/>
        <w:ind w:firstLine="600" w:firstLineChars="200"/>
        <w:jc w:val="left"/>
        <w:rPr>
          <w:rFonts w:hint="eastAsia" w:ascii="Arial" w:hAnsi="Arial" w:eastAsia="仿宋_GB2312"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4、审核县人大、县政协和各民主党派、人民团体机关的人员编制、内设机构及其领导职数。</w:t>
      </w:r>
    </w:p>
    <w:p w14:paraId="6C4E49EF">
      <w:pPr>
        <w:widowControl/>
        <w:shd w:val="clear" w:color="auto" w:fill="FFFFFF"/>
        <w:spacing w:before="0" w:beforeLines="0" w:beforeAutospacing="0" w:after="0" w:afterLines="0" w:afterAutospacing="0"/>
        <w:ind w:firstLine="600" w:firstLineChars="200"/>
        <w:jc w:val="left"/>
        <w:rPr>
          <w:rFonts w:hint="eastAsia" w:ascii="Arial" w:hAnsi="Arial" w:eastAsia="仿宋_GB2312"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5、研究拟定全县事业单位管理体制和机构改革方案，负责事业单位机构编制管理工作；审核县委、县人民政府直属、各部门和乡镇所属事业单位的机构设置、职能配置、领导职数、人员编制；指导、协调全县各级各类事业单位管理体制改革和机构编制管理工作。会同县委组织部拟定县直副科级以上行政事业单位领导班子职数配备的意见。</w:t>
      </w:r>
    </w:p>
    <w:p w14:paraId="518CA8DB">
      <w:pPr>
        <w:widowControl/>
        <w:shd w:val="clear" w:color="auto" w:fill="FFFFFF"/>
        <w:spacing w:before="0" w:beforeLines="0" w:beforeAutospacing="0" w:after="0" w:afterLines="0" w:afterAutospacing="0"/>
        <w:ind w:firstLine="600" w:firstLineChars="200"/>
        <w:jc w:val="left"/>
        <w:rPr>
          <w:rFonts w:hint="eastAsia" w:ascii="Arial" w:hAnsi="Arial" w:eastAsia="仿宋_GB2312"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6、贯彻执行国家和省市有关事业单位登记管理的法律、法规、规章，拟定全县事业单位登记管理的规定、办法和实施细则，并组织实施；负责本级登记管辖范围内事业单位法人登记、变更、年检、注销管理和监督管理工作。</w:t>
      </w:r>
    </w:p>
    <w:p w14:paraId="0869318A">
      <w:pPr>
        <w:widowControl/>
        <w:shd w:val="clear" w:color="auto" w:fill="FFFFFF"/>
        <w:spacing w:before="0" w:beforeLines="0" w:beforeAutospacing="0" w:after="0" w:afterLines="0" w:afterAutospacing="0"/>
        <w:ind w:firstLine="600" w:firstLineChars="200"/>
        <w:jc w:val="left"/>
        <w:rPr>
          <w:rFonts w:hint="eastAsia" w:ascii="Arial" w:hAnsi="Arial" w:eastAsia="仿宋_GB2312"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7、负责全县机关事业单位机构编制实名制管理工作。维护和管理全县机构编制人员实名制信息库，建立健全机构编制实名制管理机制。</w:t>
      </w:r>
    </w:p>
    <w:p w14:paraId="0710F9D8">
      <w:pPr>
        <w:widowControl/>
        <w:shd w:val="clear" w:color="auto" w:fill="FFFFFF"/>
        <w:spacing w:before="0" w:beforeLines="0" w:beforeAutospacing="0" w:after="0" w:afterLines="0" w:afterAutospacing="0"/>
        <w:ind w:firstLine="600" w:firstLineChars="200"/>
        <w:jc w:val="left"/>
        <w:rPr>
          <w:rFonts w:hint="eastAsia" w:ascii="Arial" w:hAnsi="Arial" w:eastAsia="仿宋_GB2312"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8、负责对涉及人员调任、调动、人才引进、军转干部和退伍军人政策性安置、社会公开招考工作人员等人员调整的机关、事业单位进行编制核准，提出编制审核意见，报编委会审定。严格执行机构编制管理政策，负责人员入编审批手续。建立健全机构编制与人员工资、财政预算相互配合制约机制。</w:t>
      </w:r>
    </w:p>
    <w:p w14:paraId="2D68612C">
      <w:pPr>
        <w:widowControl/>
        <w:shd w:val="clear" w:color="auto" w:fill="FFFFFF"/>
        <w:spacing w:before="0" w:beforeLines="0" w:beforeAutospacing="0" w:after="0" w:afterLines="0" w:afterAutospacing="0"/>
        <w:ind w:firstLine="600" w:firstLineChars="200"/>
        <w:jc w:val="left"/>
        <w:rPr>
          <w:rFonts w:hint="eastAsia" w:ascii="Arial" w:hAnsi="Arial" w:eastAsia="仿宋_GB2312"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9、负责全县党政群机关和事业单位网上名称管理工作。推动“政务”、“公益”中文专用域名的应用普及，推动中文专用域名的规范注册和使用，加强对网上名称的监督检查工作。</w:t>
      </w:r>
    </w:p>
    <w:p w14:paraId="5DD003E8">
      <w:pPr>
        <w:widowControl/>
        <w:shd w:val="clear" w:color="auto" w:fill="FFFFFF"/>
        <w:spacing w:before="0" w:beforeLines="0" w:beforeAutospacing="0" w:after="0" w:afterLines="0" w:afterAutospacing="0"/>
        <w:ind w:firstLine="600" w:firstLineChars="200"/>
        <w:jc w:val="left"/>
        <w:rPr>
          <w:rFonts w:hint="default" w:ascii="Arial" w:hAnsi="Arial" w:eastAsia="宋体"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10、完成县委和县委机构编制委员会交办的其他任务。</w:t>
      </w:r>
    </w:p>
    <w:p w14:paraId="1B121A11">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二、机构设置</w:t>
      </w:r>
    </w:p>
    <w:p w14:paraId="683AB4CB">
      <w:pPr>
        <w:widowControl/>
        <w:shd w:val="clear" w:color="auto" w:fill="FFFFFF"/>
        <w:spacing w:before="0" w:beforeLines="0" w:beforeAutospacing="0" w:after="0" w:afterLines="0" w:afterAutospacing="0"/>
        <w:jc w:val="left"/>
        <w:rPr>
          <w:rFonts w:hint="eastAsia" w:ascii="Arial" w:hAnsi="Arial" w:eastAsia="宋体" w:cs="Arial"/>
          <w:color w:val="333333"/>
          <w:kern w:val="0"/>
          <w:sz w:val="30"/>
          <w:szCs w:val="30"/>
          <w:lang w:val="en-US" w:eastAsia="zh-CN" w:bidi="ar-SA"/>
        </w:rPr>
      </w:pPr>
      <w:r>
        <w:rPr>
          <w:rFonts w:ascii="Arial" w:hAnsi="Arial" w:eastAsia="仿宋_GB2312" w:cs="Arial"/>
          <w:color w:val="333333"/>
          <w:kern w:val="0"/>
          <w:sz w:val="30"/>
          <w:szCs w:val="30"/>
          <w:lang w:val="en-US" w:eastAsia="zh-CN" w:bidi="ar-SA"/>
        </w:rPr>
        <w:t>　　</w:t>
      </w:r>
      <w:r>
        <w:rPr>
          <w:rFonts w:hint="eastAsia" w:ascii="Arial" w:hAnsi="Arial" w:eastAsia="仿宋_GB2312" w:cs="Arial"/>
          <w:color w:val="333333"/>
          <w:kern w:val="0"/>
          <w:sz w:val="30"/>
          <w:szCs w:val="30"/>
          <w:lang w:val="en-US" w:eastAsia="zh-CN" w:bidi="ar-SA"/>
        </w:rPr>
        <w:t>根据编委核定，我办内设股室4个，内设股室分别是综合股、事业单位登记管理股、机构编制管理股、监督检查股。</w:t>
      </w:r>
    </w:p>
    <w:p w14:paraId="14FDF616">
      <w:pPr>
        <w:widowControl/>
        <w:shd w:val="clear" w:color="auto" w:fill="FFFFFF"/>
        <w:spacing w:before="0" w:beforeLines="0" w:beforeAutospacing="0" w:after="0" w:afterLines="0" w:afterAutospacing="0"/>
        <w:jc w:val="left"/>
        <w:rPr>
          <w:rFonts w:ascii="Arial" w:hAnsi="Arial" w:eastAsia="仿宋_GB2312" w:cs="Arial"/>
          <w:color w:val="333333"/>
          <w:kern w:val="0"/>
          <w:sz w:val="30"/>
          <w:szCs w:val="30"/>
          <w:lang w:val="en-US" w:eastAsia="zh-CN" w:bidi="ar-SA"/>
        </w:rPr>
      </w:pPr>
      <w:r>
        <w:rPr>
          <w:rFonts w:hint="eastAsia" w:ascii="Arial" w:hAnsi="Arial" w:eastAsia="仿宋_GB2312" w:cs="Arial"/>
          <w:color w:val="333333"/>
          <w:kern w:val="0"/>
          <w:sz w:val="30"/>
          <w:szCs w:val="30"/>
          <w:lang w:val="en-US" w:eastAsia="zh-CN" w:bidi="ar-SA"/>
        </w:rPr>
        <w:t>　　所属事业单位是安化县机构编制事务中心。</w:t>
      </w:r>
    </w:p>
    <w:p w14:paraId="110CDC8F">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三、在职人员情况</w:t>
      </w:r>
    </w:p>
    <w:p w14:paraId="133B8AA5">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年12月,</w:t>
      </w:r>
      <w:r>
        <w:rPr>
          <w:rFonts w:hint="eastAsia" w:ascii="仿宋_GB2312" w:hAnsi="仿宋_GB2312" w:eastAsia="仿宋_GB2312" w:cs="仿宋_GB2312"/>
          <w:sz w:val="32"/>
          <w:szCs w:val="32"/>
          <w:lang w:eastAsia="zh-CN"/>
        </w:rPr>
        <w:t>我办</w:t>
      </w:r>
      <w:r>
        <w:rPr>
          <w:rFonts w:hint="eastAsia" w:ascii="仿宋_GB2312" w:hAnsi="仿宋_GB2312" w:eastAsia="仿宋_GB2312" w:cs="仿宋_GB2312"/>
          <w:sz w:val="32"/>
          <w:szCs w:val="32"/>
        </w:rPr>
        <w:t>实有人数</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人。其中在职</w:t>
      </w:r>
      <w:r>
        <w:rPr>
          <w:rFonts w:hint="eastAsia" w:ascii="仿宋_GB2312" w:hAnsi="仿宋_GB2312" w:eastAsia="仿宋_GB2312" w:cs="仿宋_GB2312"/>
          <w:sz w:val="32"/>
          <w:szCs w:val="32"/>
          <w:lang w:val="en-US" w:eastAsia="zh-CN"/>
        </w:rPr>
        <w:t>11人。</w:t>
      </w:r>
    </w:p>
    <w:p w14:paraId="024C4175">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四、重点工作计划</w:t>
      </w:r>
    </w:p>
    <w:p w14:paraId="3E5B1FCA">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Times New Roman"/>
          <w:b w:val="0"/>
          <w:bCs/>
          <w:color w:val="auto"/>
          <w:kern w:val="2"/>
          <w:sz w:val="32"/>
          <w:szCs w:val="32"/>
          <w:lang w:val="en-US" w:eastAsia="zh-CN"/>
        </w:rPr>
        <w:t>1</w:t>
      </w:r>
      <w:r>
        <w:rPr>
          <w:rFonts w:hint="eastAsia" w:ascii="仿宋_GB2312" w:hAnsi="仿宋_GB2312" w:eastAsia="仿宋_GB2312" w:cs="仿宋_GB2312"/>
          <w:sz w:val="32"/>
          <w:szCs w:val="32"/>
          <w:lang w:val="en-US" w:eastAsia="zh-CN"/>
        </w:rPr>
        <w:t>.聚焦发展大局，着力深化体制机制改革</w:t>
      </w:r>
    </w:p>
    <w:p w14:paraId="7E4043CB">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2.坚持改革创新，不断优化编制资源配置</w:t>
      </w:r>
    </w:p>
    <w:p w14:paraId="293C93BA">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3.严肃编制纪律， 持续强化监督检查保障</w:t>
      </w:r>
    </w:p>
    <w:p w14:paraId="3D5658C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4.坚持政治引领，全面加强干部队伍建设</w:t>
      </w:r>
    </w:p>
    <w:p w14:paraId="1E787A51">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（二）部门整体支出规模、使用方向和主要内容、涉及范围。</w:t>
      </w:r>
    </w:p>
    <w:p w14:paraId="7ADD4CE1">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2023年度支出总额234.75万元，其中，财政拨款收入223.15万元,其他收入11.6万元，按支出性质区分，</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kern w:val="2"/>
          <w:sz w:val="32"/>
          <w:szCs w:val="32"/>
          <w:lang w:val="en-US" w:eastAsia="zh-CN" w:bidi="ar-SA"/>
        </w:rPr>
        <w:t>，基本支出181.73万元 ，项目支出53.03万元。</w:t>
      </w:r>
    </w:p>
    <w:p w14:paraId="4B021981">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内容和涉及范围：人员经费包括基本工资、津贴补贴、奖金、机关事业单位基本养老保险缴费、职工医疗保险缴费、其他社会保障缴费、住房公积金等；日常公用经费包括办公费、邮电费、差旅费、租赁费、培训费、公务接待费、劳务费、工会</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kern w:val="2"/>
          <w:sz w:val="32"/>
          <w:szCs w:val="32"/>
          <w:lang w:val="en-US" w:eastAsia="zh-CN" w:bidi="ar-SA"/>
        </w:rPr>
        <w:t>、福利费、其他交通费用、其他商品和服务支出等；项目支出主要包括其他对个人和家庭的补助支出、办公费、印刷费、电费、邮电费、差旅费、维修（护）费、租赁费、会议费、培训费、公务接待费、劳务费、委托业务费、其他交通费。涉及人员经费、保障基本运转、</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kern w:val="2"/>
          <w:sz w:val="32"/>
          <w:szCs w:val="32"/>
          <w:lang w:val="en-US" w:eastAsia="zh-CN" w:bidi="ar-SA"/>
        </w:rPr>
        <w:t>各项专项业务工作、乡村振兴、党建所发生的全部支出。</w:t>
      </w:r>
    </w:p>
    <w:p w14:paraId="2B198D0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Chars="20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（三）绩效目标设立情况</w:t>
      </w:r>
    </w:p>
    <w:p w14:paraId="7352C384">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1.预算配置</w:t>
      </w:r>
      <w:r>
        <w:rPr>
          <w:rFonts w:hint="eastAsia" w:ascii="仿宋_GB2312" w:hAnsi="仿宋_GB2312" w:eastAsia="仿宋_GB2312" w:cs="仿宋_GB2312"/>
          <w:sz w:val="32"/>
          <w:szCs w:val="32"/>
          <w:lang w:val="en-US" w:eastAsia="zh-CN"/>
        </w:rPr>
        <w:t>科学</w:t>
      </w:r>
      <w:r>
        <w:rPr>
          <w:rFonts w:hint="eastAsia" w:ascii="仿宋_GB2312" w:hAnsi="仿宋_GB2312" w:eastAsia="仿宋_GB2312" w:cs="仿宋_GB2312"/>
          <w:kern w:val="2"/>
          <w:sz w:val="32"/>
          <w:szCs w:val="32"/>
          <w:lang w:val="en-US" w:eastAsia="zh-CN" w:bidi="ar-SA"/>
        </w:rPr>
        <w:t>：预算编制科学，基本支出足额保障，确保重点支出安排，严控“三公经费”支出；</w:t>
      </w:r>
    </w:p>
    <w:p w14:paraId="052DB416">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2.预算执行</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kern w:val="2"/>
          <w:sz w:val="32"/>
          <w:szCs w:val="32"/>
          <w:lang w:val="en-US" w:eastAsia="zh-CN" w:bidi="ar-SA"/>
        </w:rPr>
        <w:t>：严格预算执行，严控结转结余，项目组织良好，“三公经费”节支增效；</w:t>
      </w:r>
    </w:p>
    <w:p w14:paraId="4F94D02E">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3.预算管理</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kern w:val="2"/>
          <w:sz w:val="32"/>
          <w:szCs w:val="32"/>
          <w:lang w:val="en-US" w:eastAsia="zh-CN" w:bidi="ar-SA"/>
        </w:rPr>
        <w:t>：管理制度健全，信息公开及时完整;</w:t>
      </w:r>
    </w:p>
    <w:p w14:paraId="494A0947">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4.资产管理：</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kern w:val="2"/>
          <w:sz w:val="32"/>
          <w:szCs w:val="32"/>
          <w:lang w:val="en-US" w:eastAsia="zh-CN" w:bidi="ar-SA"/>
        </w:rPr>
        <w:t>制度健全，国有资产得到有效使用;</w:t>
      </w:r>
    </w:p>
    <w:p w14:paraId="77A1B39F">
      <w:pPr>
        <w:widowControl/>
        <w:shd w:val="clear" w:color="auto" w:fill="FFFFFF"/>
        <w:spacing w:before="0" w:beforeLines="0" w:beforeAutospacing="0" w:after="0" w:afterLines="0" w:afterAutospacing="0" w:line="480" w:lineRule="auto"/>
        <w:ind w:firstLine="640" w:firstLineChars="20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5.完成本年度统一社会信用代码证赋码工作；</w:t>
      </w:r>
    </w:p>
    <w:p w14:paraId="28AC7FD8">
      <w:pPr>
        <w:widowControl/>
        <w:shd w:val="clear" w:color="auto" w:fill="FFFFFF"/>
        <w:spacing w:before="0" w:beforeLines="0" w:beforeAutospacing="0" w:after="0" w:afterLines="0" w:afterAutospacing="0" w:line="480" w:lineRule="auto"/>
        <w:ind w:firstLine="640" w:firstLineChars="20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6.完成本年度事业单位登记管理工作；</w:t>
      </w:r>
    </w:p>
    <w:p w14:paraId="1802A42A">
      <w:pPr>
        <w:widowControl/>
        <w:shd w:val="clear" w:color="auto" w:fill="FFFFFF"/>
        <w:spacing w:before="0" w:beforeLines="0" w:beforeAutospacing="0" w:after="0" w:afterLines="0" w:afterAutospacing="0" w:line="480" w:lineRule="auto"/>
        <w:ind w:firstLine="640" w:firstLineChars="20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7.完成本年度机构编制综合管理平台建设维护工作；</w:t>
      </w:r>
    </w:p>
    <w:p w14:paraId="12551967">
      <w:pPr>
        <w:widowControl/>
        <w:shd w:val="clear" w:color="auto" w:fill="FFFFFF"/>
        <w:spacing w:before="0" w:beforeLines="0" w:beforeAutospacing="0" w:after="0" w:afterLines="0" w:afterAutospacing="0" w:line="480" w:lineRule="auto"/>
        <w:ind w:firstLine="640" w:firstLineChars="20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8.完成本年度议事协调机构和临时机构管理工作；</w:t>
      </w:r>
    </w:p>
    <w:p w14:paraId="09F8B4BF">
      <w:pPr>
        <w:widowControl/>
        <w:shd w:val="clear" w:color="auto" w:fill="FFFFFF"/>
        <w:spacing w:before="0" w:beforeLines="0" w:beforeAutospacing="0" w:after="0" w:afterLines="0" w:afterAutospacing="0" w:line="480" w:lineRule="auto"/>
        <w:ind w:firstLine="640" w:firstLineChars="20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9.完成本年度中文域名注册工作；</w:t>
      </w:r>
    </w:p>
    <w:p w14:paraId="5AB0E5FF">
      <w:pPr>
        <w:widowControl/>
        <w:shd w:val="clear" w:color="auto" w:fill="FFFFFF"/>
        <w:spacing w:before="0" w:beforeLines="0" w:beforeAutospacing="0" w:after="0" w:afterLines="0" w:afterAutospacing="0" w:line="480" w:lineRule="auto"/>
        <w:ind w:firstLine="640" w:firstLineChars="20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10.完成本年度大编委相关工作。</w:t>
      </w:r>
    </w:p>
    <w:p w14:paraId="3C04228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1AAC7F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二、部门整体支出管理及使用情况分析</w:t>
      </w:r>
    </w:p>
    <w:p w14:paraId="24A37C5E">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（一）基本支出</w:t>
      </w:r>
    </w:p>
    <w:p w14:paraId="7C2BEF8D">
      <w:pPr>
        <w:widowControl/>
        <w:shd w:val="clear" w:color="auto" w:fill="FFFFFF"/>
        <w:spacing w:before="0" w:beforeLines="0" w:beforeAutospacing="0" w:after="0" w:afterLines="0" w:afterAutospacing="0" w:line="480" w:lineRule="auto"/>
        <w:ind w:firstLine="48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2023年我办基本支出181.73万元，其中工资福利支出157.66万元、商品和服务支出23.55万元、对个人和家庭补助0.19万元、资本性支出0.32万元。</w:t>
      </w:r>
    </w:p>
    <w:p w14:paraId="572821CD">
      <w:pPr>
        <w:widowControl/>
        <w:shd w:val="clear" w:color="auto" w:fill="FFFFFF"/>
        <w:spacing w:before="0" w:beforeLines="0" w:beforeAutospacing="0" w:after="0" w:afterLines="0" w:afterAutospacing="0" w:line="480" w:lineRule="auto"/>
        <w:ind w:firstLine="480"/>
        <w:jc w:val="left"/>
        <w:rPr>
          <w:rFonts w:hint="eastAsia" w:ascii="宋体" w:hAnsi="宋体" w:eastAsia="楷体_GB2312" w:cs="宋体"/>
          <w:kern w:val="0"/>
          <w:sz w:val="24"/>
          <w:szCs w:val="32"/>
          <w:lang w:val="en-US" w:eastAsia="zh-CN" w:bidi="ar-SA"/>
        </w:rPr>
      </w:pPr>
      <w:r>
        <w:rPr>
          <w:rFonts w:hint="eastAsia" w:ascii="仿宋_GB2312" w:hAnsi="宋体" w:eastAsia="仿宋_GB2312" w:cs="宋体"/>
          <w:color w:val="000000"/>
          <w:kern w:val="0"/>
          <w:sz w:val="32"/>
          <w:szCs w:val="32"/>
          <w:lang w:val="en-US" w:eastAsia="zh-CN" w:bidi="ar-SA"/>
        </w:rPr>
        <w:t>“三公经费”控制情况：贯彻落实上级有关精神，严格控制“三公经费”支出，取得了良好效果。年度“三公经费”2.38万元，其中：公务接待费2.38万元。同时，按按照上级的要求，在在政府网站和财政局的网站上对“三公”经费情况进行了公示。</w:t>
      </w:r>
    </w:p>
    <w:p w14:paraId="78A5C1C9">
      <w:pPr>
        <w:widowControl/>
        <w:tabs>
          <w:tab w:val="left" w:pos="3396"/>
        </w:tabs>
        <w:spacing w:line="594"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（二）项目支出</w:t>
      </w:r>
      <w:r>
        <w:rPr>
          <w:rFonts w:ascii="Times New Roman" w:hAnsi="Times New Roman" w:eastAsia="楷体_GB2312" w:cs="Times New Roman"/>
          <w:kern w:val="0"/>
          <w:sz w:val="32"/>
          <w:szCs w:val="32"/>
        </w:rPr>
        <w:tab/>
      </w:r>
    </w:p>
    <w:p w14:paraId="0E823C38">
      <w:pPr>
        <w:widowControl/>
        <w:shd w:val="clear" w:color="auto" w:fill="FFFFFF"/>
        <w:spacing w:before="0" w:beforeLines="0" w:beforeAutospacing="0" w:after="0" w:afterLines="0" w:afterAutospacing="0" w:line="480" w:lineRule="auto"/>
        <w:ind w:firstLine="48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2023年项目支出53.03万元，其中大编委工作经费4万元、深化机构改革工作经费10万元、事业单位登记管理和统一社会信用代码赋码工作经费10万元、机构编制综合管理平台建设维护费5万元、中文域名注册专项经费16万元、编写编制志经费5万元。</w:t>
      </w:r>
    </w:p>
    <w:p w14:paraId="09353FF2">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3.项目资金管理情况分析 </w:t>
      </w:r>
    </w:p>
    <w:p w14:paraId="309139CD">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14:paraId="0E5B05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三、项目组织实施情况分析</w:t>
      </w:r>
    </w:p>
    <w:p w14:paraId="7F551199">
      <w:pPr>
        <w:spacing w:line="594" w:lineRule="exact"/>
        <w:ind w:firstLine="640" w:firstLineChars="200"/>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（一）项目组织情况分析，主要包括项目招投标、调整、竣工验收等情况。</w:t>
      </w:r>
      <w:r>
        <w:rPr>
          <w:rFonts w:hint="eastAsia" w:ascii="Times New Roman" w:hAnsi="Times New Roman" w:eastAsia="仿宋_GB2312" w:cs="Times New Roman"/>
          <w:kern w:val="0"/>
          <w:sz w:val="32"/>
          <w:szCs w:val="32"/>
          <w:lang w:eastAsia="zh-CN"/>
        </w:rPr>
        <w:t>部门项目资金主要是用于预防青少年违法犯罪工作经常性支出，开展青少年活动和机关基层党组织活动，开展希望工程工作，保障乡村振兴帮扶和驻村工作。由于本部门的专项资金不涉及经济发展项目，不属于招投标管理范围，故没进行项目的招投标。</w:t>
      </w:r>
    </w:p>
    <w:p w14:paraId="4F46B33C">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（二）项目管理情况分析，</w:t>
      </w:r>
      <w:r>
        <w:rPr>
          <w:rFonts w:hint="eastAsia" w:ascii="仿宋_GB2312" w:hAnsi="宋体" w:eastAsia="仿宋_GB2312" w:cs="宋体"/>
          <w:color w:val="000000"/>
          <w:kern w:val="0"/>
          <w:sz w:val="32"/>
          <w:szCs w:val="32"/>
          <w:lang w:val="en-US" w:eastAsia="zh-CN" w:bidi="ar-SA"/>
        </w:rPr>
        <w:t>近年来，我办制定完善了《中共安化县委编办财务管理制度》、《中共安化县委编办差旅费管理实施办法》、《中共安化县委编办机关管理制度》等一系列内部制度。</w:t>
      </w:r>
    </w:p>
    <w:p w14:paraId="7C548F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四、部门整体支出绩效情况分析</w:t>
      </w:r>
    </w:p>
    <w:p w14:paraId="01238F5C">
      <w:pPr>
        <w:widowControl/>
        <w:shd w:val="clear" w:color="auto" w:fill="FFFFFF"/>
        <w:spacing w:before="0" w:beforeLines="0" w:beforeAutospacing="0" w:after="0" w:afterLines="0" w:afterAutospacing="0" w:line="480" w:lineRule="auto"/>
        <w:ind w:firstLine="640" w:firstLineChars="20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从整体情况来看，我办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实行了先有预算、后有执行、“用钱必问效、无效必问责”的新常态。</w:t>
      </w:r>
    </w:p>
    <w:p w14:paraId="29D322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五、绩效评价工作开展情况</w:t>
      </w:r>
    </w:p>
    <w:p w14:paraId="67C20436">
      <w:pPr>
        <w:widowControl/>
        <w:shd w:val="clear" w:color="auto" w:fill="FFFFFF"/>
        <w:spacing w:before="0" w:beforeLines="0" w:beforeAutospacing="0" w:after="0" w:afterLines="0" w:afterAutospacing="0" w:line="480" w:lineRule="auto"/>
        <w:ind w:firstLine="480"/>
        <w:jc w:val="left"/>
        <w:rPr>
          <w:rFonts w:hint="eastAsia" w:ascii="仿宋_GB2312" w:hAnsi="宋体" w:eastAsia="仿宋_GB2312" w:cs="宋体"/>
          <w:b/>
          <w:bCs/>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（一）绩效评价目的</w:t>
      </w:r>
    </w:p>
    <w:p w14:paraId="366B195E">
      <w:pPr>
        <w:widowControl/>
        <w:shd w:val="clear" w:color="auto" w:fill="FFFFFF"/>
        <w:spacing w:before="0" w:beforeLines="0" w:beforeAutospacing="0" w:after="0" w:afterLines="0" w:afterAutospacing="0" w:line="480" w:lineRule="auto"/>
        <w:ind w:firstLine="48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此次绩效评价的目的是：严格落实《预算法》及省、市、县绩效管理工作的有关规定，进一步规范财政资金的管理，强化财政支出绩效理念，提升部门责任意识，提高资金使用效益，促进机构编制事业的发展。</w:t>
      </w:r>
    </w:p>
    <w:p w14:paraId="2D9740EA">
      <w:pPr>
        <w:widowControl/>
        <w:shd w:val="clear" w:color="auto" w:fill="FFFFFF"/>
        <w:spacing w:before="0" w:beforeLines="0" w:beforeAutospacing="0" w:after="0" w:afterLines="0" w:afterAutospacing="0" w:line="480" w:lineRule="auto"/>
        <w:ind w:firstLine="480"/>
        <w:jc w:val="left"/>
        <w:rPr>
          <w:rFonts w:hint="eastAsia" w:ascii="仿宋_GB2312" w:hAnsi="宋体" w:eastAsia="仿宋_GB2312" w:cs="宋体"/>
          <w:b/>
          <w:bCs/>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（二）绩效评价的主要过程</w:t>
      </w:r>
    </w:p>
    <w:p w14:paraId="662AA36C">
      <w:pPr>
        <w:widowControl/>
        <w:shd w:val="clear" w:color="auto" w:fill="FFFFFF"/>
        <w:spacing w:before="0" w:beforeLines="0" w:beforeAutospacing="0" w:after="0" w:afterLines="0" w:afterAutospacing="0" w:line="480" w:lineRule="auto"/>
        <w:ind w:firstLine="480"/>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根据绩效评价的要求，我们成立了自评工作领导小组，对照自评方案进行研究和布署，党组成员、机关各股室全程参与，按照自评方案的要求，对照各实施项目的内容逐条逐项自评。通过核实数据、查阅资料、归纳汇总、讨论分析等环节，形成绩效评价报告。</w:t>
      </w:r>
    </w:p>
    <w:p w14:paraId="6CAF175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p>
    <w:p w14:paraId="5FCF2D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六、存在的主要问题</w:t>
      </w:r>
    </w:p>
    <w:p w14:paraId="502CECD4">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部门预算的人员经费和公用经费不足。单位日常运转的刚性支出大，现有的部门预算资金不能满足日益增长的工作需要。</w:t>
      </w:r>
    </w:p>
    <w:p w14:paraId="45048E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七、改进措施和有关建议</w:t>
      </w:r>
    </w:p>
    <w:p w14:paraId="5FFC19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预算管理意识，优化预算执行管理。认真贯彻落实预算法，提高对预算资金使用效益的认识，严格执行预算编制的相关制度和要求。本着“勤俭节约、保障运转”的原则做好预算编制工作，进一步提高预算编制的科学性、合理性、严谨性。</w:t>
      </w:r>
    </w:p>
    <w:p w14:paraId="67FA31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MDNmMmI4NDAwZTE3MjFlNjkyOTNlNDc4YzIzYmIifQ=="/>
  </w:docVars>
  <w:rsids>
    <w:rsidRoot w:val="7F4D6D3E"/>
    <w:rsid w:val="7F4D6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2024-09-26T09:12:00Z</dcterms:created>
  <dc:creator>昕，</dc:creator>
  <cp:lastModifiedBy>昕，</cp:lastModifiedBy>
  <dcterms:modified xsi:type="dcterms:W3CDTF">2024-09-26T09:13:30Z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A23BEEC5601B4C8C8DB0E6F7A68BEA57_11</vt:lpwstr>
  </property>
</Properties>
</file>