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2023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年度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eastAsia="zh-CN"/>
        </w:rPr>
        <w:t>安化县安化县住房保障服务中心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整体支出绩效自评报告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一、部门(单位)基本情况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(一)2023年度重点工作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1.强化项目攻坚，加速城市更新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将“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有序旧改+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规范发展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保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租房+精准棚改”等多项住房保障民生工程有机结合，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居住环境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明显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改善、市容面貌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明显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改观、人民获得感明显增强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相关产业持续发展的良好效应。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一是坚持内外兼修，推进旧城改造。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老旧小区改造58个、楼栋326栋，涉改居民5484户，建筑面积51.62万平方米，预计投资额10968万元，截至目前完成投资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6705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万元，投资完成率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61.13</w:t>
      </w:r>
      <w:r>
        <w:rPr>
          <w:rFonts w:hint="eastAsia" w:ascii="仿宋_GB2312" w:hAnsi="仿宋_GB2312" w:eastAsia="仿宋_GB2312" w:cs="仿宋_GB2312"/>
          <w:sz w:val="32"/>
          <w:szCs w:val="32"/>
        </w:rPr>
        <w:t>%。按照“分户包片、一区一策、倒排工期、挂图作战”模式，通过划分连片，整体推进的方式开展旧改工作。形成《老旧小区现状调查及问题清单》，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《安化县2023年老旧小区改造实施方案》，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</w:rPr>
        <w:t>老旧小区升级改造同创文巩卫相结合，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投入资金约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3000余万元，完成77个创文建设任务，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开展路灯安装、雨污分流、码头台阶改造、路面硬化、微景观及广场建设等项目，完善各项基础配套设施建设，居民居住和生活条件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显著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二是开展动态联动，“梯”升居民幸福。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第三方专业机构摸清了小区楼道电梯加装条件，制定“一楼一策”协调解决群众诉求，化解邻里矛盾，搭建由政府部门、物业、电梯公司、施工单位、热心群众等组成的协商平台，收集意见、组织会商。全年完成既有住宅加装电梯29台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三是加大住房供给，提升保障能力。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结合我县实际，制定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安化县保障性安居工程三年行动计划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，序时推进保障性租赁住房建设。2024年我县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申报保障性租赁住房新建项目共5个，382套，均已完成立项、土地以及规划等前期工作。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为解决资金难题，我中心已包装了两个项目来争取专项债券，分别是安化县2022年老旧小区改造项目申请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1亿元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和安化县2023—2025年保障性租赁住房建设项目申请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1.1亿元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四是推进棚改扫尾，改善旧城面貌。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力推进棚改清零扫尾工作，突出解决棚改遗留问题。按照“打通安宏路，弱化长沙路，规整迎春路，优化柳溪东路”基本思路制定本年度棚改清零扫尾实施方案。开展新车站棚改项目前期调研，积极筹措资金，适时启动该项目。2023年我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实施棚改续建项目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3个，分别是柳江书院棚改安置房新建项目、酉州棚改安置房新建项目和梅城镇东华片区棚改安置房建设项目。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2.对标住有所居，提升民生保障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坚持“房住不炒”定位和以人民为中心的发展理念，加强对保障性住房的运营与管理，不断提升居住群众的获得感、幸福感、安全感，将住有所居提质为居有所安、居有所乐、居有所享。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开展清理整顿，严禁鸠占鹊巢。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对全县10182套公租房进行租户信息核实，发现存在转租、转借、欠租、转让等违规租户341户，已全部按要求处置到位。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推行分类保障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，实现应保尽保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坚持建管并重，实物配租与租赁补贴发放双管齐下，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全面贯彻公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租房准入退出管理机制，2023年，配租公租房297套，发放租赁补贴1458户，发放金额139.3万元，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联合审批既有住宅加装电梯29台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夯实公房管理基础工作。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完善全国公租房信息系统的装数工作和“一栋一档”工作，完成全县355栋公房资产摸排和资料收集，稳步推进公租房档案管理录入工作，房源信息数量及完成率为100%。正在保障家庭信息数量及完成率100%，完成公租房租金收入2200余万元，开展公租房大、中维修119起，排除公租房安全隐患5起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试点垃圾分类，打造宜居环境。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积极推进垃圾分类工作落地，提高公租房租户垃圾分类意识，投入资金20余万元，在县城绿景苑、城西家园、西江雅苑、明珠苑、吉祥公租房等5个公租房小区设置垃圾分类点 21 处，投放垃圾转运车 21 辆，为2222 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公租房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租户打造宜居环境。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(二)部门整体支出规模、使用方向、主要内容和涉及范围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基本支出系保障我局机构正常运转、完成日常工作任务而发生的各项支出，包括用于在职和离退休人员基本工资、津贴补贴等人员经费以及办公费、印刷费、水电费、办公设备购置等日常公用经费。202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年基本支出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1820.78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万元，较上年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464.19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万元。基本支出中人员经费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1695.88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93.14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%，比上年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75.73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万元，主要原因是人员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；日常公用经费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124.89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%，与上年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388.47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部分支出减少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，我单位厉行节约、严格把关，严控三公经费支出，尽力控制公用经费支出。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二、一般公共预算支出情况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(一)基本支出情况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基本支出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1820.78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万元，是为保障各部门正常运转、完成日常工作任务而发生的各项支出，主要包括工资福利支出1595.62万元，商品和服务支出124.53万元，对个人和家庭支出100.26万元。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“三公”经费支出情况：2023年，“三公”经费完成22.33万元，比上年增减少4.39元，主要原因是：厉行节约，缩减经费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(二)项目支出情况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项目支出6454.13万元，包含：</w:t>
      </w:r>
      <w:r>
        <w:rPr>
          <w:rFonts w:hint="eastAsia" w:ascii="仿宋_GB2312" w:eastAsia="仿宋_GB2312"/>
          <w:sz w:val="32"/>
          <w:szCs w:val="32"/>
          <w:lang w:eastAsia="zh-CN"/>
        </w:rPr>
        <w:t>专项商品服务支出和资本支出。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政府性基金预算支出情况</w:t>
      </w:r>
    </w:p>
    <w:p>
      <w:pPr>
        <w:ind w:firstLine="640" w:firstLineChars="200"/>
        <w:rPr>
          <w:rFonts w:hint="eastAsia"/>
        </w:rPr>
      </w:pPr>
      <w:r>
        <w:rPr>
          <w:color w:val="232323"/>
          <w:sz w:val="32"/>
          <w:szCs w:val="32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年本部门政府性基金支出预算</w:t>
      </w:r>
      <w:r>
        <w:rPr>
          <w:rFonts w:hint="eastAsia" w:eastAsia="仿宋_GB2312"/>
          <w:color w:val="23232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宋体" w:eastAsia="仿宋_GB2312" w:cs="仿宋_GB2312"/>
          <w:color w:val="232323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国有资本经营预算支出情况</w:t>
      </w:r>
    </w:p>
    <w:p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color w:val="232323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本部门无国有资本经营预算的支出。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社会保险基金预算支出情况</w:t>
      </w:r>
    </w:p>
    <w:p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color w:val="232323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本部门无社会保险基金预算的支出。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六、部门整体支出绩效情况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根据《部门整体支出绩效评价指标》评分，得分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分，绩效评价等级为“优”。主要绩效如下：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实施老旧小区改造项目21个片区，覆盖东坪（14个片区）、梅城（7个片区）两个乡镇，涉改居民5484户、楼栋326栋，总建筑面积51.62万平方米。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全力推进棚改清零扫尾工作，突出解决棚改遗留问题。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建立健全非住宅租金动态管理机制，强化国有直管公房和建成公共租赁住房的租金收缴工作，实现资产经营规范化；负责直管公房租赁、改造、日常修缮和运营等工作；落实住房租赁补贴政策。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七、存在的问题及原因分析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老旧小区改造工作还存在以下问题：一是系列配套政策不完善；二是工作机制不顺畅，指挥人员不够、责任压得不实，督办不力；三是资金投入、管线整治、拆除违建等重点难点问题解决办法不多，力度不够；四是项目监管不到位，质量安全风险问题；五是长效物业管理有待加强问题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下一步改进措施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多优质高效抓好老旧小区改造。</w:t>
      </w: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  <w:t>2024年我县拟申报老旧小区改造计划项目10个，在梅城镇共计改造5484户老旧小区，同时，进一步对旧改小区及其配套设施改造项目中违章建筑进行拆除，用拆违倒逼改造，释放公共空间，消除安全隐患，改善小区面貌，打通梅城交通通道、缓解交通堵塞，进一步提升居民安全感、幸福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因地制宜规范保障性住房建管。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坚持房子是用来住的，不是用来炒的定位，高度重视保障性租赁住房建设，加大保障性租赁住房建设投入，</w:t>
      </w: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  <w:t>2024年计划申报保障性租赁住房建设项目5个，拟在梅城、清塘铺、长塘、南金、柘溪等乡镇筹建保障性租赁住房382套，缓解住房租赁市场结构性供给不足，推进以人为核心的新型城镇化，促进实现全体人民住有所居，进一步扩大保障性租赁住房供给。通过整合专项债券资金、上级补助资金和自筹资金，对建设资金进行拼盘组合，通过超前谋划、包装项目，加强与上级部门对接等方式，争取发行保障性租赁住房专项债券资金，切实为城市新市民提供住房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b/>
          <w:bCs/>
          <w:kern w:val="2"/>
          <w:sz w:val="32"/>
          <w:szCs w:val="32"/>
          <w:lang w:val="en-US" w:eastAsia="zh-CN" w:bidi="ar-SA"/>
        </w:rPr>
        <w:t>（三）强化公租房动态监管。</w:t>
      </w:r>
      <w: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  <w:t>加强公共租赁住房准入与退出机制管理和保障对象的动态监管，完善全国公租房信息系统的贯标与装数，推进住房保障领域信用体系建设，公平公正阳光分配房源，确保房源的有效流转，真正解决城镇“双困”家庭的基本居住需求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绩效自评结果拟应用和公开情况</w:t>
      </w:r>
    </w:p>
    <w:p>
      <w:pPr>
        <w:pStyle w:val="2"/>
        <w:numPr>
          <w:ilvl w:val="0"/>
          <w:numId w:val="0"/>
        </w:numPr>
        <w:ind w:leftChars="200"/>
        <w:rPr>
          <w:rFonts w:hint="eastAsia" w:eastAsia="宋体"/>
          <w:lang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暂未公开。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其他需要说明的情况</w:t>
      </w:r>
    </w:p>
    <w:p>
      <w:pPr>
        <w:numPr>
          <w:ilvl w:val="0"/>
          <w:numId w:val="0"/>
        </w:numPr>
        <w:ind w:leftChars="200"/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无。</w:t>
      </w:r>
      <w:r>
        <w:rPr>
          <w:rFonts w:eastAsia="Times New Roman"/>
          <w:kern w:val="0"/>
          <w:sz w:val="2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4109C"/>
    <w:multiLevelType w:val="singleLevel"/>
    <w:tmpl w:val="0DF4109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4048D7"/>
    <w:multiLevelType w:val="singleLevel"/>
    <w:tmpl w:val="7F4048D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NmJkZDJhMWI4ZTUwZDUyNjMxZjU3ZjI3Mjk1ZGUifQ=="/>
  </w:docVars>
  <w:rsids>
    <w:rsidRoot w:val="6D445020"/>
    <w:rsid w:val="083862D2"/>
    <w:rsid w:val="33357B76"/>
    <w:rsid w:val="4ABC0B4F"/>
    <w:rsid w:val="4F803D9F"/>
    <w:rsid w:val="57921BCE"/>
    <w:rsid w:val="6D445020"/>
    <w:rsid w:val="74C464E4"/>
    <w:rsid w:val="76AE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Times New Roman" w:hAnsi="Times New Roman"/>
    </w:rPr>
  </w:style>
  <w:style w:type="paragraph" w:styleId="3">
    <w:name w:val="Body Text Indent"/>
    <w:basedOn w:val="1"/>
    <w:qFormat/>
    <w:uiPriority w:val="99"/>
    <w:pPr>
      <w:ind w:firstLine="640" w:firstLineChars="200"/>
    </w:pPr>
    <w:rPr>
      <w:sz w:val="32"/>
      <w:szCs w:val="32"/>
    </w:r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  <w:rPr>
      <w:rFonts w:ascii="等线" w:hAnsi="等线" w:eastAsia="等线" w:cs="Times New Roman"/>
      <w:szCs w:val="22"/>
    </w:rPr>
  </w:style>
  <w:style w:type="paragraph" w:styleId="5">
    <w:name w:val="toc 1"/>
    <w:basedOn w:val="1"/>
    <w:next w:val="1"/>
    <w:unhideWhenUsed/>
    <w:qFormat/>
    <w:uiPriority w:val="99"/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 2"/>
    <w:basedOn w:val="3"/>
    <w:qFormat/>
    <w:uiPriority w:val="99"/>
    <w:pPr>
      <w:ind w:firstLine="420"/>
    </w:p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2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2862</Words>
  <Characters>3075</Characters>
  <Lines>0</Lines>
  <Paragraphs>0</Paragraphs>
  <TotalTime>1</TotalTime>
  <ScaleCrop>false</ScaleCrop>
  <LinksUpToDate>false</LinksUpToDate>
  <CharactersWithSpaces>3080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2024-06-17T10:01:00Z</dcterms:created>
  <dc:creator>啊斌</dc:creator>
  <cp:lastModifiedBy>黄振乾</cp:lastModifiedBy>
  <dcterms:modified xsi:type="dcterms:W3CDTF">2024-06-19T02:16:40Z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D329DD712DF24B66A93EF9BCDD3D8874_13</vt:lpwstr>
  </property>
</Properties>
</file>