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val="en-US" w:eastAsia="zh-CN"/>
        </w:rPr>
        <w:t>2023年度安化县市场监督管理局</w:t>
      </w: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pPr>
        <w:widowControl/>
        <w:ind w:firstLine="361" w:firstLineChars="100"/>
        <w:rPr>
          <w:rFonts w:ascii="楷体" w:hAnsi="楷体" w:eastAsia="楷体" w:cs="楷体"/>
          <w:b/>
          <w:bCs/>
          <w:kern w:val="0"/>
          <w:sz w:val="36"/>
          <w:szCs w:val="36"/>
        </w:rPr>
      </w:pPr>
    </w:p>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widowControl/>
        <w:rPr>
          <w:rFonts w:hint="eastAsia" w:ascii="楷体" w:hAnsi="楷体" w:eastAsia="楷体" w:cs="楷体"/>
          <w:b/>
          <w:bCs/>
          <w:kern w:val="0"/>
          <w:sz w:val="36"/>
          <w:szCs w:val="36"/>
        </w:rPr>
      </w:pPr>
    </w:p>
    <w:p>
      <w:pPr>
        <w:widowControl/>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r>
        <w:rPr>
          <w:rFonts w:hint="eastAsia" w:ascii="黑体" w:hAnsi="黑体" w:eastAsia="黑体" w:cs="黑体"/>
          <w:b w:val="0"/>
          <w:bCs w:val="0"/>
          <w:kern w:val="0"/>
          <w:sz w:val="48"/>
          <w:szCs w:val="48"/>
          <w:u w:val="single"/>
          <w:lang w:eastAsia="zh-CN"/>
        </w:rPr>
        <w:t>安化县市场监督管理局</w:t>
      </w:r>
      <w:r>
        <w:rPr>
          <w:rFonts w:hint="eastAsia" w:ascii="黑体" w:hAnsi="黑体" w:eastAsia="黑体" w:cs="黑体"/>
          <w:b w:val="0"/>
          <w:bCs w:val="0"/>
          <w:kern w:val="0"/>
          <w:sz w:val="48"/>
          <w:szCs w:val="48"/>
          <w:u w:val="single"/>
        </w:rPr>
        <w:t xml:space="preserve">              </w:t>
      </w:r>
    </w:p>
    <w:p>
      <w:pPr>
        <w:widowControl/>
        <w:rPr>
          <w:rFonts w:hint="eastAsia" w:ascii="黑体" w:hAnsi="黑体" w:eastAsia="黑体" w:cs="黑体"/>
          <w:b w:val="0"/>
          <w:bCs w:val="0"/>
          <w:kern w:val="0"/>
          <w:sz w:val="48"/>
          <w:szCs w:val="48"/>
          <w:u w:val="single"/>
        </w:rPr>
      </w:pPr>
    </w:p>
    <w:p>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2024</w:t>
      </w:r>
      <w:r>
        <w:rPr>
          <w:rFonts w:hint="eastAsia" w:ascii="黑体" w:hAnsi="黑体" w:eastAsia="黑体" w:cs="黑体"/>
          <w:b w:val="0"/>
          <w:bCs w:val="0"/>
          <w:kern w:val="0"/>
          <w:sz w:val="36"/>
          <w:szCs w:val="36"/>
        </w:rPr>
        <w:t>年</w:t>
      </w:r>
      <w:r>
        <w:rPr>
          <w:rFonts w:hint="eastAsia" w:ascii="黑体" w:hAnsi="黑体" w:eastAsia="黑体" w:cs="黑体"/>
          <w:b w:val="0"/>
          <w:bCs w:val="0"/>
          <w:kern w:val="0"/>
          <w:sz w:val="36"/>
          <w:szCs w:val="36"/>
          <w:lang w:val="en-US" w:eastAsia="zh-CN"/>
        </w:rPr>
        <w:t>6</w:t>
      </w:r>
      <w:r>
        <w:rPr>
          <w:rFonts w:hint="eastAsia" w:ascii="黑体" w:hAnsi="黑体" w:eastAsia="黑体" w:cs="黑体"/>
          <w:b w:val="0"/>
          <w:bCs w:val="0"/>
          <w:kern w:val="0"/>
          <w:sz w:val="36"/>
          <w:szCs w:val="36"/>
        </w:rPr>
        <w:t>月</w:t>
      </w:r>
      <w:r>
        <w:rPr>
          <w:rFonts w:hint="eastAsia" w:ascii="黑体" w:hAnsi="黑体" w:eastAsia="黑体" w:cs="黑体"/>
          <w:b w:val="0"/>
          <w:bCs w:val="0"/>
          <w:kern w:val="0"/>
          <w:sz w:val="36"/>
          <w:szCs w:val="36"/>
          <w:lang w:val="en-US" w:eastAsia="zh-CN"/>
        </w:rPr>
        <w:t>24</w:t>
      </w:r>
      <w:r>
        <w:rPr>
          <w:rFonts w:hint="eastAsia" w:ascii="黑体" w:hAnsi="黑体" w:eastAsia="黑体" w:cs="黑体"/>
          <w:b w:val="0"/>
          <w:bCs w:val="0"/>
          <w:kern w:val="0"/>
          <w:sz w:val="36"/>
          <w:szCs w:val="36"/>
        </w:rPr>
        <w:t>日</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黑体" w:hAnsi="黑体" w:eastAsia="黑体" w:cs="仿宋"/>
          <w:kern w:val="0"/>
          <w:sz w:val="32"/>
          <w:szCs w:val="32"/>
        </w:rPr>
        <w:br w:type="page"/>
      </w: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val="en-US" w:eastAsia="zh-CN"/>
        </w:rPr>
        <w:t>安化县市场监督管理局整体支出绩效自评报告</w:t>
      </w:r>
    </w:p>
    <w:p>
      <w:pPr>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部门(单位)基本情况</w:t>
      </w:r>
      <w:r>
        <w:rPr>
          <w:rFonts w:hint="eastAsia" w:ascii="黑体" w:hAnsi="黑体" w:eastAsia="黑体" w:cs="宋体"/>
          <w:color w:val="000000"/>
          <w:kern w:val="0"/>
          <w:sz w:val="32"/>
          <w:szCs w:val="32"/>
          <w:lang w:eastAsia="zh-CN"/>
        </w:rPr>
        <w:tab/>
      </w:r>
    </w:p>
    <w:p>
      <w:pPr>
        <w:pStyle w:val="5"/>
        <w:keepNext w:val="0"/>
        <w:keepLines w:val="0"/>
        <w:pageBreakBefore w:val="0"/>
        <w:widowControl/>
        <w:shd w:val="clear" w:color="auto" w:fill="FFFFFF"/>
        <w:kinsoku/>
        <w:wordWrap/>
        <w:overflowPunct/>
        <w:topLinePunct w:val="0"/>
        <w:autoSpaceDE/>
        <w:bidi w:val="0"/>
        <w:adjustRightInd/>
        <w:spacing w:before="0" w:beforeAutospacing="0" w:after="0" w:afterAutospacing="0" w:line="600" w:lineRule="exact"/>
        <w:ind w:firstLine="640" w:firstLineChars="200"/>
        <w:jc w:val="both"/>
        <w:textAlignment w:val="auto"/>
        <w:rPr>
          <w:rFonts w:hint="default" w:ascii="黑体" w:hAnsi="黑体" w:eastAsia="黑体" w:cs="宋体"/>
          <w:color w:val="000000"/>
          <w:kern w:val="0"/>
          <w:sz w:val="32"/>
          <w:szCs w:val="32"/>
          <w:lang w:val="en-US" w:eastAsia="zh-CN"/>
        </w:rPr>
      </w:pPr>
      <w:r>
        <w:rPr>
          <w:rFonts w:hint="eastAsia" w:ascii="仿宋_GB2312" w:hAnsi="宋体" w:eastAsia="仿宋_GB2312"/>
          <w:color w:val="000000"/>
          <w:sz w:val="32"/>
          <w:szCs w:val="32"/>
        </w:rPr>
        <w:t>我局机关内设</w:t>
      </w:r>
      <w:r>
        <w:rPr>
          <w:rFonts w:hint="eastAsia" w:ascii="Times New Roman" w:hAnsi="Times New Roman" w:eastAsia="仿宋_GB2312"/>
          <w:sz w:val="32"/>
          <w:szCs w:val="32"/>
        </w:rPr>
        <w:t>内设股室</w:t>
      </w:r>
      <w:r>
        <w:rPr>
          <w:rFonts w:hint="eastAsia" w:ascii="Times New Roman" w:hAnsi="Times New Roman" w:eastAsia="仿宋_GB2312"/>
          <w:sz w:val="32"/>
          <w:szCs w:val="32"/>
          <w:lang w:val="en-US" w:eastAsia="zh-CN"/>
        </w:rPr>
        <w:t>22个，</w:t>
      </w:r>
      <w:r>
        <w:rPr>
          <w:rFonts w:hint="eastAsia" w:ascii="Times New Roman" w:hAnsi="Times New Roman" w:eastAsia="仿宋_GB2312"/>
          <w:sz w:val="32"/>
          <w:szCs w:val="32"/>
        </w:rPr>
        <w:t>分别</w:t>
      </w:r>
      <w:r>
        <w:rPr>
          <w:rFonts w:hint="eastAsia" w:ascii="仿宋" w:hAnsi="仿宋" w:eastAsia="仿宋" w:cs="仿宋"/>
          <w:color w:val="000000"/>
          <w:sz w:val="32"/>
          <w:szCs w:val="32"/>
          <w:shd w:val="clear" w:color="auto" w:fill="FFFFFF"/>
        </w:rPr>
        <w:t>办公室、组织人事股、计划财务股、政策法规股、行政审批服务股、信用监督管理股、网络交易监督管理股、广告监督管理股、价格监督管理股、特种设备安全监察股、食品安全协调办公室、食品生产安全监督管理股、食品流通安全监督管理股、餐饮服务监督管理股、特殊食品和化妆品安全监督管理股、药品和医疗器械监督管理股、标准和质量发展股、产品质量和认证认可监督管理股、计量股、知识产权监督管理股、消费者权益保护股、投诉举报办公室</w:t>
      </w:r>
      <w:r>
        <w:rPr>
          <w:rFonts w:hint="eastAsia" w:ascii="Times New Roman" w:hAnsi="Times New Roman" w:eastAsia="仿宋_GB2312"/>
          <w:sz w:val="32"/>
          <w:szCs w:val="32"/>
          <w:lang w:eastAsia="zh-CN"/>
        </w:rPr>
        <w:t>。下辖</w:t>
      </w:r>
      <w:r>
        <w:rPr>
          <w:rFonts w:hint="eastAsia" w:ascii="Times New Roman" w:hAnsi="Times New Roman" w:eastAsia="仿宋_GB2312"/>
          <w:sz w:val="32"/>
          <w:szCs w:val="32"/>
          <w:lang w:val="en-US" w:eastAsia="zh-CN"/>
        </w:rPr>
        <w:t>2个直属行政机构，</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4个直属事业机构，24个乡镇监管所</w:t>
      </w:r>
      <w:r>
        <w:rPr>
          <w:rFonts w:hint="eastAsia" w:ascii="仿宋_GB2312" w:hAnsi="宋体" w:eastAsia="仿宋_GB2312"/>
          <w:color w:val="000000"/>
          <w:sz w:val="32"/>
          <w:szCs w:val="32"/>
        </w:rPr>
        <w:t>。截止</w:t>
      </w:r>
      <w:r>
        <w:rPr>
          <w:rFonts w:hint="eastAsia" w:ascii="仿宋_GB2312" w:eastAsia="仿宋_GB2312"/>
          <w:color w:val="000000"/>
          <w:sz w:val="32"/>
          <w:szCs w:val="32"/>
          <w:lang w:val="en-US" w:eastAsia="zh-CN"/>
        </w:rPr>
        <w:t>2023</w:t>
      </w:r>
      <w:r>
        <w:rPr>
          <w:rFonts w:hint="eastAsia" w:ascii="仿宋_GB2312" w:hAnsi="宋体" w:eastAsia="仿宋_GB2312"/>
          <w:color w:val="000000"/>
          <w:sz w:val="32"/>
          <w:szCs w:val="32"/>
        </w:rPr>
        <w:t>年12月</w:t>
      </w:r>
      <w:r>
        <w:rPr>
          <w:rFonts w:hint="eastAsia" w:ascii="仿宋_GB2312" w:eastAsia="仿宋_GB2312"/>
          <w:color w:val="000000"/>
          <w:sz w:val="32"/>
          <w:szCs w:val="32"/>
          <w:lang w:val="en-US" w:eastAsia="zh-CN"/>
        </w:rPr>
        <w:t>31日</w:t>
      </w:r>
      <w:r>
        <w:rPr>
          <w:rFonts w:hint="eastAsia" w:ascii="仿宋_GB2312" w:hAnsi="宋体" w:eastAsia="仿宋_GB2312"/>
          <w:color w:val="000000"/>
          <w:sz w:val="32"/>
          <w:szCs w:val="32"/>
        </w:rPr>
        <w:t>,</w:t>
      </w:r>
      <w:r>
        <w:rPr>
          <w:rFonts w:hint="eastAsia" w:ascii="仿宋_GB2312" w:eastAsia="仿宋_GB2312"/>
          <w:color w:val="000000"/>
          <w:sz w:val="32"/>
          <w:szCs w:val="32"/>
          <w:lang w:eastAsia="zh-CN"/>
        </w:rPr>
        <w:t>单位有在职人员</w:t>
      </w:r>
      <w:r>
        <w:rPr>
          <w:rFonts w:hint="eastAsia" w:ascii="仿宋_GB2312" w:eastAsia="仿宋_GB2312"/>
          <w:color w:val="000000"/>
          <w:sz w:val="32"/>
          <w:szCs w:val="32"/>
          <w:lang w:val="en-US" w:eastAsia="zh-CN"/>
        </w:rPr>
        <w:t>258人。</w:t>
      </w:r>
    </w:p>
    <w:p>
      <w:pPr>
        <w:pStyle w:val="5"/>
        <w:keepNext w:val="0"/>
        <w:keepLines w:val="0"/>
        <w:pageBreakBefore w:val="0"/>
        <w:widowControl/>
        <w:numPr>
          <w:ilvl w:val="0"/>
          <w:numId w:val="0"/>
        </w:numPr>
        <w:shd w:val="clear" w:color="auto" w:fill="FFFFFF"/>
        <w:kinsoku/>
        <w:wordWrap/>
        <w:overflowPunct/>
        <w:topLinePunct w:val="0"/>
        <w:autoSpaceDE/>
        <w:bidi w:val="0"/>
        <w:adjustRightInd/>
        <w:spacing w:before="0" w:beforeAutospacing="0" w:after="0" w:afterAutospacing="0" w:line="60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(一)2023年度重点工作</w:t>
      </w:r>
    </w:p>
    <w:p>
      <w:pPr>
        <w:pStyle w:val="5"/>
        <w:keepNext w:val="0"/>
        <w:keepLines w:val="0"/>
        <w:pageBreakBefore w:val="0"/>
        <w:widowControl/>
        <w:numPr>
          <w:ilvl w:val="0"/>
          <w:numId w:val="0"/>
        </w:numPr>
        <w:shd w:val="clear" w:color="auto" w:fill="FFFFFF"/>
        <w:kinsoku/>
        <w:wordWrap/>
        <w:overflowPunct/>
        <w:topLinePunct w:val="0"/>
        <w:autoSpaceDE/>
        <w:bidi w:val="0"/>
        <w:adjustRightInd/>
        <w:spacing w:before="0" w:beforeAutospacing="0" w:after="0" w:afterAutospacing="0" w:line="600" w:lineRule="exact"/>
        <w:ind w:firstLine="640" w:firstLineChars="200"/>
        <w:jc w:val="both"/>
        <w:textAlignment w:val="auto"/>
        <w:rPr>
          <w:rFonts w:hint="eastAsia" w:ascii="仿宋_GB2312" w:eastAsia="仿宋_GB2312"/>
          <w:color w:val="000000"/>
          <w:sz w:val="32"/>
          <w:szCs w:val="32"/>
          <w:lang w:val="en-US" w:eastAsia="zh-CN"/>
        </w:rPr>
      </w:pPr>
      <w:r>
        <w:rPr>
          <w:rFonts w:hint="eastAsia" w:ascii="楷体_GB2312" w:hAnsi="楷体_GB2312" w:eastAsia="楷体_GB2312" w:cs="楷体_GB2312"/>
          <w:color w:val="000000"/>
          <w:kern w:val="0"/>
          <w:sz w:val="32"/>
          <w:szCs w:val="32"/>
          <w:lang w:val="en-US" w:eastAsia="zh-CN"/>
        </w:rPr>
        <w:t>1、</w:t>
      </w:r>
      <w:r>
        <w:rPr>
          <w:rFonts w:hint="eastAsia" w:ascii="仿宋_GB2312" w:eastAsia="仿宋_GB2312"/>
          <w:color w:val="000000"/>
          <w:sz w:val="32"/>
          <w:szCs w:val="32"/>
          <w:lang w:val="en-US" w:eastAsia="zh-CN"/>
        </w:rPr>
        <w:t>完成非税收入160万元。</w:t>
      </w:r>
    </w:p>
    <w:p>
      <w:pPr>
        <w:pStyle w:val="5"/>
        <w:keepNext w:val="0"/>
        <w:keepLines w:val="0"/>
        <w:pageBreakBefore w:val="0"/>
        <w:widowControl/>
        <w:numPr>
          <w:ilvl w:val="0"/>
          <w:numId w:val="0"/>
        </w:numPr>
        <w:shd w:val="clear" w:color="auto" w:fill="FFFFFF"/>
        <w:kinsoku/>
        <w:wordWrap/>
        <w:overflowPunct/>
        <w:topLinePunct w:val="0"/>
        <w:autoSpaceDE/>
        <w:bidi w:val="0"/>
        <w:adjustRightInd/>
        <w:spacing w:before="0" w:beforeAutospacing="0" w:after="0" w:afterAutospacing="0" w:line="60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2、全年内未发生重大的安全事故。</w:t>
      </w:r>
    </w:p>
    <w:p>
      <w:pPr>
        <w:pStyle w:val="5"/>
        <w:keepNext w:val="0"/>
        <w:keepLines w:val="0"/>
        <w:pageBreakBefore w:val="0"/>
        <w:widowControl/>
        <w:numPr>
          <w:ilvl w:val="0"/>
          <w:numId w:val="0"/>
        </w:numPr>
        <w:shd w:val="clear" w:color="auto" w:fill="FFFFFF"/>
        <w:kinsoku/>
        <w:wordWrap/>
        <w:overflowPunct/>
        <w:topLinePunct w:val="0"/>
        <w:autoSpaceDE/>
        <w:bidi w:val="0"/>
        <w:adjustRightInd/>
        <w:spacing w:before="0" w:beforeAutospacing="0" w:after="0" w:afterAutospacing="0" w:line="600" w:lineRule="exact"/>
        <w:ind w:firstLine="640" w:firstLineChars="200"/>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3、全面优化全县营商环境，增强市场活力。</w:t>
      </w:r>
    </w:p>
    <w:p>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eastAsia="仿宋_GB2312"/>
          <w:color w:val="000000"/>
          <w:sz w:val="32"/>
          <w:szCs w:val="32"/>
          <w:lang w:val="en-US" w:eastAsia="zh-CN"/>
        </w:rPr>
        <w:t>4、</w:t>
      </w:r>
      <w:r>
        <w:rPr>
          <w:rFonts w:hint="eastAsia" w:ascii="仿宋_GB2312" w:hAnsi="宋体" w:eastAsia="仿宋_GB2312" w:cs="宋体"/>
          <w:color w:val="000000"/>
          <w:kern w:val="0"/>
          <w:sz w:val="32"/>
          <w:szCs w:val="32"/>
          <w:lang w:val="en-US" w:eastAsia="zh-CN" w:bidi="ar-SA"/>
        </w:rPr>
        <w:t>深入推进知识产权强县建设，加速创建安化</w:t>
      </w:r>
      <w:r>
        <w:rPr>
          <w:rFonts w:hint="eastAsia" w:ascii="仿宋_GB2312" w:hAnsi="仿宋_GB2312" w:eastAsia="仿宋_GB2312" w:cs="仿宋_GB2312"/>
          <w:color w:val="000000"/>
          <w:sz w:val="32"/>
          <w:szCs w:val="32"/>
          <w:lang w:val="en-US" w:eastAsia="zh-CN"/>
        </w:rPr>
        <w:t>黑茶国家地理标志产品保护示范区。</w:t>
      </w:r>
    </w:p>
    <w:p>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5、积极争取省真抓实干奖励。</w:t>
      </w:r>
    </w:p>
    <w:p>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6、抓好食品安全“两个责任”的落实，完成食品抽检任务。</w:t>
      </w:r>
    </w:p>
    <w:p>
      <w:pPr>
        <w:pStyle w:val="2"/>
        <w:rPr>
          <w:rFonts w:hint="default" w:eastAsia="楷体_GB231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320" w:firstLineChars="1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color w:val="000000"/>
          <w:kern w:val="0"/>
          <w:sz w:val="32"/>
          <w:szCs w:val="32"/>
        </w:rPr>
        <w:t>部门整体支出规模、使用方向、主要内容和涉及范围。</w:t>
      </w:r>
    </w:p>
    <w:p>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2023年单位部门决算收入为</w:t>
      </w:r>
      <w:r>
        <w:rPr>
          <w:rFonts w:hint="eastAsia" w:ascii="仿宋_GB2312" w:eastAsia="仿宋_GB2312" w:cs="Times New Roman"/>
          <w:color w:val="000000"/>
          <w:sz w:val="32"/>
          <w:szCs w:val="32"/>
          <w:lang w:val="en-US" w:eastAsia="zh-CN"/>
        </w:rPr>
        <w:t>4788.76</w:t>
      </w:r>
      <w:r>
        <w:rPr>
          <w:rFonts w:hint="eastAsia" w:ascii="仿宋_GB2312" w:hAnsi="Times New Roman" w:eastAsia="仿宋_GB2312" w:cs="Times New Roman"/>
          <w:color w:val="000000"/>
          <w:sz w:val="32"/>
          <w:szCs w:val="32"/>
          <w:lang w:val="en-US" w:eastAsia="zh-CN"/>
        </w:rPr>
        <w:t>万元。其中一般公共预算收入</w:t>
      </w:r>
      <w:r>
        <w:rPr>
          <w:rFonts w:hint="eastAsia" w:ascii="仿宋_GB2312" w:eastAsia="仿宋_GB2312" w:cs="Times New Roman"/>
          <w:color w:val="000000"/>
          <w:sz w:val="32"/>
          <w:szCs w:val="32"/>
          <w:lang w:val="en-US" w:eastAsia="zh-CN"/>
        </w:rPr>
        <w:t>4735.27</w:t>
      </w:r>
      <w:r>
        <w:rPr>
          <w:rFonts w:hint="eastAsia" w:ascii="仿宋_GB2312" w:hAnsi="Times New Roman" w:eastAsia="仿宋_GB2312" w:cs="Times New Roman"/>
          <w:color w:val="000000"/>
          <w:sz w:val="32"/>
          <w:szCs w:val="32"/>
          <w:lang w:val="en-US" w:eastAsia="zh-CN"/>
        </w:rPr>
        <w:t>万元，其他资金收入53.49万元。</w:t>
      </w:r>
    </w:p>
    <w:p>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2023年单位部门决算支出为4816.04万元，其中基本支出3701.51万元，项目支出为1114.53万元。主要用于工资福利方面的支出:人员的工资、津补贴、奖金、“五险一金”保障支出;日常公用支出:包括办公费、水电费、物业费、印刷费、公务用车运行维护费、差旅费、维护费、培训费、公务接待费、中餐补助费等。项目经费支出:主要用于维护全县市场稳定的所支出的差旅费、印刷费、办公费、广告宣传策划、办公设备的添置以及基层监管所房屋维修，还包括单位基层党组织活动经费及老干活动经费。</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pPr>
        <w:keepNext w:val="0"/>
        <w:keepLines w:val="0"/>
        <w:pageBreakBefore w:val="0"/>
        <w:widowControl/>
        <w:tabs>
          <w:tab w:val="left" w:pos="7641"/>
        </w:tabs>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30"/>
        <w:jc w:val="left"/>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333333"/>
          <w:kern w:val="0"/>
          <w:sz w:val="31"/>
          <w:szCs w:val="31"/>
          <w:lang w:val="en-US" w:eastAsia="zh-CN" w:bidi="ar-SA"/>
        </w:rPr>
        <w:t>安化县市场监督管理局2023年度基本支出3648.01万元，其中：①人员经费3290.94万元，主要包括：基本工资999.96万元、津贴补贴860.24万元、奖金448.12万元、伙食补助费103.39万元、住房公积金291.77万元、机关事业单位基本养老保险缴费259.31万元、职工基本医疗保险缴费154.73万元、其他社会保障缴费12.6万元、抚恤金101.17万元、生活补助42.99万元、奖励金11.42万元、其他对个人和家庭补助5.24万元；②公用经费349.13万元，主要包括：办公费 45.55万元、印刷费7.04万元、水费1.37万元、电费18.73万元、邮电费10.54万元、差旅费16.68万元、日常维修费4.85万元、培训费0.06万元、公务接待费18.26万元、专用材料费5.49万元、劳务费1.09万元、委托业务费2.37万元、工会经费89.6万元、公务用车运行维护费24万元、税金及附加0.79万元、其他商品和服务支出79.83万元、其他交通费用16.6万元、福利费6.28万元；③办公设备的购买4.44万元、信息网络及软件购置更新3.5万元。</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color w:val="000000"/>
          <w:kern w:val="0"/>
          <w:sz w:val="32"/>
          <w:szCs w:val="32"/>
        </w:rPr>
        <w:t>项目支出情况</w:t>
      </w:r>
    </w:p>
    <w:p>
      <w:pPr>
        <w:keepNext w:val="0"/>
        <w:keepLines w:val="0"/>
        <w:pageBreakBefore w:val="0"/>
        <w:widowControl/>
        <w:kinsoku/>
        <w:wordWrap/>
        <w:overflowPunct/>
        <w:topLinePunct w:val="0"/>
        <w:autoSpaceDE/>
        <w:bidi w:val="0"/>
        <w:adjustRightInd/>
        <w:spacing w:line="600" w:lineRule="exact"/>
        <w:ind w:firstLine="64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2023</w:t>
      </w:r>
      <w:r>
        <w:rPr>
          <w:rFonts w:hint="eastAsia" w:ascii="Times New Roman" w:hAnsi="Times New Roman" w:eastAsia="仿宋_GB2312" w:cs="Times New Roman"/>
          <w:kern w:val="0"/>
          <w:sz w:val="32"/>
          <w:szCs w:val="32"/>
          <w:lang w:val="en-US" w:eastAsia="zh-CN"/>
        </w:rPr>
        <w:t>年度，本单位的项目资金主要用于维护市场经营秩序所产生的差旅费、租车费、印刷费、会议费、培训费、广告宣传费等，同时包括用于执法装备的购买、辅助人员的聘用以及市场产品的抽检、对企业的奖励。同时还包括基层党支部活动支出以及离退休干部活动经费。</w:t>
      </w:r>
    </w:p>
    <w:p>
      <w:pPr>
        <w:keepNext w:val="0"/>
        <w:keepLines w:val="0"/>
        <w:pageBreakBefore w:val="0"/>
        <w:widowControl/>
        <w:kinsoku/>
        <w:wordWrap/>
        <w:overflowPunct/>
        <w:topLinePunct w:val="0"/>
        <w:autoSpaceDE/>
        <w:bidi w:val="0"/>
        <w:adjustRightInd/>
        <w:spacing w:line="600" w:lineRule="exact"/>
        <w:ind w:firstLine="64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本单位</w:t>
      </w:r>
      <w:r>
        <w:rPr>
          <w:rFonts w:hint="eastAsia" w:eastAsia="仿宋_GB2312" w:cs="Times New Roman"/>
          <w:kern w:val="0"/>
          <w:sz w:val="32"/>
          <w:szCs w:val="32"/>
          <w:lang w:val="en-US" w:eastAsia="zh-CN"/>
        </w:rPr>
        <w:t>一般公共预算</w:t>
      </w:r>
      <w:r>
        <w:rPr>
          <w:rFonts w:hint="eastAsia" w:ascii="Times New Roman" w:hAnsi="Times New Roman" w:eastAsia="仿宋_GB2312" w:cs="Times New Roman"/>
          <w:kern w:val="0"/>
          <w:sz w:val="32"/>
          <w:szCs w:val="32"/>
          <w:lang w:val="en-US" w:eastAsia="zh-CN"/>
        </w:rPr>
        <w:t>项目支出决算为</w:t>
      </w:r>
      <w:r>
        <w:rPr>
          <w:rFonts w:hint="eastAsia" w:eastAsia="仿宋_GB2312" w:cs="Times New Roman"/>
          <w:kern w:val="0"/>
          <w:sz w:val="32"/>
          <w:szCs w:val="32"/>
          <w:lang w:val="en-US" w:eastAsia="zh-CN"/>
        </w:rPr>
        <w:t>1114.53</w:t>
      </w:r>
      <w:r>
        <w:rPr>
          <w:rFonts w:hint="eastAsia" w:ascii="Times New Roman" w:hAnsi="Times New Roman" w:eastAsia="仿宋_GB2312" w:cs="Times New Roman"/>
          <w:kern w:val="0"/>
          <w:sz w:val="32"/>
          <w:szCs w:val="32"/>
          <w:lang w:val="en-US" w:eastAsia="zh-CN"/>
        </w:rPr>
        <w:t>万元，主要用于：办公费</w:t>
      </w:r>
      <w:r>
        <w:rPr>
          <w:rFonts w:hint="eastAsia" w:eastAsia="仿宋_GB2312" w:cs="Times New Roman"/>
          <w:kern w:val="0"/>
          <w:sz w:val="32"/>
          <w:szCs w:val="32"/>
          <w:lang w:val="en-US" w:eastAsia="zh-CN"/>
        </w:rPr>
        <w:t>200.63</w:t>
      </w:r>
      <w:r>
        <w:rPr>
          <w:rFonts w:hint="eastAsia" w:ascii="Times New Roman" w:hAnsi="Times New Roman" w:eastAsia="仿宋_GB2312" w:cs="Times New Roman"/>
          <w:kern w:val="0"/>
          <w:sz w:val="32"/>
          <w:szCs w:val="32"/>
          <w:lang w:val="en-US" w:eastAsia="zh-CN"/>
        </w:rPr>
        <w:t>万元、印刷费</w:t>
      </w:r>
      <w:r>
        <w:rPr>
          <w:rFonts w:hint="eastAsia" w:eastAsia="仿宋_GB2312" w:cs="Times New Roman"/>
          <w:kern w:val="0"/>
          <w:sz w:val="32"/>
          <w:szCs w:val="32"/>
          <w:lang w:val="en-US" w:eastAsia="zh-CN"/>
        </w:rPr>
        <w:t>41.64</w:t>
      </w:r>
      <w:r>
        <w:rPr>
          <w:rFonts w:hint="eastAsia"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val="en-US" w:eastAsia="zh-CN"/>
        </w:rPr>
        <w:t>水费0.67万元、电费1.48万元、</w:t>
      </w:r>
      <w:r>
        <w:rPr>
          <w:rFonts w:hint="eastAsia" w:ascii="Times New Roman" w:hAnsi="Times New Roman" w:eastAsia="仿宋_GB2312" w:cs="Times New Roman"/>
          <w:kern w:val="0"/>
          <w:sz w:val="32"/>
          <w:szCs w:val="32"/>
          <w:lang w:val="en-US" w:eastAsia="zh-CN"/>
        </w:rPr>
        <w:t>物业管理费</w:t>
      </w:r>
      <w:r>
        <w:rPr>
          <w:rFonts w:hint="eastAsia" w:eastAsia="仿宋_GB2312" w:cs="Times New Roman"/>
          <w:kern w:val="0"/>
          <w:sz w:val="32"/>
          <w:szCs w:val="32"/>
          <w:lang w:val="en-US" w:eastAsia="zh-CN"/>
        </w:rPr>
        <w:t>12.75</w:t>
      </w:r>
      <w:r>
        <w:rPr>
          <w:rFonts w:hint="eastAsia" w:ascii="Times New Roman" w:hAnsi="Times New Roman" w:eastAsia="仿宋_GB2312" w:cs="Times New Roman"/>
          <w:kern w:val="0"/>
          <w:sz w:val="32"/>
          <w:szCs w:val="32"/>
          <w:lang w:val="en-US" w:eastAsia="zh-CN"/>
        </w:rPr>
        <w:t>万元、邮电费</w:t>
      </w:r>
      <w:r>
        <w:rPr>
          <w:rFonts w:hint="eastAsia" w:eastAsia="仿宋_GB2312" w:cs="Times New Roman"/>
          <w:kern w:val="0"/>
          <w:sz w:val="32"/>
          <w:szCs w:val="32"/>
          <w:lang w:val="en-US" w:eastAsia="zh-CN"/>
        </w:rPr>
        <w:t>1.25</w:t>
      </w:r>
      <w:r>
        <w:rPr>
          <w:rFonts w:hint="eastAsia" w:ascii="Times New Roman" w:hAnsi="Times New Roman" w:eastAsia="仿宋_GB2312" w:cs="Times New Roman"/>
          <w:kern w:val="0"/>
          <w:sz w:val="32"/>
          <w:szCs w:val="32"/>
          <w:lang w:val="en-US" w:eastAsia="zh-CN"/>
        </w:rPr>
        <w:t>万元、差旅费</w:t>
      </w:r>
      <w:r>
        <w:rPr>
          <w:rFonts w:hint="eastAsia" w:eastAsia="仿宋_GB2312" w:cs="Times New Roman"/>
          <w:kern w:val="0"/>
          <w:sz w:val="32"/>
          <w:szCs w:val="32"/>
          <w:lang w:val="en-US" w:eastAsia="zh-CN"/>
        </w:rPr>
        <w:t>147.35</w:t>
      </w:r>
      <w:r>
        <w:rPr>
          <w:rFonts w:hint="eastAsia" w:ascii="Times New Roman" w:hAnsi="Times New Roman" w:eastAsia="仿宋_GB2312" w:cs="Times New Roman"/>
          <w:kern w:val="0"/>
          <w:sz w:val="32"/>
          <w:szCs w:val="32"/>
          <w:lang w:val="en-US" w:eastAsia="zh-CN"/>
        </w:rPr>
        <w:t>万元、监管所维修费</w:t>
      </w:r>
      <w:r>
        <w:rPr>
          <w:rFonts w:hint="eastAsia" w:eastAsia="仿宋_GB2312" w:cs="Times New Roman"/>
          <w:kern w:val="0"/>
          <w:sz w:val="32"/>
          <w:szCs w:val="32"/>
          <w:lang w:val="en-US" w:eastAsia="zh-CN"/>
        </w:rPr>
        <w:t>17.01</w:t>
      </w:r>
      <w:r>
        <w:rPr>
          <w:rFonts w:hint="eastAsia" w:ascii="Times New Roman" w:hAnsi="Times New Roman" w:eastAsia="仿宋_GB2312" w:cs="Times New Roman"/>
          <w:kern w:val="0"/>
          <w:sz w:val="32"/>
          <w:szCs w:val="32"/>
          <w:lang w:val="en-US" w:eastAsia="zh-CN"/>
        </w:rPr>
        <w:t>万元、租赁费</w:t>
      </w:r>
      <w:r>
        <w:rPr>
          <w:rFonts w:hint="eastAsia" w:eastAsia="仿宋_GB2312" w:cs="Times New Roman"/>
          <w:kern w:val="0"/>
          <w:sz w:val="32"/>
          <w:szCs w:val="32"/>
          <w:lang w:val="en-US" w:eastAsia="zh-CN"/>
        </w:rPr>
        <w:t>1.05</w:t>
      </w:r>
      <w:r>
        <w:rPr>
          <w:rFonts w:hint="eastAsia" w:ascii="Times New Roman" w:hAnsi="Times New Roman" w:eastAsia="仿宋_GB2312" w:cs="Times New Roman"/>
          <w:kern w:val="0"/>
          <w:sz w:val="32"/>
          <w:szCs w:val="32"/>
          <w:lang w:val="en-US" w:eastAsia="zh-CN"/>
        </w:rPr>
        <w:t>万元、会议费</w:t>
      </w:r>
      <w:r>
        <w:rPr>
          <w:rFonts w:hint="eastAsia" w:eastAsia="仿宋_GB2312" w:cs="Times New Roman"/>
          <w:kern w:val="0"/>
          <w:sz w:val="32"/>
          <w:szCs w:val="32"/>
          <w:lang w:val="en-US" w:eastAsia="zh-CN"/>
        </w:rPr>
        <w:t>10.69</w:t>
      </w:r>
      <w:r>
        <w:rPr>
          <w:rFonts w:hint="eastAsia" w:ascii="Times New Roman" w:hAnsi="Times New Roman" w:eastAsia="仿宋_GB2312" w:cs="Times New Roman"/>
          <w:kern w:val="0"/>
          <w:sz w:val="32"/>
          <w:szCs w:val="32"/>
          <w:lang w:val="en-US" w:eastAsia="zh-CN"/>
        </w:rPr>
        <w:t>万元、培训费</w:t>
      </w:r>
      <w:r>
        <w:rPr>
          <w:rFonts w:hint="eastAsia" w:eastAsia="仿宋_GB2312" w:cs="Times New Roman"/>
          <w:kern w:val="0"/>
          <w:sz w:val="32"/>
          <w:szCs w:val="32"/>
          <w:lang w:val="en-US" w:eastAsia="zh-CN"/>
        </w:rPr>
        <w:t>6.45</w:t>
      </w:r>
      <w:r>
        <w:rPr>
          <w:rFonts w:hint="eastAsia" w:ascii="Times New Roman" w:hAnsi="Times New Roman" w:eastAsia="仿宋_GB2312" w:cs="Times New Roman"/>
          <w:kern w:val="0"/>
          <w:sz w:val="32"/>
          <w:szCs w:val="32"/>
          <w:lang w:val="en-US" w:eastAsia="zh-CN"/>
        </w:rPr>
        <w:t>万元、专用材料费</w:t>
      </w:r>
      <w:r>
        <w:rPr>
          <w:rFonts w:hint="eastAsia" w:eastAsia="仿宋_GB2312" w:cs="Times New Roman"/>
          <w:kern w:val="0"/>
          <w:sz w:val="32"/>
          <w:szCs w:val="32"/>
          <w:lang w:val="en-US" w:eastAsia="zh-CN"/>
        </w:rPr>
        <w:t>16.01</w:t>
      </w:r>
      <w:r>
        <w:rPr>
          <w:rFonts w:hint="eastAsia" w:ascii="Times New Roman" w:hAnsi="Times New Roman" w:eastAsia="仿宋_GB2312" w:cs="Times New Roman"/>
          <w:kern w:val="0"/>
          <w:sz w:val="32"/>
          <w:szCs w:val="32"/>
          <w:lang w:val="en-US" w:eastAsia="zh-CN"/>
        </w:rPr>
        <w:t>万元、劳务费</w:t>
      </w:r>
      <w:r>
        <w:rPr>
          <w:rFonts w:hint="eastAsia" w:eastAsia="仿宋_GB2312" w:cs="Times New Roman"/>
          <w:kern w:val="0"/>
          <w:sz w:val="32"/>
          <w:szCs w:val="32"/>
          <w:lang w:val="en-US" w:eastAsia="zh-CN"/>
        </w:rPr>
        <w:t>75.36</w:t>
      </w:r>
      <w:r>
        <w:rPr>
          <w:rFonts w:hint="eastAsia" w:ascii="Times New Roman" w:hAnsi="Times New Roman" w:eastAsia="仿宋_GB2312" w:cs="Times New Roman"/>
          <w:kern w:val="0"/>
          <w:sz w:val="32"/>
          <w:szCs w:val="32"/>
          <w:lang w:val="en-US" w:eastAsia="zh-CN"/>
        </w:rPr>
        <w:t>万元、委托业务费</w:t>
      </w:r>
      <w:r>
        <w:rPr>
          <w:rFonts w:hint="eastAsia" w:eastAsia="仿宋_GB2312" w:cs="Times New Roman"/>
          <w:kern w:val="0"/>
          <w:sz w:val="32"/>
          <w:szCs w:val="32"/>
          <w:lang w:val="en-US" w:eastAsia="zh-CN"/>
        </w:rPr>
        <w:t>90.77</w:t>
      </w:r>
      <w:r>
        <w:rPr>
          <w:rFonts w:hint="eastAsia" w:ascii="Times New Roman" w:hAnsi="Times New Roman" w:eastAsia="仿宋_GB2312" w:cs="Times New Roman"/>
          <w:kern w:val="0"/>
          <w:sz w:val="32"/>
          <w:szCs w:val="32"/>
          <w:lang w:val="en-US" w:eastAsia="zh-CN"/>
        </w:rPr>
        <w:t>万元、其他交通费用</w:t>
      </w:r>
      <w:r>
        <w:rPr>
          <w:rFonts w:hint="eastAsia" w:eastAsia="仿宋_GB2312" w:cs="Times New Roman"/>
          <w:kern w:val="0"/>
          <w:sz w:val="32"/>
          <w:szCs w:val="32"/>
          <w:lang w:val="en-US" w:eastAsia="zh-CN"/>
        </w:rPr>
        <w:t>27.07</w:t>
      </w:r>
      <w:r>
        <w:rPr>
          <w:rFonts w:hint="eastAsia" w:ascii="Times New Roman" w:hAnsi="Times New Roman" w:eastAsia="仿宋_GB2312" w:cs="Times New Roman"/>
          <w:kern w:val="0"/>
          <w:sz w:val="32"/>
          <w:szCs w:val="32"/>
          <w:lang w:val="en-US" w:eastAsia="zh-CN"/>
        </w:rPr>
        <w:t>万元、其他商品和服务支出</w:t>
      </w:r>
      <w:r>
        <w:rPr>
          <w:rFonts w:hint="eastAsia" w:eastAsia="仿宋_GB2312" w:cs="Times New Roman"/>
          <w:kern w:val="0"/>
          <w:sz w:val="32"/>
          <w:szCs w:val="32"/>
          <w:lang w:val="en-US" w:eastAsia="zh-CN"/>
        </w:rPr>
        <w:t>266.17</w:t>
      </w:r>
      <w:r>
        <w:rPr>
          <w:rFonts w:hint="eastAsia" w:ascii="Times New Roman" w:hAnsi="Times New Roman" w:eastAsia="仿宋_GB2312" w:cs="Times New Roman"/>
          <w:kern w:val="0"/>
          <w:sz w:val="32"/>
          <w:szCs w:val="32"/>
          <w:lang w:val="en-US" w:eastAsia="zh-CN"/>
        </w:rPr>
        <w:t>万元、办公设备的购置</w:t>
      </w:r>
      <w:r>
        <w:rPr>
          <w:rFonts w:hint="eastAsia" w:eastAsia="仿宋_GB2312" w:cs="Times New Roman"/>
          <w:kern w:val="0"/>
          <w:sz w:val="32"/>
          <w:szCs w:val="32"/>
          <w:lang w:val="en-US" w:eastAsia="zh-CN"/>
        </w:rPr>
        <w:t>70.16</w:t>
      </w:r>
      <w:r>
        <w:rPr>
          <w:rFonts w:hint="eastAsia" w:ascii="Times New Roman" w:hAnsi="Times New Roman" w:eastAsia="仿宋_GB2312" w:cs="Times New Roman"/>
          <w:kern w:val="0"/>
          <w:sz w:val="32"/>
          <w:szCs w:val="32"/>
          <w:lang w:val="en-US" w:eastAsia="zh-CN"/>
        </w:rPr>
        <w:t>万元、专用设备的购置</w:t>
      </w:r>
      <w:r>
        <w:rPr>
          <w:rFonts w:hint="eastAsia" w:eastAsia="仿宋_GB2312" w:cs="Times New Roman"/>
          <w:kern w:val="0"/>
          <w:sz w:val="32"/>
          <w:szCs w:val="32"/>
          <w:lang w:val="en-US" w:eastAsia="zh-CN"/>
        </w:rPr>
        <w:t>1.58</w:t>
      </w:r>
      <w:r>
        <w:rPr>
          <w:rFonts w:hint="eastAsia" w:ascii="Times New Roman" w:hAnsi="Times New Roman" w:eastAsia="仿宋_GB2312" w:cs="Times New Roman"/>
          <w:kern w:val="0"/>
          <w:sz w:val="32"/>
          <w:szCs w:val="32"/>
          <w:lang w:val="en-US" w:eastAsia="zh-CN"/>
        </w:rPr>
        <w:t>万元、大型修缮</w:t>
      </w:r>
      <w:r>
        <w:rPr>
          <w:rFonts w:hint="eastAsia" w:eastAsia="仿宋_GB2312" w:cs="Times New Roman"/>
          <w:kern w:val="0"/>
          <w:sz w:val="32"/>
          <w:szCs w:val="32"/>
          <w:lang w:val="en-US" w:eastAsia="zh-CN"/>
        </w:rPr>
        <w:t>34.08</w:t>
      </w:r>
      <w:r>
        <w:rPr>
          <w:rFonts w:hint="eastAsia" w:ascii="Times New Roman" w:hAnsi="Times New Roman" w:eastAsia="仿宋_GB2312" w:cs="Times New Roman"/>
          <w:kern w:val="0"/>
          <w:sz w:val="32"/>
          <w:szCs w:val="32"/>
          <w:lang w:val="en-US" w:eastAsia="zh-CN"/>
        </w:rPr>
        <w:t>万元、信息网络及软件购置更新</w:t>
      </w:r>
      <w:r>
        <w:rPr>
          <w:rFonts w:hint="eastAsia" w:eastAsia="仿宋_GB2312" w:cs="Times New Roman"/>
          <w:kern w:val="0"/>
          <w:sz w:val="32"/>
          <w:szCs w:val="32"/>
          <w:lang w:val="en-US" w:eastAsia="zh-CN"/>
        </w:rPr>
        <w:t>62.36</w:t>
      </w:r>
      <w:r>
        <w:rPr>
          <w:rFonts w:hint="eastAsia"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val="en-US" w:eastAsia="zh-CN"/>
        </w:rPr>
        <w:t>、对企业的费用补贴30万元</w:t>
      </w:r>
      <w:r>
        <w:rPr>
          <w:rFonts w:hint="eastAsia" w:ascii="Times New Roman" w:hAnsi="Times New Roman" w:eastAsia="仿宋_GB2312" w:cs="Times New Roman"/>
          <w:kern w:val="0"/>
          <w:sz w:val="32"/>
          <w:szCs w:val="32"/>
          <w:lang w:val="en-US" w:eastAsia="zh-CN"/>
        </w:rPr>
        <w:t>。</w:t>
      </w:r>
    </w:p>
    <w:p>
      <w:pPr>
        <w:pStyle w:val="2"/>
        <w:numPr>
          <w:ilvl w:val="0"/>
          <w:numId w:val="0"/>
        </w:numPr>
        <w:rPr>
          <w:rFonts w:hint="eastAsia"/>
        </w:rPr>
      </w:pP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、部门整体支出绩效情况</w:t>
      </w:r>
    </w:p>
    <w:p>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202</w:t>
      </w:r>
      <w:r>
        <w:rPr>
          <w:rFonts w:hint="eastAsia" w:ascii="仿宋_GB2312" w:eastAsia="仿宋_GB2312" w:cs="Times New Roman"/>
          <w:color w:val="000000"/>
          <w:sz w:val="32"/>
          <w:szCs w:val="32"/>
          <w:lang w:val="en-US" w:eastAsia="zh-CN"/>
        </w:rPr>
        <w:t>3</w:t>
      </w:r>
      <w:bookmarkStart w:id="0" w:name="_GoBack"/>
      <w:bookmarkEnd w:id="0"/>
      <w:r>
        <w:rPr>
          <w:rFonts w:hint="eastAsia" w:ascii="仿宋_GB2312" w:hAnsi="Times New Roman" w:eastAsia="仿宋_GB2312" w:cs="Times New Roman"/>
          <w:color w:val="000000"/>
          <w:sz w:val="32"/>
          <w:szCs w:val="32"/>
          <w:lang w:val="en-US" w:eastAsia="zh-CN"/>
        </w:rPr>
        <w:t>年安化县市场监督管理局在县委、县政府的坚强领导和省、市市场监管局的精心指导下，深入贯彻落实习近平新时代中国特色社会主义思想，坚持以习近平总书记关于市场监管重要论述为根本遵循，认真贯彻落实省、市市场监管局和县委、县政府的工作部署，坚持不懈守底线、维秩序、优环境、促发展，在落实“三高四新”战略中干在实处、走在前列，推动安化高质量发展。现将部门整体支出绩效情况总结如下：</w:t>
      </w:r>
    </w:p>
    <w:p>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运行成本方面：严格执行各项财经法规制度以及《三重一大集体决策制度》《专项资金管理办法》《预算业务管理制度》《收支业务管理制度》等一系列管理办法，切实降低行政运行成本。贯彻落实党中央、国务院和省委、省政府关于带头过“紧日子”的部署要求，坚持精打细算、勤俭节约，优化部门支出结构，大力压减一般性支出，加强车辆管理，严格控制公务用车购置和运行经费支出；加强公务接待管理，严格执行公务接待公函、清单、审批等制度，严控公务接待费用支出。</w:t>
      </w:r>
    </w:p>
    <w:p>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2、经济效益指标：我局违法案件共办理</w:t>
      </w:r>
      <w:r>
        <w:rPr>
          <w:rFonts w:hint="eastAsia" w:ascii="仿宋_GB2312" w:eastAsia="仿宋_GB2312" w:cs="Times New Roman"/>
          <w:color w:val="000000"/>
          <w:sz w:val="32"/>
          <w:szCs w:val="32"/>
          <w:lang w:val="en-US" w:eastAsia="zh-CN"/>
        </w:rPr>
        <w:t>192</w:t>
      </w:r>
      <w:r>
        <w:rPr>
          <w:rFonts w:hint="eastAsia" w:ascii="仿宋_GB2312" w:hAnsi="Times New Roman" w:eastAsia="仿宋_GB2312" w:cs="Times New Roman"/>
          <w:color w:val="000000"/>
          <w:sz w:val="32"/>
          <w:szCs w:val="32"/>
          <w:lang w:val="en-US" w:eastAsia="zh-CN"/>
        </w:rPr>
        <w:t>起，上缴罚没收入5</w:t>
      </w:r>
      <w:r>
        <w:rPr>
          <w:rFonts w:hint="eastAsia" w:ascii="仿宋_GB2312" w:eastAsia="仿宋_GB2312" w:cs="Times New Roman"/>
          <w:color w:val="000000"/>
          <w:sz w:val="32"/>
          <w:szCs w:val="32"/>
          <w:lang w:val="en-US" w:eastAsia="zh-CN"/>
        </w:rPr>
        <w:t>73.66</w:t>
      </w:r>
      <w:r>
        <w:rPr>
          <w:rFonts w:hint="eastAsia" w:ascii="仿宋_GB2312" w:hAnsi="Times New Roman" w:eastAsia="仿宋_GB2312" w:cs="Times New Roman"/>
          <w:color w:val="000000"/>
          <w:sz w:val="32"/>
          <w:szCs w:val="32"/>
          <w:lang w:val="en-US" w:eastAsia="zh-CN"/>
        </w:rPr>
        <w:t>万元.</w:t>
      </w:r>
    </w:p>
    <w:p>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3、社会效益指标：坚持党建引领，深入各乡镇开展3.15活动、食品安全宣传周、药品安全月、打击传销活动、计量安全宣传周等活动，营造良好宣传氛围。</w:t>
      </w:r>
    </w:p>
    <w:p>
      <w:pPr>
        <w:keepNext w:val="0"/>
        <w:keepLines w:val="0"/>
        <w:pageBreakBefore w:val="0"/>
        <w:widowControl w:val="0"/>
        <w:numPr>
          <w:ilvl w:val="0"/>
          <w:numId w:val="0"/>
        </w:numPr>
        <w:pBdr>
          <w:top w:val="none" w:color="000000" w:sz="0" w:space="0"/>
          <w:left w:val="none" w:color="000000" w:sz="0" w:space="0"/>
          <w:bottom w:val="none" w:color="000000" w:sz="0" w:space="8"/>
          <w:right w:val="none" w:color="000000" w:sz="0" w:space="1"/>
        </w:pBdr>
        <w:kinsoku/>
        <w:wordWrap/>
        <w:overflowPunct/>
        <w:topLinePunct w:val="0"/>
        <w:autoSpaceDE/>
        <w:autoSpaceDN w:val="0"/>
        <w:bidi w:val="0"/>
        <w:adjustRightInd/>
        <w:snapToGrid w:val="0"/>
        <w:spacing w:line="560" w:lineRule="exact"/>
        <w:ind w:firstLine="640" w:firstLineChars="200"/>
        <w:contextualSpacing/>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4.可持续影响指标：加强市场监管，维护市场经济良好秩序，保民生，提升群众生活幸福指数。</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color w:val="000000"/>
          <w:kern w:val="0"/>
          <w:sz w:val="32"/>
          <w:szCs w:val="32"/>
        </w:rPr>
        <w:t>履职效能方面：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以“时时放心不下”的责任感，压实安全责任、织密安全网络，食品、药品、特种设备、产品质量“四大安全”形势总体平稳，全年安全事故“零发生”。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eastAsia="zh-CN"/>
        </w:rPr>
        <w:t>一是食品安全监管严抓细管。</w:t>
      </w:r>
      <w:r>
        <w:rPr>
          <w:rFonts w:hint="eastAsia" w:ascii="仿宋_GB2312" w:hAnsi="仿宋_GB2312" w:eastAsia="仿宋_GB2312" w:cs="仿宋_GB2312"/>
          <w:i w:val="0"/>
          <w:iCs w:val="0"/>
          <w:caps w:val="0"/>
          <w:color w:val="000000"/>
          <w:spacing w:val="0"/>
          <w:sz w:val="32"/>
          <w:szCs w:val="32"/>
          <w:shd w:val="clear" w:fill="FFFFFF"/>
          <w:lang w:eastAsia="zh-CN"/>
        </w:rPr>
        <w:t>全面推进食品安全“两个责任”工作机制，</w:t>
      </w:r>
      <w:r>
        <w:rPr>
          <w:rFonts w:hint="eastAsia" w:ascii="仿宋_GB2312" w:hAnsi="仿宋_GB2312" w:eastAsia="仿宋_GB2312" w:cs="仿宋_GB2312"/>
          <w:color w:val="000000"/>
          <w:sz w:val="32"/>
          <w:szCs w:val="32"/>
          <w:lang w:val="en-US" w:eastAsia="zh-CN"/>
        </w:rPr>
        <w:t>开展“两个责任”知识及平台应用操作等各类培训22次，培训包保干部900余人、企业主体1220家，</w:t>
      </w:r>
      <w:r>
        <w:rPr>
          <w:rFonts w:hint="eastAsia" w:ascii="仿宋_GB2312" w:hAnsi="仿宋_GB2312" w:eastAsia="仿宋_GB2312" w:cs="仿宋_GB2312"/>
          <w:color w:val="000000"/>
          <w:sz w:val="32"/>
          <w:szCs w:val="32"/>
          <w:highlight w:val="none"/>
          <w:lang w:val="en-US" w:eastAsia="zh-CN"/>
        </w:rPr>
        <w:t>全县食品安全“两个责任”督导率、问题整改完成率、主体“日管控、周排查、月调度”覆盖率和执行率均居全市前列；</w:t>
      </w:r>
      <w:r>
        <w:rPr>
          <w:rFonts w:hint="eastAsia" w:ascii="仿宋_GB2312" w:hAnsi="仿宋_GB2312" w:eastAsia="仿宋_GB2312" w:cs="仿宋_GB2312"/>
          <w:b w:val="0"/>
          <w:i w:val="0"/>
          <w:caps w:val="0"/>
          <w:color w:val="000000"/>
          <w:spacing w:val="0"/>
          <w:w w:val="100"/>
          <w:kern w:val="2"/>
          <w:sz w:val="32"/>
          <w:szCs w:val="32"/>
          <w:lang w:val="en-US" w:eastAsia="zh-CN" w:bidi="ar-SA"/>
        </w:rPr>
        <w:t>开展“昆仑2023”“铁拳2023”“护老护苗”联合执法行动，</w:t>
      </w:r>
      <w:r>
        <w:rPr>
          <w:rFonts w:hint="eastAsia" w:ascii="仿宋_GB2312" w:hAnsi="仿宋_GB2312" w:eastAsia="仿宋_GB2312" w:cs="仿宋_GB2312"/>
          <w:color w:val="000000"/>
          <w:sz w:val="32"/>
          <w:szCs w:val="32"/>
          <w:lang w:eastAsia="zh-CN"/>
        </w:rPr>
        <w:t>加强</w:t>
      </w:r>
      <w:r>
        <w:rPr>
          <w:rFonts w:hint="eastAsia" w:ascii="仿宋_GB2312" w:hAnsi="仿宋_GB2312" w:eastAsia="仿宋_GB2312" w:cs="仿宋_GB2312"/>
          <w:color w:val="000000"/>
          <w:sz w:val="32"/>
          <w:szCs w:val="32"/>
        </w:rPr>
        <w:t>“年关守护”</w:t>
      </w:r>
      <w:r>
        <w:rPr>
          <w:rFonts w:hint="eastAsia" w:ascii="仿宋_GB2312" w:hAnsi="仿宋_GB2312" w:eastAsia="仿宋_GB2312" w:cs="仿宋_GB2312"/>
          <w:color w:val="000000"/>
          <w:sz w:val="32"/>
          <w:szCs w:val="32"/>
          <w:lang w:eastAsia="zh-CN"/>
        </w:rPr>
        <w:t>、端午、</w:t>
      </w:r>
      <w:r>
        <w:rPr>
          <w:rFonts w:hint="eastAsia" w:ascii="仿宋_GB2312" w:hAnsi="仿宋_GB2312" w:eastAsia="仿宋_GB2312" w:cs="仿宋_GB2312"/>
          <w:color w:val="000000"/>
          <w:sz w:val="32"/>
          <w:szCs w:val="32"/>
        </w:rPr>
        <w:t>中秋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国庆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“两会三考”</w:t>
      </w:r>
      <w:r>
        <w:rPr>
          <w:rFonts w:hint="eastAsia" w:ascii="仿宋_GB2312" w:hAnsi="仿宋_GB2312" w:eastAsia="仿宋_GB2312" w:cs="仿宋_GB2312"/>
          <w:color w:val="000000"/>
          <w:sz w:val="32"/>
          <w:szCs w:val="32"/>
          <w:lang w:eastAsia="zh-CN"/>
        </w:rPr>
        <w:t>等重要节点</w:t>
      </w:r>
      <w:r>
        <w:rPr>
          <w:rFonts w:hint="eastAsia" w:ascii="仿宋_GB2312" w:hAnsi="仿宋_GB2312" w:eastAsia="仿宋_GB2312" w:cs="仿宋_GB2312"/>
          <w:color w:val="000000"/>
          <w:sz w:val="32"/>
          <w:szCs w:val="32"/>
        </w:rPr>
        <w:t>食品安全</w:t>
      </w:r>
      <w:r>
        <w:rPr>
          <w:rFonts w:hint="eastAsia" w:ascii="仿宋_GB2312" w:hAnsi="仿宋_GB2312" w:eastAsia="仿宋_GB2312" w:cs="仿宋_GB2312"/>
          <w:color w:val="000000"/>
          <w:sz w:val="32"/>
          <w:szCs w:val="32"/>
          <w:lang w:eastAsia="zh-CN"/>
        </w:rPr>
        <w:t>保障，</w:t>
      </w:r>
      <w:r>
        <w:rPr>
          <w:rFonts w:hint="eastAsia" w:ascii="仿宋_GB2312" w:hAnsi="仿宋_GB2312" w:eastAsia="仿宋_GB2312" w:cs="仿宋_GB2312"/>
          <w:b w:val="0"/>
          <w:i w:val="0"/>
          <w:caps w:val="0"/>
          <w:color w:val="000000"/>
          <w:spacing w:val="0"/>
          <w:w w:val="100"/>
          <w:kern w:val="2"/>
          <w:sz w:val="32"/>
          <w:szCs w:val="32"/>
          <w:lang w:val="en-US" w:eastAsia="zh-CN" w:bidi="ar-SA"/>
        </w:rPr>
        <w:t>严厉打击违</w:t>
      </w:r>
      <w:r>
        <w:rPr>
          <w:rFonts w:hint="eastAsia" w:ascii="仿宋_GB2312" w:hAnsi="仿宋_GB2312" w:eastAsia="仿宋_GB2312" w:cs="仿宋_GB2312"/>
          <w:color w:val="000000"/>
          <w:sz w:val="32"/>
          <w:szCs w:val="32"/>
          <w:lang w:val="en-US" w:eastAsia="zh-CN"/>
        </w:rPr>
        <w:t>法行为，共查处违法案件87起；</w:t>
      </w:r>
      <w:r>
        <w:rPr>
          <w:rFonts w:hint="eastAsia" w:ascii="仿宋_GB2312" w:hAnsi="仿宋_GB2312" w:eastAsia="仿宋_GB2312" w:cs="仿宋_GB2312"/>
          <w:kern w:val="0"/>
          <w:sz w:val="32"/>
          <w:szCs w:val="32"/>
          <w:lang w:val="en-US" w:eastAsia="zh-CN"/>
        </w:rPr>
        <w:t>建成互联网+智慧监管综合平台，引导餐饮服务单位主动对接平台进行监管，</w:t>
      </w:r>
      <w:r>
        <w:rPr>
          <w:rFonts w:hint="eastAsia" w:ascii="仿宋_GB2312" w:hAnsi="仿宋_GB2312" w:eastAsia="仿宋_GB2312" w:cs="仿宋_GB2312"/>
          <w:color w:val="000000"/>
          <w:sz w:val="32"/>
          <w:szCs w:val="32"/>
          <w:lang w:val="en-US" w:eastAsia="zh-CN"/>
        </w:rPr>
        <w:t>全县260家学校食堂</w:t>
      </w:r>
      <w:r>
        <w:rPr>
          <w:rFonts w:hint="eastAsia" w:ascii="仿宋_GB2312" w:hAnsi="仿宋_GB2312" w:eastAsia="仿宋_GB2312" w:cs="仿宋_GB2312"/>
          <w:kern w:val="0"/>
          <w:sz w:val="32"/>
          <w:szCs w:val="32"/>
          <w:lang w:val="en-US" w:eastAsia="zh-CN"/>
        </w:rPr>
        <w:t>明厨亮灶已实现全覆盖，“互联网+明厨亮灶”</w:t>
      </w:r>
      <w:r>
        <w:rPr>
          <w:rFonts w:hint="eastAsia" w:ascii="仿宋_GB2312" w:hAnsi="仿宋_GB2312" w:eastAsia="仿宋_GB2312" w:cs="仿宋_GB2312"/>
          <w:kern w:val="0"/>
          <w:sz w:val="32"/>
          <w:szCs w:val="32"/>
          <w:highlight w:val="none"/>
          <w:lang w:val="en-US" w:eastAsia="zh-CN"/>
        </w:rPr>
        <w:t>覆盖率达80.8%，</w:t>
      </w:r>
      <w:r>
        <w:rPr>
          <w:rFonts w:hint="eastAsia" w:ascii="仿宋_GB2312" w:hAnsi="仿宋_GB2312" w:eastAsia="仿宋_GB2312" w:cs="仿宋_GB2312"/>
          <w:sz w:val="32"/>
          <w:szCs w:val="32"/>
        </w:rPr>
        <w:t>食品抽检合格率达97.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二是药械安全监管可圈可点。</w:t>
      </w:r>
      <w:r>
        <w:rPr>
          <w:rFonts w:hint="eastAsia" w:ascii="仿宋_GB2312" w:hAnsi="仿宋_GB2312" w:eastAsia="仿宋_GB2312" w:cs="仿宋_GB2312"/>
          <w:b w:val="0"/>
          <w:i w:val="0"/>
          <w:caps w:val="0"/>
          <w:color w:val="000000"/>
          <w:spacing w:val="0"/>
          <w:w w:val="100"/>
          <w:kern w:val="2"/>
          <w:sz w:val="32"/>
          <w:szCs w:val="32"/>
          <w:lang w:val="en-US" w:eastAsia="zh-CN" w:bidi="ar-SA"/>
        </w:rPr>
        <w:t>深入开展药品流通环节、特殊及专管药品、疫苗、器械清网等专项行动和“三医”“五医”、麻精药品、中药饮片等多部门联合行动，完成血液、疫苗、麻精药品等高风险品种的全覆盖检查，强化对无菌和植入性医疗器械等高风险产品质量的监管，中药饮片、中成药抽检合格率100%，全年查办药械化案件</w:t>
      </w:r>
      <w:r>
        <w:rPr>
          <w:rFonts w:hint="eastAsia" w:ascii="仿宋_GB2312" w:hAnsi="仿宋_GB2312" w:eastAsia="仿宋_GB2312" w:cs="仿宋_GB2312"/>
          <w:b w:val="0"/>
          <w:i w:val="0"/>
          <w:caps w:val="0"/>
          <w:color w:val="000000"/>
          <w:spacing w:val="0"/>
          <w:w w:val="100"/>
          <w:kern w:val="2"/>
          <w:sz w:val="32"/>
          <w:szCs w:val="32"/>
          <w:highlight w:val="none"/>
          <w:lang w:val="en-US" w:eastAsia="zh-CN" w:bidi="ar-SA"/>
        </w:rPr>
        <w:t>51</w:t>
      </w:r>
      <w:r>
        <w:rPr>
          <w:rFonts w:hint="eastAsia" w:ascii="仿宋_GB2312" w:hAnsi="仿宋_GB2312" w:eastAsia="仿宋_GB2312" w:cs="仿宋_GB2312"/>
          <w:b w:val="0"/>
          <w:i w:val="0"/>
          <w:caps w:val="0"/>
          <w:color w:val="000000"/>
          <w:spacing w:val="0"/>
          <w:w w:val="100"/>
          <w:kern w:val="2"/>
          <w:sz w:val="32"/>
          <w:szCs w:val="32"/>
          <w:lang w:val="en-US" w:eastAsia="zh-CN" w:bidi="ar-SA"/>
        </w:rPr>
        <w:t>件，向公安机关移送案件2起。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bCs/>
          <w:sz w:val="32"/>
          <w:szCs w:val="32"/>
        </w:rPr>
        <w:t>三是特设安全治理主动作为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i w:val="0"/>
          <w:caps w:val="0"/>
          <w:color w:val="000000"/>
          <w:spacing w:val="0"/>
          <w:w w:val="100"/>
          <w:kern w:val="2"/>
          <w:sz w:val="32"/>
          <w:szCs w:val="32"/>
          <w:lang w:val="en-US" w:eastAsia="zh-CN" w:bidi="ar-SA"/>
        </w:rPr>
        <w:t>聚焦特种设备超期未检、电梯质量安全提升、燃气安全、“黑气瓶”整治巩固等重点内容开展监督检查，实现2758台（套）在用特种设备安全监管全覆盖，督促指导900家特种设备使用单位落实特种设备安全“两个责任规定”，完成395处燃气安全隐患的整改录入，全年查办特种设备案件37起，结案28起，处罚30余万元，有效防范和坚决遏制安全事故的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仿宋_GB2312" w:hAnsi="仿宋_GB2312" w:eastAsia="仿宋_GB2312" w:cs="仿宋_GB2312"/>
          <w:b/>
          <w:bCs/>
          <w:sz w:val="32"/>
          <w:szCs w:val="32"/>
        </w:rPr>
        <w:t>四是产品质量监管重点突出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i w:val="0"/>
          <w:caps w:val="0"/>
          <w:color w:val="000000"/>
          <w:spacing w:val="0"/>
          <w:w w:val="100"/>
          <w:kern w:val="2"/>
          <w:sz w:val="32"/>
          <w:szCs w:val="32"/>
          <w:lang w:val="en-US" w:eastAsia="zh-CN" w:bidi="ar-SA"/>
        </w:rPr>
        <w:t>开展各类产品质量专项整治、检测机构专项整治和质量体系认证事中事后监管工作，规范和优化机动车检验机构资质认定要求，围绕农资、塑料制品、食品相关产品、儿童学生用品、成品油、电动自行车等重点产品开展产品质量集中整治行动128次，检查市场主体1120户，抽检工业产品260批次，合格率96.8%,查办产品质量相关案件25起，消费品合格率位列全市第一，质量发展环境不断优化。</w:t>
      </w:r>
    </w:p>
    <w:p>
      <w:pPr>
        <w:numPr>
          <w:ilvl w:val="0"/>
          <w:numId w:val="0"/>
        </w:numPr>
        <w:rPr>
          <w:rFonts w:hint="default"/>
          <w:lang w:val="en-US" w:eastAsia="zh-CN"/>
        </w:rPr>
      </w:pPr>
    </w:p>
    <w:p>
      <w:pPr>
        <w:keepNext w:val="0"/>
        <w:keepLines w:val="0"/>
        <w:pageBreakBefore w:val="0"/>
        <w:widowControl/>
        <w:tabs>
          <w:tab w:val="left" w:pos="591"/>
        </w:tabs>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四</w:t>
      </w:r>
      <w:r>
        <w:rPr>
          <w:rFonts w:hint="eastAsia" w:ascii="黑体" w:hAnsi="黑体" w:eastAsia="黑体" w:cs="宋体"/>
          <w:color w:val="000000"/>
          <w:kern w:val="0"/>
          <w:sz w:val="32"/>
          <w:szCs w:val="32"/>
        </w:rPr>
        <w:t>、存在的问题及原因分析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一是量化并细化相应的绩效指标，以进行更准确、更完整的预算编制。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二是加强项目管理和实施中各个环节工作人员的执行力及业务能力，例如：申请资金、项目报账、与实施单位沟通等工作效率和能力。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三是严格按照国家财经法规和财务管理制度规定以及有关专项资金管理办法的规定使用财政资金，资金支出按照严格的审批程序和手续进行，重大项目支出应按规定进行评估论证，支出符合预算批复的用途，不截留、挤占、挪用、虚列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四是严格执行相关资产管理制度，加强国有资产管理，做到资产保存完整、配置合理、处置规范、账务管理合规、账实相符、资产有偿使用及处置收入及时足额上缴。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五是单位领导及财务人员加强财务法律、法规学习。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六是往来款项要及时清理、及时报账。</w:t>
      </w:r>
    </w:p>
    <w:p>
      <w:pPr>
        <w:keepNext w:val="0"/>
        <w:keepLines w:val="0"/>
        <w:pageBreakBefore w:val="0"/>
        <w:widowControl/>
        <w:numPr>
          <w:ilvl w:val="0"/>
          <w:numId w:val="2"/>
        </w:numPr>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（一）随着绩效评价越来越重要，恳请举办相关的培训，对相关的财务人员进行培训，使绩效目标的设置更加精准，绩效评价更加合理合规。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（二）进一步规范绩效目标编制。在编制项目资金绩效目标时要求指向明确、细化量化、合理可行、相应匹配。提高预算编制的科学化精细化水平。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三）细化预算编制工作。严格按照预算编制的相关制度和要求，公用经费根据单位的年度工作重点和项目专项工作规划，本着“勤俭节约、保障运转”的原则进行预算的编制，进一步提高预算编制的科学性、合理性、严谨性和可控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（四）建立长效机制。把绩效评价作为本单位的日常工作，建立绩效评价管理工作考核的长效机制，进一步完善内控管理制度。</w:t>
      </w:r>
    </w:p>
    <w:p>
      <w:pPr>
        <w:pStyle w:val="2"/>
        <w:numPr>
          <w:ilvl w:val="0"/>
          <w:numId w:val="0"/>
        </w:numPr>
        <w:rPr>
          <w:rFonts w:hint="eastAsia"/>
        </w:rPr>
      </w:pPr>
    </w:p>
    <w:p>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本单位主要参照部门绩效自评情况参照《安化县财政局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val="0"/>
          <w:i w:val="0"/>
          <w:caps w:val="0"/>
          <w:color w:val="000000"/>
          <w:spacing w:val="0"/>
          <w:w w:val="100"/>
          <w:kern w:val="2"/>
          <w:sz w:val="32"/>
          <w:szCs w:val="32"/>
          <w:lang w:val="en-US" w:eastAsia="zh-CN" w:bidi="ar-SA"/>
        </w:rPr>
        <w:t>关于开展2023年度预算部门支出绩效自评工作的通知》（安财绩[2024]2号）建立自评指标体系，从投入、过程、部门产出绩效三个方面设置了综合指标、共性指标、个性指标等三类涵盖预算编制、预算执行、资产管理、项目管理、资源配置、履职完成及效益等多项评价指标，整体支出绩效评价方法：因素分析法、比较等。预算编制依据充分、数据详实、结构优化、细化可执行。基础信息完善、数据更新及时、依据真实完整。项目预算整合归类合理，目标明确，项目储备充分、完整。并成立绩效自评小组，实施询问、检查等必要的工作程序并抽查会计记录包括原始凭证、记账凭证、会计账簿等相关会计资料、复核预决算报表及编制依据。获取的资料和证据是充分的，实施的工作方法和程序是适当的。根据单位自评，自评结果为98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w w:val="100"/>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99A49"/>
    <w:multiLevelType w:val="singleLevel"/>
    <w:tmpl w:val="AD499A49"/>
    <w:lvl w:ilvl="0" w:tentative="0">
      <w:start w:val="5"/>
      <w:numFmt w:val="chineseCounting"/>
      <w:suff w:val="nothing"/>
      <w:lvlText w:val="%1、"/>
      <w:lvlJc w:val="left"/>
      <w:rPr>
        <w:rFonts w:hint="eastAsia"/>
      </w:rPr>
    </w:lvl>
  </w:abstractNum>
  <w:abstractNum w:abstractNumId="1">
    <w:nsid w:val="5E282B60"/>
    <w:multiLevelType w:val="singleLevel"/>
    <w:tmpl w:val="5E282B6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M2UyNzU4ZWFiYmEzMzRmNDJhZGNmNDZlNjE5OTQifQ=="/>
  </w:docVars>
  <w:rsids>
    <w:rsidRoot w:val="00000000"/>
    <w:rsid w:val="00770A3A"/>
    <w:rsid w:val="06287400"/>
    <w:rsid w:val="067601CC"/>
    <w:rsid w:val="06E96BF0"/>
    <w:rsid w:val="07F91DC9"/>
    <w:rsid w:val="08D12BC0"/>
    <w:rsid w:val="091E4E4A"/>
    <w:rsid w:val="0A322311"/>
    <w:rsid w:val="0A60178D"/>
    <w:rsid w:val="0AEF1C65"/>
    <w:rsid w:val="0C0B7609"/>
    <w:rsid w:val="0D305579"/>
    <w:rsid w:val="110F2591"/>
    <w:rsid w:val="158F3058"/>
    <w:rsid w:val="163A1FCD"/>
    <w:rsid w:val="17011D34"/>
    <w:rsid w:val="184C20C4"/>
    <w:rsid w:val="1A816620"/>
    <w:rsid w:val="1ABB087D"/>
    <w:rsid w:val="1E9A7F33"/>
    <w:rsid w:val="1EE417AA"/>
    <w:rsid w:val="1F4849A4"/>
    <w:rsid w:val="216B6728"/>
    <w:rsid w:val="243C1E54"/>
    <w:rsid w:val="243C4827"/>
    <w:rsid w:val="25D15424"/>
    <w:rsid w:val="27553300"/>
    <w:rsid w:val="29E928DF"/>
    <w:rsid w:val="2DBF62CF"/>
    <w:rsid w:val="2DE0224B"/>
    <w:rsid w:val="2E39492B"/>
    <w:rsid w:val="304A5411"/>
    <w:rsid w:val="326C78E9"/>
    <w:rsid w:val="37E961F5"/>
    <w:rsid w:val="3A8E0175"/>
    <w:rsid w:val="3AE25855"/>
    <w:rsid w:val="3D8726E3"/>
    <w:rsid w:val="3FE71217"/>
    <w:rsid w:val="400C5FCD"/>
    <w:rsid w:val="401F7607"/>
    <w:rsid w:val="41032592"/>
    <w:rsid w:val="46C64529"/>
    <w:rsid w:val="4B5005B9"/>
    <w:rsid w:val="4C6027F5"/>
    <w:rsid w:val="4F053468"/>
    <w:rsid w:val="5154073D"/>
    <w:rsid w:val="54AA0882"/>
    <w:rsid w:val="576D604E"/>
    <w:rsid w:val="576F0018"/>
    <w:rsid w:val="58D2085F"/>
    <w:rsid w:val="59D6612D"/>
    <w:rsid w:val="5A5A0B0C"/>
    <w:rsid w:val="5AEC231F"/>
    <w:rsid w:val="5B7F07B6"/>
    <w:rsid w:val="5CE43445"/>
    <w:rsid w:val="5CF60894"/>
    <w:rsid w:val="5F155135"/>
    <w:rsid w:val="5FB530C1"/>
    <w:rsid w:val="625F782C"/>
    <w:rsid w:val="64DF5706"/>
    <w:rsid w:val="64ED08C3"/>
    <w:rsid w:val="688C3C91"/>
    <w:rsid w:val="6B4F201C"/>
    <w:rsid w:val="708C3591"/>
    <w:rsid w:val="732E7D1B"/>
    <w:rsid w:val="73833364"/>
    <w:rsid w:val="744C43A5"/>
    <w:rsid w:val="74F34D18"/>
    <w:rsid w:val="760616F0"/>
    <w:rsid w:val="76746FA2"/>
    <w:rsid w:val="76935D1A"/>
    <w:rsid w:val="779D453F"/>
    <w:rsid w:val="7C120DEF"/>
    <w:rsid w:val="7DB4329A"/>
    <w:rsid w:val="7FCA0FAB"/>
    <w:rsid w:val="7FF90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99"/>
    <w:rPr>
      <w:rFonts w:ascii="黑体" w:hAnsi="黑体" w:eastAsia="黑体" w:cs="黑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line="360" w:lineRule="auto"/>
      <w:jc w:val="left"/>
    </w:pPr>
    <w:rPr>
      <w:rFonts w:ascii="宋体" w:hAnsi="宋体" w:eastAsia="宋体" w:cs="宋体"/>
      <w:color w:val="333333"/>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3875</Words>
  <Characters>4238</Characters>
  <Lines>0</Lines>
  <Paragraphs>0</Paragraphs>
  <TotalTime>41</TotalTime>
  <ScaleCrop>false</ScaleCrop>
  <LinksUpToDate>false</LinksUpToDate>
  <CharactersWithSpaces>4256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2024-06-14T02:24:00Z</dcterms:created>
  <dc:creator>Administrator</dc:creator>
  <cp:lastModifiedBy>Administrator</cp:lastModifiedBy>
  <cp:lastPrinted>2024-06-26T01:38:00Z</cp:lastPrinted>
  <dcterms:modified xsi:type="dcterms:W3CDTF">2024-06-26T02:06:04Z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32846C8D30A34554BE96CC9884EEDCF1_13</vt:lpwstr>
  </property>
</Properties>
</file>