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68472">
      <w:pPr>
        <w:rPr>
          <w:rFonts w:hint="eastAsia" w:ascii="黑体" w:hAnsi="黑体" w:eastAsia="黑体" w:cs="仿宋"/>
          <w:sz w:val="32"/>
          <w:szCs w:val="32"/>
          <w:lang w:val="en-US" w:eastAsia="zh-CN"/>
        </w:rPr>
      </w:pPr>
      <w:r>
        <w:rPr>
          <w:rFonts w:hint="eastAsia" w:ascii="黑体" w:hAnsi="黑体" w:eastAsia="黑体" w:cs="仿宋"/>
          <w:sz w:val="32"/>
          <w:szCs w:val="32"/>
          <w:lang w:eastAsia="zh-CN"/>
        </w:rPr>
        <w:t>附件</w:t>
      </w:r>
      <w:r>
        <w:rPr>
          <w:rFonts w:hint="eastAsia" w:ascii="黑体" w:hAnsi="黑体" w:eastAsia="黑体" w:cs="仿宋"/>
          <w:sz w:val="32"/>
          <w:szCs w:val="32"/>
          <w:lang w:val="en-US" w:eastAsia="zh-CN"/>
        </w:rPr>
        <w:t>4</w:t>
      </w:r>
    </w:p>
    <w:p w14:paraId="1D066B8B">
      <w:pPr>
        <w:rPr>
          <w:rFonts w:hint="eastAsia" w:ascii="黑体" w:hAnsi="黑体" w:eastAsia="黑体" w:cs="仿宋"/>
          <w:sz w:val="32"/>
          <w:szCs w:val="32"/>
          <w:lang w:val="en-US" w:eastAsia="zh-CN"/>
        </w:rPr>
      </w:pPr>
    </w:p>
    <w:p w14:paraId="57BB3764">
      <w:pPr>
        <w:rPr>
          <w:rFonts w:hint="eastAsia" w:ascii="黑体" w:hAnsi="黑体" w:eastAsia="黑体" w:cs="仿宋"/>
          <w:sz w:val="32"/>
          <w:szCs w:val="32"/>
          <w:lang w:val="en-US" w:eastAsia="zh-CN"/>
        </w:rPr>
      </w:pPr>
    </w:p>
    <w:p w14:paraId="1F62AAFF">
      <w:pPr>
        <w:rPr>
          <w:rFonts w:hint="eastAsia" w:ascii="黑体" w:hAnsi="黑体" w:eastAsia="黑体" w:cs="仿宋"/>
          <w:sz w:val="32"/>
          <w:szCs w:val="32"/>
          <w:lang w:val="en-US" w:eastAsia="zh-CN"/>
        </w:rPr>
      </w:pPr>
    </w:p>
    <w:p w14:paraId="7347A9DD">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val="en-US" w:eastAsia="zh-CN"/>
        </w:rPr>
      </w:pPr>
      <w:r>
        <w:rPr>
          <w:rFonts w:hint="eastAsia" w:ascii="微软雅黑" w:hAnsi="微软雅黑" w:eastAsia="微软雅黑" w:cs="微软雅黑"/>
          <w:sz w:val="52"/>
          <w:szCs w:val="52"/>
          <w:lang w:val="en-US" w:eastAsia="zh-CN"/>
        </w:rPr>
        <w:t>2023年度安化县交通运输局</w:t>
      </w:r>
    </w:p>
    <w:p w14:paraId="1BB9B55C">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eastAsia="zh-CN"/>
        </w:rPr>
      </w:pPr>
      <w:r>
        <w:rPr>
          <w:rFonts w:hint="eastAsia" w:ascii="微软雅黑" w:hAnsi="微软雅黑" w:eastAsia="微软雅黑" w:cs="微软雅黑"/>
          <w:sz w:val="52"/>
          <w:szCs w:val="52"/>
        </w:rPr>
        <w:t>整体支出</w:t>
      </w:r>
      <w:r>
        <w:rPr>
          <w:rFonts w:hint="eastAsia" w:ascii="微软雅黑" w:hAnsi="微软雅黑" w:eastAsia="微软雅黑" w:cs="微软雅黑"/>
          <w:sz w:val="52"/>
          <w:szCs w:val="52"/>
          <w:lang w:eastAsia="zh-CN"/>
        </w:rPr>
        <w:t>绩效自评报告</w:t>
      </w:r>
    </w:p>
    <w:p w14:paraId="259CC34B">
      <w:pPr>
        <w:widowControl/>
        <w:ind w:firstLine="361" w:firstLineChars="100"/>
        <w:rPr>
          <w:rFonts w:ascii="楷体" w:hAnsi="楷体" w:eastAsia="楷体" w:cs="楷体"/>
          <w:b/>
          <w:bCs/>
          <w:kern w:val="0"/>
          <w:sz w:val="36"/>
          <w:szCs w:val="36"/>
        </w:rPr>
      </w:pPr>
    </w:p>
    <w:p w14:paraId="40A63115"/>
    <w:p w14:paraId="23DC1C5C">
      <w:pPr>
        <w:rPr>
          <w:rFonts w:ascii="楷体" w:hAnsi="楷体" w:eastAsia="楷体" w:cs="楷体"/>
          <w:b/>
          <w:bCs/>
          <w:kern w:val="0"/>
          <w:sz w:val="36"/>
          <w:szCs w:val="36"/>
        </w:rPr>
      </w:pPr>
    </w:p>
    <w:p w14:paraId="1FCF5A19">
      <w:pPr>
        <w:rPr>
          <w:rFonts w:ascii="楷体" w:hAnsi="楷体" w:eastAsia="楷体" w:cs="楷体"/>
          <w:b/>
          <w:bCs/>
          <w:kern w:val="0"/>
          <w:sz w:val="36"/>
          <w:szCs w:val="36"/>
        </w:rPr>
      </w:pPr>
    </w:p>
    <w:p w14:paraId="4BA370F2">
      <w:pPr>
        <w:rPr>
          <w:rFonts w:ascii="楷体" w:hAnsi="楷体" w:eastAsia="楷体" w:cs="楷体"/>
          <w:b/>
          <w:bCs/>
          <w:kern w:val="0"/>
          <w:sz w:val="36"/>
          <w:szCs w:val="36"/>
        </w:rPr>
      </w:pPr>
    </w:p>
    <w:p w14:paraId="23F8E7A8">
      <w:pPr>
        <w:rPr>
          <w:rFonts w:ascii="楷体" w:hAnsi="楷体" w:eastAsia="楷体" w:cs="楷体"/>
          <w:b/>
          <w:bCs/>
          <w:kern w:val="0"/>
          <w:sz w:val="36"/>
          <w:szCs w:val="36"/>
        </w:rPr>
      </w:pPr>
    </w:p>
    <w:p w14:paraId="3427B930">
      <w:pPr>
        <w:pStyle w:val="5"/>
      </w:pPr>
    </w:p>
    <w:p w14:paraId="311F1E4D">
      <w:pPr>
        <w:widowControl/>
        <w:ind w:firstLine="361" w:firstLineChars="100"/>
        <w:rPr>
          <w:rFonts w:hint="eastAsia" w:ascii="楷体" w:hAnsi="楷体" w:eastAsia="楷体" w:cs="楷体"/>
          <w:b/>
          <w:bCs/>
          <w:kern w:val="0"/>
          <w:sz w:val="36"/>
          <w:szCs w:val="36"/>
        </w:rPr>
      </w:pPr>
    </w:p>
    <w:p w14:paraId="70454183">
      <w:pPr>
        <w:widowControl/>
        <w:jc w:val="center"/>
        <w:rPr>
          <w:rFonts w:hint="eastAsia" w:ascii="黑体" w:hAnsi="黑体" w:eastAsia="黑体" w:cs="黑体"/>
          <w:b w:val="0"/>
          <w:bCs w:val="0"/>
          <w:kern w:val="0"/>
          <w:sz w:val="48"/>
          <w:szCs w:val="48"/>
          <w:u w:val="single"/>
          <w:lang w:eastAsia="zh-CN"/>
        </w:rPr>
      </w:pPr>
      <w:r>
        <w:rPr>
          <w:rFonts w:hint="eastAsia" w:ascii="黑体" w:hAnsi="黑体" w:eastAsia="黑体" w:cs="黑体"/>
          <w:b w:val="0"/>
          <w:bCs w:val="0"/>
          <w:kern w:val="0"/>
          <w:sz w:val="36"/>
          <w:szCs w:val="36"/>
          <w:lang w:eastAsia="zh-CN"/>
        </w:rPr>
        <w:t>安化县交通运输局</w:t>
      </w:r>
    </w:p>
    <w:p w14:paraId="364D5A88">
      <w:pPr>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lang w:val="en-US" w:eastAsia="zh-CN"/>
        </w:rPr>
        <w:t>2024</w:t>
      </w:r>
      <w:r>
        <w:rPr>
          <w:rFonts w:hint="eastAsia" w:ascii="黑体" w:hAnsi="黑体" w:eastAsia="黑体" w:cs="黑体"/>
          <w:b w:val="0"/>
          <w:bCs w:val="0"/>
          <w:kern w:val="0"/>
          <w:sz w:val="36"/>
          <w:szCs w:val="36"/>
        </w:rPr>
        <w:t xml:space="preserve">年 </w:t>
      </w:r>
      <w:r>
        <w:rPr>
          <w:rFonts w:hint="eastAsia" w:ascii="黑体" w:hAnsi="黑体" w:eastAsia="黑体" w:cs="黑体"/>
          <w:b w:val="0"/>
          <w:bCs w:val="0"/>
          <w:kern w:val="0"/>
          <w:sz w:val="36"/>
          <w:szCs w:val="36"/>
          <w:lang w:val="en-US" w:eastAsia="zh-CN"/>
        </w:rPr>
        <w:t>06</w:t>
      </w:r>
      <w:r>
        <w:rPr>
          <w:rFonts w:hint="eastAsia" w:ascii="黑体" w:hAnsi="黑体" w:eastAsia="黑体" w:cs="黑体"/>
          <w:b w:val="0"/>
          <w:bCs w:val="0"/>
          <w:kern w:val="0"/>
          <w:sz w:val="36"/>
          <w:szCs w:val="36"/>
        </w:rPr>
        <w:t xml:space="preserve"> 月 </w:t>
      </w:r>
      <w:r>
        <w:rPr>
          <w:rFonts w:hint="eastAsia" w:ascii="黑体" w:hAnsi="黑体" w:eastAsia="黑体" w:cs="黑体"/>
          <w:b w:val="0"/>
          <w:bCs w:val="0"/>
          <w:kern w:val="0"/>
          <w:sz w:val="36"/>
          <w:szCs w:val="36"/>
          <w:lang w:val="en-US" w:eastAsia="zh-CN"/>
        </w:rPr>
        <w:t>19</w:t>
      </w:r>
      <w:r>
        <w:rPr>
          <w:rFonts w:hint="eastAsia" w:ascii="黑体" w:hAnsi="黑体" w:eastAsia="黑体" w:cs="黑体"/>
          <w:b w:val="0"/>
          <w:bCs w:val="0"/>
          <w:kern w:val="0"/>
          <w:sz w:val="36"/>
          <w:szCs w:val="36"/>
        </w:rPr>
        <w:t xml:space="preserve"> 日</w:t>
      </w:r>
    </w:p>
    <w:p w14:paraId="050869BD">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p>
    <w:p w14:paraId="528CE047">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p>
    <w:p w14:paraId="45463FC1">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p>
    <w:p w14:paraId="7C4D17F1">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p>
    <w:p w14:paraId="0836ADCE">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p>
    <w:p w14:paraId="441B7E5B">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p>
    <w:p w14:paraId="184DEBE7">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p>
    <w:p w14:paraId="0D2C8DC2">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r>
        <w:rPr>
          <w:rFonts w:hint="eastAsia" w:ascii="微软雅黑" w:hAnsi="仿宋" w:eastAsia="微软雅黑" w:cs="宋体"/>
          <w:b w:val="0"/>
          <w:bCs/>
          <w:kern w:val="0"/>
          <w:sz w:val="44"/>
          <w:szCs w:val="44"/>
          <w:lang w:val="en-US" w:eastAsia="zh-CN"/>
        </w:rPr>
        <w:t>2023</w:t>
      </w:r>
      <w:r>
        <w:rPr>
          <w:rFonts w:hint="eastAsia" w:ascii="微软雅黑" w:hAnsi="仿宋" w:eastAsia="微软雅黑" w:cs="宋体"/>
          <w:b w:val="0"/>
          <w:bCs/>
          <w:kern w:val="0"/>
          <w:sz w:val="44"/>
          <w:szCs w:val="44"/>
        </w:rPr>
        <w:t>年度</w:t>
      </w:r>
      <w:r>
        <w:rPr>
          <w:rFonts w:hint="eastAsia" w:ascii="微软雅黑" w:hAnsi="仿宋" w:eastAsia="微软雅黑" w:cs="宋体"/>
          <w:b w:val="0"/>
          <w:bCs/>
          <w:kern w:val="0"/>
          <w:sz w:val="44"/>
          <w:szCs w:val="44"/>
          <w:lang w:eastAsia="zh-CN"/>
        </w:rPr>
        <w:t>安化县交通运输局</w:t>
      </w:r>
      <w:r>
        <w:rPr>
          <w:rFonts w:hint="eastAsia" w:ascii="微软雅黑" w:hAnsi="仿宋" w:eastAsia="微软雅黑" w:cs="宋体"/>
          <w:b w:val="0"/>
          <w:bCs/>
          <w:kern w:val="0"/>
          <w:sz w:val="44"/>
          <w:szCs w:val="44"/>
        </w:rPr>
        <w:t>整体支出</w:t>
      </w:r>
    </w:p>
    <w:p w14:paraId="25A9E63E">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r>
        <w:rPr>
          <w:rFonts w:hint="eastAsia" w:ascii="微软雅黑" w:hAnsi="仿宋" w:eastAsia="微软雅黑" w:cs="宋体"/>
          <w:b w:val="0"/>
          <w:bCs/>
          <w:kern w:val="0"/>
          <w:sz w:val="44"/>
          <w:szCs w:val="44"/>
        </w:rPr>
        <w:t>绩效自评报告</w:t>
      </w:r>
    </w:p>
    <w:p w14:paraId="206A688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一、部门(单位)基本情况</w:t>
      </w:r>
    </w:p>
    <w:p w14:paraId="20C11F4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(一)2023年度重点工作</w:t>
      </w:r>
    </w:p>
    <w:p w14:paraId="4EE154C7">
      <w:pPr>
        <w:pStyle w:val="6"/>
        <w:shd w:val="clear" w:color="auto" w:fill="FFFFFF"/>
        <w:spacing w:before="0" w:beforeAutospacing="0" w:after="0" w:afterAutospacing="0" w:line="594" w:lineRule="exact"/>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一是加快构建高质量交通基础设施网络。进一步做实十四五交通专项规划。推进安溆高速前期工作，力争把长吉高速纳入中长期规划。加快推进仙沩公路、平洞高速黄沙坪连接线、西木线、小淹大桥等项目前期工作；加快东渠公路、龙江公路等干线公路建设。加快推进东渠公路隧道、桥梁等重要节点工程。力争龙江公路、柘溪大桥路网衔接项目如期完工；以四好农村路为抓手，全面提升农村公路管养水平和通行能力；稳步推进我县城乡客运一体化工作。二是继续加强交通行业管理。严格按照“政府主导、市场运作、惠及民生、财政保障”的理念和“一县一公司、公车公营、统筹规划、乡村全通、价格惠民”的原则，全面推进城乡客运一体化改造；加强运输市场监管。加大出租车监管力度，规范出租车市场管理；继续打击非法营运行为，保持“打非治违”高压态势，进一步净化运输市场；科技治超、源头治超、流动治超和站点治超无缝结合；加大公路养护力度，力争挤进全市公路养护先进行列，创建“四好农村公路”示范县；坚持不懈抓好平安交通建设，深入开展建设领域、运输领域安全隐患排查，消除安全隐患死角；深入推进交通行政执法体制改革。</w:t>
      </w:r>
    </w:p>
    <w:p w14:paraId="0AB67CC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(二)部门整体支出规模、使用方向、主要内容和涉及范围</w:t>
      </w:r>
    </w:p>
    <w:p w14:paraId="1A5CC25F">
      <w:pPr>
        <w:spacing w:line="594"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年部门整体支出规模</w:t>
      </w:r>
      <w:r>
        <w:rPr>
          <w:rFonts w:hint="eastAsia" w:ascii="仿宋_GB2312" w:eastAsia="仿宋_GB2312"/>
          <w:sz w:val="32"/>
          <w:szCs w:val="32"/>
          <w:lang w:val="en-US" w:eastAsia="zh-CN"/>
        </w:rPr>
        <w:t>53322.2</w:t>
      </w:r>
      <w:r>
        <w:rPr>
          <w:rFonts w:hint="eastAsia" w:ascii="仿宋_GB2312" w:eastAsia="仿宋_GB2312"/>
          <w:sz w:val="32"/>
          <w:szCs w:val="32"/>
        </w:rPr>
        <w:t>万元，主要使用方向是</w:t>
      </w:r>
      <w:r>
        <w:rPr>
          <w:rFonts w:hint="eastAsia" w:ascii="仿宋_GB2312" w:eastAsia="仿宋_GB2312"/>
          <w:sz w:val="32"/>
          <w:szCs w:val="32"/>
          <w:lang w:eastAsia="zh-CN"/>
        </w:rPr>
        <w:t>交通运输</w:t>
      </w:r>
      <w:r>
        <w:rPr>
          <w:rFonts w:hint="eastAsia" w:ascii="仿宋_GB2312" w:eastAsia="仿宋_GB2312"/>
          <w:sz w:val="32"/>
          <w:szCs w:val="32"/>
        </w:rPr>
        <w:t>工作的正常开展，主要内容与涉及范围是</w:t>
      </w:r>
      <w:r>
        <w:rPr>
          <w:rFonts w:hint="eastAsia" w:ascii="仿宋_GB2312" w:eastAsia="仿宋_GB2312"/>
          <w:sz w:val="32"/>
          <w:szCs w:val="32"/>
          <w:lang w:eastAsia="zh-CN"/>
        </w:rPr>
        <w:t>交通运输机关</w:t>
      </w:r>
      <w:r>
        <w:rPr>
          <w:rFonts w:hint="eastAsia" w:ascii="仿宋_GB2312" w:eastAsia="仿宋_GB2312"/>
          <w:sz w:val="32"/>
          <w:szCs w:val="32"/>
        </w:rPr>
        <w:t>依法履行职能所发生的各项费用，包括基本支出和项目支出，基本支出为保障公安机构运转和完成日常工作任务发生的支出，包括人员支出和公用经费支出，项目支出为包括列入项目支出的办案（业务）经费、业务装备经费、基础设施建设经费等。</w:t>
      </w:r>
    </w:p>
    <w:p w14:paraId="680679A2">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14:paraId="75D3A8CD">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(一)基本支出情况</w:t>
      </w:r>
    </w:p>
    <w:p w14:paraId="2612292D">
      <w:pPr>
        <w:pStyle w:val="5"/>
        <w:keepNext w:val="0"/>
        <w:keepLines w:val="0"/>
        <w:pageBreakBefore w:val="0"/>
        <w:numPr>
          <w:ilvl w:val="0"/>
          <w:numId w:val="0"/>
        </w:numPr>
        <w:kinsoku/>
        <w:wordWrap/>
        <w:overflowPunct/>
        <w:topLinePunct w:val="0"/>
        <w:autoSpaceDE/>
        <w:autoSpaceDN/>
        <w:bidi w:val="0"/>
        <w:adjustRightInd/>
        <w:spacing w:line="24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1、基本支出6351.43万元，是为保障各部门正常运转、完成日常工作任务而发生的各项支出，主要包括工资福利支出5602.81万元，商品和服务支出502.54万元，对个人和家庭支出223.01万元。</w:t>
      </w:r>
    </w:p>
    <w:p w14:paraId="76341CE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2、资金管理情况：一是建章立制，出台了《安化县交通运输局2022年财务管理办法》，规范财务行为，加强全局资金核算。二是加强内部审计检查，发挥财务监督作用，防范财务管理风险。三是继续强化财务管理，继续牢固树立“过紧日子”思想，坚持厉行节约，大力压减一般性支出，严格会议费、培训费、“三公”经费等预算管理，杜绝无预算、超预算支出行为。四是加强项目预算绩效管理，认真搞好国省补助资金的绩效自评工作，提高财政资金使用效益。五是落实预决算公开，按要求完成部门预算、决算、绩效自评公开等工作。</w:t>
      </w:r>
    </w:p>
    <w:p w14:paraId="6E0DBEB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3、资产管理情况：一是按要求对资产进行了清查盘点，并与资产系统数据进行核对匹配，确保账实相符；二是做好固定资产及低值易耗品管理。既严格审批程序，落实签字登记领用制度，尽可能节约降耗，又及时高效为职工配备所需办公家具、办公用品；三是我局加强车辆管理，切实落实加油卡、车辆维修审批等一系列制度。</w:t>
      </w:r>
    </w:p>
    <w:p w14:paraId="7685E5D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rPr>
      </w:pPr>
      <w:r>
        <w:rPr>
          <w:rFonts w:hint="eastAsia" w:ascii="仿宋" w:hAnsi="仿宋" w:eastAsia="仿宋" w:cs="Times New Roman"/>
          <w:kern w:val="2"/>
          <w:sz w:val="32"/>
          <w:szCs w:val="24"/>
          <w:u w:val="none"/>
          <w:shd w:val="clear" w:color="auto" w:fill="auto"/>
          <w:lang w:val="en-US" w:eastAsia="zh-CN" w:bidi="ar-SA"/>
        </w:rPr>
        <w:t>4、“三公”经费支出情况：2023年，“三公”经费完成69.48万元，比上年减少14.1元，主要原因是：厉行节约严控公用经费</w:t>
      </w:r>
      <w:r>
        <w:rPr>
          <w:rFonts w:hint="eastAsia" w:ascii="仿宋" w:hAnsi="仿宋" w:eastAsia="仿宋"/>
          <w:sz w:val="32"/>
          <w:szCs w:val="24"/>
        </w:rPr>
        <w:t>，公务接待费有所减少，</w:t>
      </w:r>
      <w:r>
        <w:rPr>
          <w:rFonts w:hint="eastAsia" w:ascii="仿宋" w:hAnsi="仿宋" w:eastAsia="仿宋"/>
          <w:sz w:val="32"/>
          <w:szCs w:val="24"/>
          <w:lang w:eastAsia="zh-CN"/>
        </w:rPr>
        <w:t>无公车购置费，</w:t>
      </w:r>
      <w:r>
        <w:rPr>
          <w:rFonts w:hint="eastAsia" w:ascii="仿宋" w:hAnsi="仿宋" w:eastAsia="仿宋"/>
          <w:sz w:val="32"/>
          <w:szCs w:val="24"/>
        </w:rPr>
        <w:t>按照预算指标数列支公务用车运行维护费</w:t>
      </w:r>
      <w:r>
        <w:rPr>
          <w:rFonts w:hint="eastAsia" w:ascii="仿宋" w:hAnsi="仿宋" w:eastAsia="仿宋" w:cs="Times New Roman"/>
          <w:kern w:val="2"/>
          <w:sz w:val="32"/>
          <w:szCs w:val="24"/>
          <w:u w:val="none"/>
          <w:shd w:val="clear" w:color="auto" w:fill="auto"/>
          <w:lang w:val="zh-CN" w:eastAsia="zh-CN" w:bidi="ar-SA"/>
        </w:rPr>
        <w:t>。其中，公务接待费</w:t>
      </w:r>
      <w:r>
        <w:rPr>
          <w:rFonts w:hint="eastAsia" w:ascii="仿宋" w:hAnsi="仿宋" w:eastAsia="仿宋" w:cs="Times New Roman"/>
          <w:kern w:val="2"/>
          <w:sz w:val="32"/>
          <w:szCs w:val="24"/>
          <w:u w:val="none"/>
          <w:shd w:val="clear" w:color="auto" w:fill="auto"/>
          <w:lang w:val="en-US" w:eastAsia="zh-CN" w:bidi="ar-SA"/>
        </w:rPr>
        <w:t>完成41.48万元，比上年减少7.79万元；</w:t>
      </w:r>
      <w:r>
        <w:rPr>
          <w:rFonts w:hint="eastAsia" w:ascii="仿宋" w:hAnsi="仿宋" w:eastAsia="仿宋" w:cs="Times New Roman"/>
          <w:kern w:val="2"/>
          <w:sz w:val="32"/>
          <w:szCs w:val="24"/>
          <w:u w:val="none"/>
          <w:shd w:val="clear" w:color="auto" w:fill="auto"/>
          <w:lang w:val="zh-CN" w:eastAsia="zh-CN" w:bidi="ar-SA"/>
        </w:rPr>
        <w:t>公务用车购置及运行维护费</w:t>
      </w:r>
      <w:r>
        <w:rPr>
          <w:rFonts w:hint="eastAsia" w:ascii="仿宋" w:hAnsi="仿宋" w:eastAsia="仿宋" w:cs="Times New Roman"/>
          <w:kern w:val="2"/>
          <w:sz w:val="32"/>
          <w:szCs w:val="24"/>
          <w:u w:val="none"/>
          <w:shd w:val="clear" w:color="auto" w:fill="auto"/>
          <w:lang w:val="en-US" w:eastAsia="zh-CN" w:bidi="ar-SA"/>
        </w:rPr>
        <w:t>完成28元，比上年减少6.31万元</w:t>
      </w:r>
      <w:r>
        <w:rPr>
          <w:rFonts w:hint="eastAsia" w:ascii="仿宋" w:hAnsi="仿宋" w:eastAsia="仿宋" w:cs="Times New Roman"/>
          <w:kern w:val="2"/>
          <w:sz w:val="32"/>
          <w:szCs w:val="24"/>
          <w:u w:val="none"/>
          <w:shd w:val="clear" w:color="auto" w:fill="auto"/>
          <w:lang w:val="zh-CN" w:eastAsia="zh-CN" w:bidi="ar-SA"/>
        </w:rPr>
        <w:t>。</w:t>
      </w:r>
    </w:p>
    <w:p w14:paraId="2D3F4ACB">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(二)项目支出情况</w:t>
      </w:r>
    </w:p>
    <w:p w14:paraId="4914587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rPr>
      </w:pPr>
      <w:r>
        <w:rPr>
          <w:rFonts w:hint="eastAsia" w:ascii="仿宋" w:hAnsi="仿宋" w:eastAsia="仿宋" w:cs="Times New Roman"/>
          <w:kern w:val="2"/>
          <w:sz w:val="32"/>
          <w:szCs w:val="24"/>
          <w:u w:val="none"/>
          <w:shd w:val="clear" w:color="auto" w:fill="auto"/>
          <w:lang w:val="en-US" w:eastAsia="zh-CN" w:bidi="ar-SA"/>
        </w:rPr>
        <w:t>项目支出46970.77万元，包含：</w:t>
      </w:r>
      <w:r>
        <w:rPr>
          <w:rFonts w:hint="eastAsia" w:ascii="仿宋_GB2312" w:eastAsia="仿宋_GB2312"/>
          <w:sz w:val="32"/>
          <w:szCs w:val="32"/>
        </w:rPr>
        <w:t>上级补助</w:t>
      </w:r>
      <w:r>
        <w:rPr>
          <w:rFonts w:hint="eastAsia" w:ascii="仿宋_GB2312" w:eastAsia="仿宋_GB2312"/>
          <w:sz w:val="32"/>
          <w:szCs w:val="32"/>
          <w:lang w:eastAsia="zh-CN"/>
        </w:rPr>
        <w:t>工作</w:t>
      </w:r>
      <w:r>
        <w:rPr>
          <w:rFonts w:hint="eastAsia" w:ascii="仿宋_GB2312" w:eastAsia="仿宋_GB2312"/>
          <w:sz w:val="32"/>
          <w:szCs w:val="32"/>
        </w:rPr>
        <w:t>经费和上级补助装备经费</w:t>
      </w:r>
      <w:r>
        <w:rPr>
          <w:rFonts w:hint="eastAsia" w:ascii="仿宋_GB2312" w:eastAsia="仿宋_GB2312"/>
          <w:sz w:val="32"/>
          <w:szCs w:val="32"/>
          <w:lang w:eastAsia="zh-CN"/>
        </w:rPr>
        <w:t>等。</w:t>
      </w:r>
    </w:p>
    <w:p w14:paraId="75EC8028">
      <w:pPr>
        <w:keepNext w:val="0"/>
        <w:keepLines w:val="0"/>
        <w:pageBreakBefore w:val="0"/>
        <w:widowControl/>
        <w:numPr>
          <w:ilvl w:val="0"/>
          <w:numId w:val="1"/>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政府性基金预算支出情况</w:t>
      </w:r>
    </w:p>
    <w:p w14:paraId="70D39C70">
      <w:pPr>
        <w:ind w:firstLine="640" w:firstLineChars="200"/>
        <w:rPr>
          <w:rFonts w:hint="eastAsia"/>
        </w:rPr>
      </w:pPr>
      <w:r>
        <w:rPr>
          <w:color w:val="232323"/>
          <w:sz w:val="32"/>
          <w:szCs w:val="32"/>
          <w:shd w:val="clear" w:color="auto" w:fill="FFFFFF"/>
        </w:rPr>
        <w:t>2023</w:t>
      </w:r>
      <w:r>
        <w:rPr>
          <w:rFonts w:hint="eastAsia" w:ascii="仿宋_GB2312" w:eastAsia="仿宋_GB2312" w:cs="仿宋_GB2312"/>
          <w:color w:val="232323"/>
          <w:sz w:val="32"/>
          <w:szCs w:val="32"/>
          <w:shd w:val="clear" w:color="auto" w:fill="FFFFFF"/>
        </w:rPr>
        <w:t>年本部门政府性基金支出预算</w:t>
      </w:r>
      <w:r>
        <w:rPr>
          <w:rFonts w:eastAsia="仿宋_GB2312"/>
          <w:color w:val="232323"/>
          <w:sz w:val="32"/>
          <w:szCs w:val="32"/>
          <w:shd w:val="clear" w:color="auto" w:fill="FFFFFF"/>
        </w:rPr>
        <w:t>0</w:t>
      </w:r>
      <w:r>
        <w:rPr>
          <w:rFonts w:hint="eastAsia" w:ascii="仿宋_GB2312" w:eastAsia="仿宋_GB2312" w:cs="仿宋_GB2312"/>
          <w:color w:val="232323"/>
          <w:sz w:val="32"/>
          <w:szCs w:val="32"/>
          <w:shd w:val="clear" w:color="auto" w:fill="FFFFFF"/>
        </w:rPr>
        <w:t>万元，</w:t>
      </w:r>
      <w:r>
        <w:rPr>
          <w:rFonts w:hint="eastAsia" w:ascii="仿宋_GB2312" w:hAnsi="宋体" w:eastAsia="仿宋_GB2312" w:cs="仿宋_GB2312"/>
          <w:color w:val="232323"/>
          <w:sz w:val="32"/>
          <w:szCs w:val="32"/>
          <w:shd w:val="clear" w:color="auto" w:fill="FFFFFF"/>
        </w:rPr>
        <w:t>本部门无政府性基金安排的支出。</w:t>
      </w:r>
    </w:p>
    <w:p w14:paraId="4146400D">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国有资本经营预算支出情况</w:t>
      </w:r>
    </w:p>
    <w:p w14:paraId="2231DFB3">
      <w:pPr>
        <w:pStyle w:val="7"/>
        <w:ind w:left="420" w:leftChars="200" w:firstLine="0" w:firstLineChars="0"/>
        <w:rPr>
          <w:rFonts w:hint="eastAsia" w:ascii="黑体" w:hAnsi="黑体" w:eastAsia="黑体" w:cs="宋体"/>
          <w:color w:val="000000"/>
          <w:kern w:val="0"/>
          <w:sz w:val="32"/>
          <w:szCs w:val="32"/>
        </w:rPr>
      </w:pPr>
      <w:r>
        <w:rPr>
          <w:color w:val="232323"/>
          <w:shd w:val="clear" w:color="auto" w:fill="FFFFFF"/>
        </w:rPr>
        <w:t>2023</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本部门无国有资本经营预算的支出。</w:t>
      </w:r>
    </w:p>
    <w:p w14:paraId="4675B08A">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社会保险基金预算支出情况</w:t>
      </w:r>
    </w:p>
    <w:p w14:paraId="4D3BC260">
      <w:pPr>
        <w:pStyle w:val="7"/>
        <w:ind w:left="420" w:leftChars="200" w:firstLine="0" w:firstLineChars="0"/>
        <w:rPr>
          <w:rFonts w:hint="eastAsia" w:ascii="黑体" w:hAnsi="黑体" w:eastAsia="黑体" w:cs="宋体"/>
          <w:color w:val="000000"/>
          <w:kern w:val="0"/>
          <w:sz w:val="32"/>
          <w:szCs w:val="32"/>
        </w:rPr>
      </w:pPr>
      <w:r>
        <w:rPr>
          <w:color w:val="232323"/>
          <w:shd w:val="clear" w:color="auto" w:fill="FFFFFF"/>
        </w:rPr>
        <w:t>2023</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本部门无社会保险基金预算的支出。</w:t>
      </w:r>
    </w:p>
    <w:p w14:paraId="3CE7EEA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六、部门整体支出绩效情况</w:t>
      </w:r>
    </w:p>
    <w:p w14:paraId="7EAA69D5">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仿宋_GB2312" w:hAnsi="仿宋_GB2312" w:eastAsia="仿宋_GB2312" w:cs="仿宋_GB2312"/>
          <w:spacing w:val="0"/>
          <w:sz w:val="32"/>
          <w:szCs w:val="32"/>
          <w:lang w:val="en-US" w:eastAsia="zh-CN"/>
        </w:rPr>
      </w:pPr>
      <w:r>
        <w:rPr>
          <w:rFonts w:hint="eastAsia" w:ascii="楷体_GB2312" w:hAnsi="楷体_GB2312" w:eastAsia="楷体_GB2312" w:cs="楷体_GB2312"/>
          <w:spacing w:val="0"/>
          <w:sz w:val="32"/>
          <w:szCs w:val="32"/>
          <w:lang w:val="en-US" w:eastAsia="zh-CN"/>
        </w:rPr>
        <w:t>（一）真抓实干成效显著。</w:t>
      </w:r>
      <w:r>
        <w:rPr>
          <w:rFonts w:hint="eastAsia" w:ascii="仿宋_GB2312" w:hAnsi="仿宋_GB2312" w:eastAsia="仿宋_GB2312" w:cs="仿宋_GB2312"/>
          <w:spacing w:val="0"/>
          <w:sz w:val="32"/>
          <w:szCs w:val="32"/>
          <w:lang w:val="en-US" w:eastAsia="zh-CN"/>
        </w:rPr>
        <w:t>聚焦铁路沿线环境综合整治，以多方发力、源头管控等举措落实各项任务。</w:t>
      </w:r>
      <w:r>
        <w:rPr>
          <w:rFonts w:hint="eastAsia" w:ascii="仿宋_GB2312" w:hAnsi="仿宋_GB2312" w:eastAsia="仿宋_GB2312" w:cs="仿宋_GB2312"/>
          <w:b/>
          <w:bCs/>
          <w:spacing w:val="0"/>
          <w:sz w:val="32"/>
          <w:szCs w:val="32"/>
          <w:lang w:val="en-US" w:eastAsia="zh-CN"/>
        </w:rPr>
        <w:t>一是落实制度，压实责任。</w:t>
      </w:r>
      <w:r>
        <w:rPr>
          <w:rFonts w:hint="eastAsia" w:ascii="仿宋_GB2312" w:hAnsi="仿宋_GB2312" w:eastAsia="仿宋_GB2312" w:cs="仿宋_GB2312"/>
          <w:spacing w:val="0"/>
          <w:sz w:val="32"/>
          <w:szCs w:val="32"/>
          <w:lang w:val="en-US" w:eastAsia="zh-CN"/>
        </w:rPr>
        <w:t>多次组织召开铁路沿线环境综合整治“双段长”联席工作会议，开展双段长培训两次，进一步落实双段长制度、夯实工作基础。</w:t>
      </w:r>
      <w:r>
        <w:rPr>
          <w:rFonts w:hint="eastAsia" w:ascii="仿宋_GB2312" w:hAnsi="仿宋_GB2312" w:eastAsia="仿宋_GB2312" w:cs="仿宋_GB2312"/>
          <w:b/>
          <w:bCs/>
          <w:spacing w:val="0"/>
          <w:sz w:val="32"/>
          <w:szCs w:val="32"/>
          <w:lang w:val="en-US" w:eastAsia="zh-CN"/>
        </w:rPr>
        <w:t>二是整合资源，全力整改。</w:t>
      </w:r>
      <w:r>
        <w:rPr>
          <w:rFonts w:hint="eastAsia" w:ascii="仿宋_GB2312" w:hAnsi="仿宋_GB2312" w:eastAsia="仿宋_GB2312" w:cs="仿宋_GB2312"/>
          <w:spacing w:val="0"/>
          <w:sz w:val="32"/>
          <w:szCs w:val="32"/>
          <w:lang w:val="en-US" w:eastAsia="zh-CN"/>
        </w:rPr>
        <w:t>通过现场调研、定期调度等措施，高标准完成省定</w:t>
      </w:r>
      <w:r>
        <w:rPr>
          <w:rFonts w:hint="default" w:ascii="仿宋_GB2312" w:hAnsi="仿宋_GB2312" w:eastAsia="仿宋_GB2312" w:cs="仿宋_GB2312"/>
          <w:spacing w:val="0"/>
          <w:sz w:val="32"/>
          <w:szCs w:val="32"/>
          <w:lang w:val="en-US" w:eastAsia="zh-CN"/>
        </w:rPr>
        <w:t>116处</w:t>
      </w:r>
      <w:r>
        <w:rPr>
          <w:rFonts w:hint="eastAsia" w:ascii="仿宋_GB2312" w:hAnsi="仿宋_GB2312" w:eastAsia="仿宋_GB2312" w:cs="仿宋_GB2312"/>
          <w:spacing w:val="0"/>
          <w:sz w:val="32"/>
          <w:szCs w:val="32"/>
          <w:lang w:val="en-US" w:eastAsia="zh-CN"/>
        </w:rPr>
        <w:t>安全隐患整治任务，激励各单位自主排查整治安全隐患139处，妥善解决了多起路地林地纠纷。为推进全省铁路沿线环境综合整治最大安全隐患整改项目平口平瓦厂渡改桥项目早日落地，在县委、县政府的全力支持、主要县级领导的不懈努力下，先后向广铁集团争取资金</w:t>
      </w:r>
      <w:r>
        <w:rPr>
          <w:rFonts w:hint="default" w:ascii="仿宋_GB2312" w:hAnsi="仿宋_GB2312" w:eastAsia="仿宋_GB2312" w:cs="仿宋_GB2312"/>
          <w:spacing w:val="0"/>
          <w:sz w:val="32"/>
          <w:szCs w:val="32"/>
          <w:lang w:val="en-US" w:eastAsia="zh-CN"/>
        </w:rPr>
        <w:t>624</w:t>
      </w:r>
      <w:r>
        <w:rPr>
          <w:rFonts w:hint="eastAsia" w:ascii="仿宋_GB2312" w:hAnsi="仿宋_GB2312" w:eastAsia="仿宋_GB2312" w:cs="仿宋_GB2312"/>
          <w:spacing w:val="0"/>
          <w:sz w:val="32"/>
          <w:szCs w:val="32"/>
          <w:lang w:val="en-US" w:eastAsia="zh-CN"/>
        </w:rPr>
        <w:t>万元、省交通运输厅争取到项目资金1</w:t>
      </w:r>
      <w:r>
        <w:rPr>
          <w:rFonts w:hint="default" w:ascii="仿宋_GB2312" w:hAnsi="仿宋_GB2312" w:eastAsia="仿宋_GB2312" w:cs="仿宋_GB2312"/>
          <w:spacing w:val="0"/>
          <w:sz w:val="32"/>
          <w:szCs w:val="32"/>
          <w:lang w:val="en-US" w:eastAsia="zh-CN"/>
        </w:rPr>
        <w:t>190</w:t>
      </w:r>
      <w:r>
        <w:rPr>
          <w:rFonts w:hint="eastAsia" w:ascii="仿宋_GB2312" w:hAnsi="仿宋_GB2312" w:eastAsia="仿宋_GB2312" w:cs="仿宋_GB2312"/>
          <w:spacing w:val="0"/>
          <w:sz w:val="32"/>
          <w:szCs w:val="32"/>
          <w:lang w:val="en-US" w:eastAsia="zh-CN"/>
        </w:rPr>
        <w:t>.</w:t>
      </w:r>
      <w:r>
        <w:rPr>
          <w:rFonts w:hint="default"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lang w:val="en-US" w:eastAsia="zh-CN"/>
        </w:rPr>
        <w:t>4万元，县财政配套1400万元。今年3月1日，该项目已正式开工建设。</w:t>
      </w:r>
      <w:r>
        <w:rPr>
          <w:rFonts w:hint="eastAsia" w:ascii="仿宋_GB2312" w:hAnsi="仿宋_GB2312" w:eastAsia="仿宋_GB2312" w:cs="仿宋_GB2312"/>
          <w:b/>
          <w:bCs/>
          <w:spacing w:val="0"/>
          <w:sz w:val="32"/>
          <w:szCs w:val="32"/>
          <w:lang w:val="en-US" w:eastAsia="zh-CN"/>
        </w:rPr>
        <w:t>三是立标打样，效果良好。</w:t>
      </w:r>
      <w:r>
        <w:rPr>
          <w:rFonts w:hint="eastAsia" w:ascii="仿宋_GB2312" w:hAnsi="仿宋_GB2312" w:eastAsia="仿宋_GB2312" w:cs="仿宋_GB2312"/>
          <w:spacing w:val="0"/>
          <w:sz w:val="32"/>
          <w:szCs w:val="32"/>
          <w:lang w:val="en-US" w:eastAsia="zh-CN"/>
        </w:rPr>
        <w:t>以环境大提升、安全大宣传、沿线大美化等举措成功打造烟溪镇夏坪村、平口镇上升村两个铁路沿线“安、畅、绿、美”示范点。共投入260万元，修建绕行天桥1座，设置永久性铝合金宣传牌8块，宣传栏40块、警示标志90块，张贴标语300条，发放宣传册1200余份。</w:t>
      </w:r>
      <w:r>
        <w:rPr>
          <w:rFonts w:hint="eastAsia" w:ascii="仿宋_GB2312" w:hAnsi="仿宋_GB2312" w:eastAsia="仿宋_GB2312" w:cs="仿宋_GB2312"/>
          <w:b/>
          <w:bCs/>
          <w:spacing w:val="0"/>
          <w:sz w:val="32"/>
          <w:szCs w:val="32"/>
          <w:lang w:val="en-US" w:eastAsia="zh-CN"/>
        </w:rPr>
        <w:t>四是建章立制，源头管控。</w:t>
      </w:r>
      <w:r>
        <w:rPr>
          <w:rFonts w:hint="eastAsia" w:ascii="仿宋_GB2312" w:hAnsi="仿宋_GB2312" w:eastAsia="仿宋_GB2312" w:cs="仿宋_GB2312"/>
          <w:spacing w:val="0"/>
          <w:sz w:val="32"/>
          <w:szCs w:val="32"/>
          <w:lang w:val="en-US" w:eastAsia="zh-CN"/>
        </w:rPr>
        <w:t>印发了《关于禁止在铁路沿线50米范围内搭建轻质硬漂浮物的通告》等两个文件。开展双段长巡查、轻质硬漂浮物专项排查等行动32次，拆除塑料大棚、废弃彩钢瓦53处16000平方米，清理废弃砂石、垃圾230余吨，铁路沿线环境明显改善。</w:t>
      </w:r>
    </w:p>
    <w:p w14:paraId="56C7B2E4">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仿宋_GB2312" w:hAnsi="仿宋_GB2312" w:eastAsia="仿宋_GB2312" w:cs="仿宋_GB2312"/>
          <w:spacing w:val="0"/>
          <w:sz w:val="32"/>
          <w:szCs w:val="32"/>
          <w:lang w:val="en-US" w:eastAsia="zh-CN"/>
        </w:rPr>
      </w:pPr>
      <w:r>
        <w:rPr>
          <w:rFonts w:hint="eastAsia" w:ascii="楷体_GB2312" w:hAnsi="楷体_GB2312" w:eastAsia="楷体_GB2312" w:cs="楷体_GB2312"/>
          <w:spacing w:val="0"/>
          <w:sz w:val="32"/>
          <w:szCs w:val="32"/>
          <w:lang w:val="en-US" w:eastAsia="zh-CN"/>
        </w:rPr>
        <w:t>（二）项目建设负重奋进。</w:t>
      </w:r>
      <w:r>
        <w:rPr>
          <w:rFonts w:hint="eastAsia" w:ascii="仿宋_GB2312" w:hAnsi="仿宋_GB2312" w:eastAsia="仿宋_GB2312" w:cs="仿宋_GB2312"/>
          <w:spacing w:val="0"/>
          <w:sz w:val="32"/>
          <w:szCs w:val="32"/>
          <w:lang w:val="en-US" w:eastAsia="zh-CN"/>
        </w:rPr>
        <w:t>2023年，我县共计完成交通基础设施建设投资12.05亿元（不含高速）。其中完成干线公路投资49115万元，完成农村公路提质改造180.048公里，完成投资46170万元，完成危桥改造24座（完成投资1836万元），安防工程346.75公里（完成投资6915万元），完成道路运输站场投资1825万元，完成养护工程投资10226万元。官新高速、龙江公路、东高公路路面改善项目、柘溪资江大桥、大熊山至茶马古道旅游公路利源隆—高城段建成通车，东渠公路基本贯通，仙芙公路、安化抽水蓄能电站移民安置专项交通工程加快推进，小淹资江大桥、宁乡龙田至安化驿头铺公路已完成招投标工作即将开工，平洞高速至黄沙坪公路已完成前期工作。长吉高速（长沙至安化段）前期工作加快推进，农村公路安防工程全面完成任务。全县高速公路“一横两纵”格局架构成型，柘溪库区纳入县城一小时经济圈，国省干线“五横五纵一联络”骨干路网基本构建成型。同时，立项争资超额完成，累计完成2.29亿元，完成目标任务的127%。</w:t>
      </w:r>
    </w:p>
    <w:p w14:paraId="1CD801EB">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仿宋_GB2312" w:hAnsi="仿宋_GB2312" w:eastAsia="仿宋_GB2312" w:cs="仿宋_GB2312"/>
          <w:spacing w:val="0"/>
          <w:sz w:val="32"/>
          <w:szCs w:val="32"/>
          <w:lang w:val="en-US" w:eastAsia="zh-CN"/>
        </w:rPr>
      </w:pPr>
      <w:r>
        <w:rPr>
          <w:rFonts w:hint="eastAsia" w:ascii="楷体_GB2312" w:hAnsi="楷体_GB2312" w:eastAsia="楷体_GB2312" w:cs="楷体_GB2312"/>
          <w:spacing w:val="0"/>
          <w:sz w:val="32"/>
          <w:szCs w:val="32"/>
          <w:lang w:val="en-US" w:eastAsia="zh-CN"/>
        </w:rPr>
        <w:t>（三）隐患治理拿条作战。</w:t>
      </w:r>
      <w:r>
        <w:rPr>
          <w:rFonts w:hint="eastAsia" w:ascii="仿宋_GB2312" w:hAnsi="仿宋_GB2312" w:eastAsia="仿宋_GB2312" w:cs="仿宋_GB2312"/>
          <w:spacing w:val="0"/>
          <w:sz w:val="32"/>
          <w:szCs w:val="32"/>
          <w:lang w:val="en-US" w:eastAsia="zh-CN"/>
        </w:rPr>
        <w:t>我县交通运输系统克服资金严重短缺的压力，全力推进道路交通隐患治理。</w:t>
      </w:r>
      <w:r>
        <w:rPr>
          <w:rFonts w:hint="eastAsia" w:ascii="仿宋_GB2312" w:hAnsi="仿宋_GB2312" w:eastAsia="仿宋_GB2312" w:cs="仿宋_GB2312"/>
          <w:b/>
          <w:bCs/>
          <w:spacing w:val="0"/>
          <w:sz w:val="32"/>
          <w:szCs w:val="32"/>
          <w:lang w:val="en-US" w:eastAsia="zh-CN"/>
        </w:rPr>
        <w:t>一是24条校车通行线路隐患排查圆满完成。</w:t>
      </w:r>
      <w:r>
        <w:rPr>
          <w:rFonts w:hint="eastAsia" w:ascii="仿宋_GB2312" w:hAnsi="仿宋_GB2312" w:eastAsia="仿宋_GB2312" w:cs="仿宋_GB2312"/>
          <w:spacing w:val="0"/>
          <w:sz w:val="32"/>
          <w:szCs w:val="32"/>
          <w:lang w:val="en-US" w:eastAsia="zh-CN"/>
        </w:rPr>
        <w:t>2023年12月配合县校车办对全县安防设施缺失的24条通校线路进行了现场踏勘，下达了12.9公里校车线路安防设施建设计划。截至2023年12月底，已全部完成实施。</w:t>
      </w:r>
      <w:r>
        <w:rPr>
          <w:rFonts w:hint="eastAsia" w:ascii="仿宋_GB2312" w:hAnsi="仿宋_GB2312" w:eastAsia="仿宋_GB2312" w:cs="仿宋_GB2312"/>
          <w:b/>
          <w:bCs/>
          <w:spacing w:val="0"/>
          <w:sz w:val="32"/>
          <w:szCs w:val="32"/>
          <w:lang w:val="en-US" w:eastAsia="zh-CN"/>
        </w:rPr>
        <w:t>二是42处国省干线隐患整治成效</w:t>
      </w:r>
      <w:r>
        <w:rPr>
          <w:rFonts w:hint="default" w:ascii="仿宋_GB2312" w:hAnsi="仿宋_GB2312" w:eastAsia="仿宋_GB2312" w:cs="仿宋_GB2312"/>
          <w:b/>
          <w:bCs/>
          <w:spacing w:val="0"/>
          <w:sz w:val="32"/>
          <w:szCs w:val="32"/>
          <w:lang w:val="en-US" w:eastAsia="zh-CN"/>
        </w:rPr>
        <w:t>明</w:t>
      </w:r>
      <w:r>
        <w:rPr>
          <w:rFonts w:hint="eastAsia" w:ascii="仿宋_GB2312" w:hAnsi="仿宋_GB2312" w:eastAsia="仿宋_GB2312" w:cs="仿宋_GB2312"/>
          <w:b/>
          <w:bCs/>
          <w:spacing w:val="0"/>
          <w:sz w:val="32"/>
          <w:szCs w:val="32"/>
          <w:lang w:val="en-US" w:eastAsia="zh-CN"/>
        </w:rPr>
        <w:t>显。</w:t>
      </w:r>
      <w:r>
        <w:rPr>
          <w:rFonts w:hint="eastAsia" w:ascii="仿宋_GB2312" w:hAnsi="仿宋_GB2312" w:eastAsia="仿宋_GB2312" w:cs="仿宋_GB2312"/>
          <w:spacing w:val="0"/>
          <w:sz w:val="32"/>
          <w:szCs w:val="32"/>
          <w:lang w:val="en-US" w:eastAsia="zh-CN"/>
        </w:rPr>
        <w:t>完成部省级交办国省道主干线隐患路段整改任务8处、市级交办国省道主干线隐患整治任务34处。</w:t>
      </w:r>
      <w:r>
        <w:rPr>
          <w:rFonts w:hint="eastAsia" w:ascii="仿宋_GB2312" w:hAnsi="仿宋_GB2312" w:eastAsia="仿宋_GB2312" w:cs="仿宋_GB2312"/>
          <w:b/>
          <w:bCs/>
          <w:spacing w:val="0"/>
          <w:sz w:val="32"/>
          <w:szCs w:val="32"/>
          <w:lang w:val="en-US" w:eastAsia="zh-CN"/>
        </w:rPr>
        <w:t>三是64条县道安全隐患治理任务持续推进。</w:t>
      </w:r>
      <w:r>
        <w:rPr>
          <w:rFonts w:hint="eastAsia" w:ascii="仿宋_GB2312" w:hAnsi="仿宋_GB2312" w:eastAsia="仿宋_GB2312" w:cs="仿宋_GB2312"/>
          <w:spacing w:val="0"/>
          <w:sz w:val="32"/>
          <w:szCs w:val="32"/>
          <w:lang w:val="en-US" w:eastAsia="zh-CN"/>
        </w:rPr>
        <w:t>2023年11月市整治办对我县下达64条县道3143处安全隐患治理任务，共需治理资金2900余万元，要求分两批完成。截至2023年12月底，已完成2843处，第一批任务超额完成。</w:t>
      </w:r>
    </w:p>
    <w:p w14:paraId="15A8EFF6">
      <w:pPr>
        <w:keepNext w:val="0"/>
        <w:keepLines w:val="0"/>
        <w:pageBreakBefore w:val="0"/>
        <w:widowControl w:val="0"/>
        <w:kinsoku/>
        <w:wordWrap/>
        <w:overflowPunct/>
        <w:topLinePunct w:val="0"/>
        <w:autoSpaceDE/>
        <w:autoSpaceDN/>
        <w:bidi w:val="0"/>
        <w:adjustRightInd/>
        <w:snapToGrid/>
        <w:spacing w:before="0" w:line="550" w:lineRule="exact"/>
        <w:ind w:left="0" w:leftChars="0" w:right="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楷体_GB2312" w:hAnsi="楷体_GB2312" w:eastAsia="楷体_GB2312" w:cs="楷体_GB2312"/>
          <w:spacing w:val="0"/>
          <w:sz w:val="32"/>
          <w:szCs w:val="32"/>
          <w:lang w:val="en-US" w:eastAsia="zh-CN"/>
        </w:rPr>
        <w:t>（四）行业治理不断提升。</w:t>
      </w:r>
      <w:r>
        <w:rPr>
          <w:rFonts w:hint="eastAsia" w:ascii="仿宋_GB2312" w:hAnsi="仿宋_GB2312" w:eastAsia="仿宋_GB2312" w:cs="仿宋_GB2312"/>
          <w:spacing w:val="0"/>
          <w:sz w:val="32"/>
          <w:szCs w:val="32"/>
          <w:lang w:val="en-US" w:eastAsia="zh-CN"/>
        </w:rPr>
        <w:t>道路、水路运</w:t>
      </w:r>
      <w:r>
        <w:rPr>
          <w:rFonts w:hint="eastAsia" w:ascii="仿宋_GB2312" w:hAnsi="仿宋_GB2312" w:eastAsia="仿宋_GB2312" w:cs="仿宋_GB2312"/>
          <w:color w:val="auto"/>
          <w:spacing w:val="0"/>
          <w:sz w:val="32"/>
          <w:szCs w:val="32"/>
          <w:lang w:val="en-US" w:eastAsia="zh-CN"/>
        </w:rPr>
        <w:t>输行业治理水平不断提升。</w:t>
      </w:r>
      <w:r>
        <w:rPr>
          <w:rFonts w:hint="eastAsia" w:ascii="仿宋_GB2312" w:hAnsi="仿宋_GB2312" w:eastAsia="仿宋_GB2312" w:cs="仿宋_GB2312"/>
          <w:b/>
          <w:bCs/>
          <w:color w:val="auto"/>
          <w:spacing w:val="0"/>
          <w:sz w:val="32"/>
          <w:szCs w:val="32"/>
          <w:lang w:val="en-US" w:eastAsia="zh-CN"/>
        </w:rPr>
        <w:t>公共交通</w:t>
      </w:r>
      <w:r>
        <w:rPr>
          <w:rFonts w:hint="default" w:ascii="仿宋_GB2312" w:hAnsi="仿宋_GB2312" w:eastAsia="仿宋_GB2312" w:cs="仿宋_GB2312"/>
          <w:b/>
          <w:bCs/>
          <w:color w:val="auto"/>
          <w:spacing w:val="0"/>
          <w:sz w:val="32"/>
          <w:szCs w:val="32"/>
          <w:lang w:val="en-US" w:eastAsia="zh-CN"/>
        </w:rPr>
        <w:t>方面</w:t>
      </w:r>
      <w:r>
        <w:rPr>
          <w:rFonts w:hint="eastAsia" w:ascii="仿宋_GB2312" w:hAnsi="仿宋_GB2312" w:eastAsia="仿宋_GB2312" w:cs="仿宋_GB2312"/>
          <w:b/>
          <w:bCs/>
          <w:color w:val="auto"/>
          <w:spacing w:val="0"/>
          <w:sz w:val="32"/>
          <w:szCs w:val="32"/>
          <w:lang w:val="en-US" w:eastAsia="zh-CN"/>
        </w:rPr>
        <w:t>：一是</w:t>
      </w:r>
      <w:r>
        <w:rPr>
          <w:rFonts w:hint="eastAsia" w:ascii="仿宋_GB2312" w:hAnsi="仿宋_GB2312" w:eastAsia="仿宋_GB2312" w:cs="仿宋_GB2312"/>
          <w:color w:val="auto"/>
          <w:spacing w:val="0"/>
          <w:sz w:val="32"/>
          <w:szCs w:val="32"/>
          <w:lang w:val="en-US" w:eastAsia="zh-CN"/>
        </w:rPr>
        <w:t>全面落实惠民政策。14周岁以下儿童、退伍军人免费乘坐城市公交车的政策第一时间</w:t>
      </w:r>
      <w:r>
        <w:rPr>
          <w:rFonts w:hint="eastAsia" w:ascii="仿宋_GB2312" w:hAnsi="仿宋_GB2312" w:eastAsia="仿宋_GB2312" w:cs="仿宋_GB2312"/>
          <w:spacing w:val="0"/>
          <w:sz w:val="32"/>
          <w:szCs w:val="32"/>
          <w:lang w:val="en-US" w:eastAsia="zh-CN"/>
        </w:rPr>
        <w:t>落实到位，2023年，已制作学生“少年卡”7112张，落实财政补贴227.5万元。</w:t>
      </w:r>
      <w:r>
        <w:rPr>
          <w:rFonts w:hint="eastAsia" w:ascii="仿宋_GB2312" w:hAnsi="仿宋_GB2312" w:eastAsia="仿宋_GB2312" w:cs="仿宋_GB2312"/>
          <w:b/>
          <w:bCs/>
          <w:spacing w:val="0"/>
          <w:sz w:val="32"/>
          <w:szCs w:val="32"/>
          <w:lang w:val="en-US" w:eastAsia="zh-CN"/>
        </w:rPr>
        <w:t>二是</w:t>
      </w:r>
      <w:r>
        <w:rPr>
          <w:rFonts w:hint="eastAsia" w:ascii="仿宋_GB2312" w:hAnsi="仿宋_GB2312" w:eastAsia="仿宋_GB2312" w:cs="仿宋_GB2312"/>
          <w:b w:val="0"/>
          <w:bCs w:val="0"/>
          <w:spacing w:val="0"/>
          <w:sz w:val="32"/>
          <w:szCs w:val="32"/>
          <w:lang w:val="en-US" w:eastAsia="zh-CN"/>
        </w:rPr>
        <w:t>县</w:t>
      </w:r>
      <w:r>
        <w:rPr>
          <w:rFonts w:hint="eastAsia" w:ascii="仿宋_GB2312" w:hAnsi="仿宋_GB2312" w:eastAsia="仿宋_GB2312" w:cs="仿宋_GB2312"/>
          <w:spacing w:val="0"/>
          <w:sz w:val="32"/>
          <w:szCs w:val="32"/>
          <w:lang w:val="en-US" w:eastAsia="zh-CN"/>
        </w:rPr>
        <w:t>人大重点建议办理卓有成效。扎实推进</w:t>
      </w:r>
      <w:r>
        <w:rPr>
          <w:rFonts w:hint="default"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lang w:val="en-US" w:eastAsia="zh-CN"/>
        </w:rPr>
        <w:t>人大</w:t>
      </w:r>
      <w:r>
        <w:rPr>
          <w:rFonts w:hint="default"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lang w:val="en-US" w:eastAsia="zh-CN"/>
        </w:rPr>
        <w:t>号重点建议</w:t>
      </w:r>
      <w:r>
        <w:rPr>
          <w:rFonts w:hint="default" w:ascii="仿宋_GB2312" w:hAnsi="仿宋_GB2312" w:eastAsia="仿宋_GB2312" w:cs="仿宋_GB2312"/>
          <w:spacing w:val="0"/>
          <w:sz w:val="32"/>
          <w:szCs w:val="32"/>
          <w:lang w:val="en-US" w:eastAsia="zh-CN"/>
        </w:rPr>
        <w:t>案</w:t>
      </w:r>
      <w:r>
        <w:rPr>
          <w:rFonts w:hint="eastAsia" w:ascii="仿宋_GB2312" w:hAnsi="仿宋_GB2312" w:eastAsia="仿宋_GB2312" w:cs="仿宋_GB2312"/>
          <w:spacing w:val="0"/>
          <w:sz w:val="32"/>
          <w:szCs w:val="32"/>
          <w:lang w:val="en-US" w:eastAsia="zh-CN"/>
        </w:rPr>
        <w:t>，五个公交体系基本成形，“环城快线”公交品牌效应明显，企业发展逐步向好。2023年，我局共办理人大建议29件，均已高质量完成，办理工作获县人大高度肯定。</w:t>
      </w:r>
      <w:r>
        <w:rPr>
          <w:rFonts w:hint="eastAsia" w:ascii="仿宋_GB2312" w:hAnsi="仿宋_GB2312" w:eastAsia="仿宋_GB2312" w:cs="仿宋_GB2312"/>
          <w:b/>
          <w:bCs/>
          <w:spacing w:val="0"/>
          <w:sz w:val="32"/>
          <w:szCs w:val="32"/>
          <w:lang w:val="en-US" w:eastAsia="zh-CN"/>
        </w:rPr>
        <w:t>水上监管</w:t>
      </w:r>
      <w:r>
        <w:rPr>
          <w:rFonts w:hint="default" w:ascii="仿宋_GB2312" w:hAnsi="仿宋_GB2312" w:eastAsia="仿宋_GB2312" w:cs="仿宋_GB2312"/>
          <w:b/>
          <w:bCs/>
          <w:spacing w:val="0"/>
          <w:sz w:val="32"/>
          <w:szCs w:val="32"/>
          <w:lang w:val="en-US" w:eastAsia="zh-CN"/>
        </w:rPr>
        <w:t>方</w:t>
      </w:r>
      <w:r>
        <w:rPr>
          <w:rFonts w:hint="eastAsia" w:ascii="仿宋_GB2312" w:hAnsi="仿宋_GB2312" w:eastAsia="仿宋_GB2312" w:cs="仿宋_GB2312"/>
          <w:b/>
          <w:bCs/>
          <w:spacing w:val="0"/>
          <w:sz w:val="32"/>
          <w:szCs w:val="32"/>
          <w:lang w:val="en-US" w:eastAsia="zh-CN"/>
        </w:rPr>
        <w:t>面：</w:t>
      </w:r>
      <w:r>
        <w:rPr>
          <w:rFonts w:hint="eastAsia" w:ascii="仿宋_GB2312" w:hAnsi="仿宋_GB2312" w:eastAsia="仿宋_GB2312" w:cs="仿宋_GB2312"/>
          <w:spacing w:val="0"/>
          <w:sz w:val="32"/>
          <w:szCs w:val="32"/>
          <w:lang w:val="en-US" w:eastAsia="zh-CN"/>
        </w:rPr>
        <w:t>开展了非法浮动设施清理整治“雷霆行动”，依法处置了段某连、夏某岸两个历史遗留非法浮动设</w:t>
      </w:r>
      <w:r>
        <w:rPr>
          <w:rFonts w:hint="eastAsia" w:ascii="仿宋_GB2312" w:hAnsi="仿宋_GB2312" w:eastAsia="仿宋_GB2312" w:cs="仿宋_GB2312"/>
          <w:color w:val="auto"/>
          <w:spacing w:val="0"/>
          <w:sz w:val="32"/>
          <w:szCs w:val="32"/>
          <w:lang w:val="en-US" w:eastAsia="zh-CN"/>
        </w:rPr>
        <w:t>施，对库区水运行业形成了强烈威慑，水上违法行为得到有效遏制；配备了7</w:t>
      </w:r>
      <w:r>
        <w:rPr>
          <w:rFonts w:hint="eastAsia" w:ascii="仿宋_GB2312" w:hAnsi="仿宋_GB2312" w:eastAsia="仿宋_GB2312" w:cs="仿宋_GB2312"/>
          <w:spacing w:val="0"/>
          <w:sz w:val="32"/>
          <w:szCs w:val="32"/>
          <w:lang w:val="en-US" w:eastAsia="zh-CN"/>
        </w:rPr>
        <w:t>艘公务救援艇，进一步强化了水上交通安全管理。2023年，共检查水运企业3家，检查船舶1200艘，立案查处船舶非法运输行为4起，查处渡船超载2起，暂扣非法改装船舶12艘，暂扣三无船舶12艘，拆除钓鱼平台87艘，下发责令整改违法行为通知书57份，办理水上非法营运等案件14件，水上交通安全基础不断夯实。</w:t>
      </w:r>
      <w:r>
        <w:rPr>
          <w:rFonts w:hint="eastAsia" w:ascii="仿宋_GB2312" w:hAnsi="仿宋_GB2312" w:eastAsia="仿宋_GB2312" w:cs="仿宋_GB2312"/>
          <w:b/>
          <w:bCs/>
          <w:spacing w:val="0"/>
          <w:sz w:val="32"/>
          <w:szCs w:val="32"/>
          <w:lang w:val="en-US" w:eastAsia="zh-CN"/>
        </w:rPr>
        <w:t>行政执法</w:t>
      </w:r>
      <w:r>
        <w:rPr>
          <w:rFonts w:hint="default" w:ascii="仿宋_GB2312" w:hAnsi="仿宋_GB2312" w:eastAsia="仿宋_GB2312" w:cs="仿宋_GB2312"/>
          <w:b/>
          <w:bCs/>
          <w:spacing w:val="0"/>
          <w:sz w:val="32"/>
          <w:szCs w:val="32"/>
          <w:lang w:val="en-US" w:eastAsia="zh-CN"/>
        </w:rPr>
        <w:t>方</w:t>
      </w:r>
      <w:r>
        <w:rPr>
          <w:rFonts w:hint="eastAsia" w:ascii="仿宋_GB2312" w:hAnsi="仿宋_GB2312" w:eastAsia="仿宋_GB2312" w:cs="仿宋_GB2312"/>
          <w:b/>
          <w:bCs/>
          <w:spacing w:val="0"/>
          <w:sz w:val="32"/>
          <w:szCs w:val="32"/>
          <w:lang w:val="en-US" w:eastAsia="zh-CN"/>
        </w:rPr>
        <w:t>面：执法模式创新有为。</w:t>
      </w:r>
      <w:r>
        <w:rPr>
          <w:rFonts w:hint="eastAsia" w:ascii="仿宋_GB2312" w:hAnsi="仿宋_GB2312" w:eastAsia="仿宋_GB2312" w:cs="仿宋_GB2312"/>
          <w:spacing w:val="0"/>
          <w:sz w:val="32"/>
          <w:szCs w:val="32"/>
          <w:lang w:val="en-US" w:eastAsia="zh-CN"/>
        </w:rPr>
        <w:t>创新开展了执法体验周、群众接待日、基层站所开放日等活动，邀请人员广泛、效果显著，促进了执法人员公正文明执法，提升了交通执法形象。2023年，共开展执法体验周9次，群众接待日8次，基层站所开放日5次，接待群众1112人次，发放宣传手册3000余份。</w:t>
      </w:r>
      <w:r>
        <w:rPr>
          <w:rFonts w:hint="eastAsia" w:ascii="仿宋_GB2312" w:hAnsi="仿宋_GB2312" w:eastAsia="仿宋_GB2312" w:cs="仿宋_GB2312"/>
          <w:b/>
          <w:bCs/>
          <w:spacing w:val="0"/>
          <w:sz w:val="32"/>
          <w:szCs w:val="32"/>
          <w:lang w:val="en-US" w:eastAsia="zh-CN"/>
        </w:rPr>
        <w:t>打非治违成效明显。</w:t>
      </w:r>
      <w:r>
        <w:rPr>
          <w:rFonts w:hint="eastAsia" w:ascii="仿宋_GB2312" w:hAnsi="仿宋_GB2312" w:eastAsia="仿宋_GB2312" w:cs="仿宋_GB2312"/>
          <w:spacing w:val="0"/>
          <w:sz w:val="32"/>
          <w:szCs w:val="32"/>
          <w:lang w:val="en-US" w:eastAsia="zh-CN"/>
        </w:rPr>
        <w:t>积极联合交警、城管等单位多次开展联合执法，严厉打击私家车辆非法营运、城市出租车和公交车违规经营等违法违规行为。2023年，共检</w:t>
      </w:r>
      <w:r>
        <w:rPr>
          <w:rFonts w:hint="eastAsia" w:ascii="仿宋_GB2312" w:hAnsi="仿宋_GB2312" w:eastAsia="仿宋_GB2312" w:cs="仿宋_GB2312"/>
          <w:b w:val="0"/>
          <w:bCs w:val="0"/>
          <w:color w:val="auto"/>
          <w:spacing w:val="0"/>
          <w:sz w:val="32"/>
          <w:szCs w:val="32"/>
          <w:lang w:val="en-US" w:eastAsia="zh-CN"/>
        </w:rPr>
        <w:t>查客运企业8家、网约车公司6家，检查客运车辆980余台，查处非法营运79起，查处</w:t>
      </w:r>
      <w:r>
        <w:rPr>
          <w:rFonts w:hint="eastAsia" w:ascii="仿宋_GB2312" w:hAnsi="仿宋_GB2312" w:eastAsia="仿宋_GB2312" w:cs="仿宋_GB2312"/>
          <w:spacing w:val="0"/>
          <w:sz w:val="32"/>
          <w:szCs w:val="32"/>
          <w:lang w:val="en-US" w:eastAsia="zh-CN"/>
        </w:rPr>
        <w:t>出租车不打表计费8起，检查危险品运输车辆53台，查处涉嫌非法危化品运输8起。“黑车”“助残车”“摩的”非法运输行为得到严厉打击，城区客运秩序持续好转。</w:t>
      </w:r>
      <w:r>
        <w:rPr>
          <w:rFonts w:hint="eastAsia" w:ascii="仿宋_GB2312" w:hAnsi="仿宋_GB2312" w:eastAsia="仿宋_GB2312" w:cs="仿宋_GB2312"/>
          <w:b/>
          <w:bCs/>
          <w:spacing w:val="0"/>
          <w:sz w:val="32"/>
          <w:szCs w:val="32"/>
          <w:lang w:val="en-US" w:eastAsia="zh-CN"/>
        </w:rPr>
        <w:t>路域环境整治卓有成效。</w:t>
      </w:r>
      <w:r>
        <w:rPr>
          <w:rFonts w:hint="eastAsia" w:ascii="仿宋_GB2312" w:hAnsi="仿宋_GB2312" w:eastAsia="仿宋_GB2312" w:cs="仿宋_GB2312"/>
          <w:spacing w:val="0"/>
          <w:sz w:val="32"/>
          <w:szCs w:val="32"/>
          <w:lang w:val="en-US" w:eastAsia="zh-CN"/>
        </w:rPr>
        <w:t>国省道桥跨行洪空间、公路用地范围内的违章堆积物和摆摊设点已及时治理，非公路标志（广告牌）基本整治到位，全县公路沿线建筑控制区和公路用地范围内未发现违法增量行为，“三保三大”工作走在全市前列。2023年，共开展246次整治行动，出动执法人员1397人次，车辆268台次。发放宣传单1789份，办理损坏公路及其附属设施案件12起，拆除横幅366条、非法标志标牌161块，清理乱堆、乱放128处。</w:t>
      </w:r>
      <w:r>
        <w:rPr>
          <w:rFonts w:hint="eastAsia" w:ascii="仿宋_GB2312" w:hAnsi="仿宋_GB2312" w:eastAsia="仿宋_GB2312" w:cs="仿宋_GB2312"/>
          <w:b/>
          <w:bCs/>
          <w:spacing w:val="0"/>
          <w:sz w:val="32"/>
          <w:szCs w:val="32"/>
          <w:lang w:val="en-US" w:eastAsia="zh-CN"/>
        </w:rPr>
        <w:t>科技治超长足发展。</w:t>
      </w:r>
      <w:r>
        <w:rPr>
          <w:rFonts w:hint="eastAsia" w:ascii="仿宋_GB2312" w:hAnsi="仿宋_GB2312" w:eastAsia="仿宋_GB2312" w:cs="仿宋_GB2312"/>
          <w:spacing w:val="0"/>
          <w:sz w:val="32"/>
          <w:szCs w:val="32"/>
          <w:lang w:val="en-US" w:eastAsia="zh-CN"/>
        </w:rPr>
        <w:t>通过湖南省治超联网管理信息系统，利用4套不停车检测系统，采取围栏布控的方式，做到了精准打击超载车辆。全年共检查源头货运企业36家，货运车辆91240台，通过围栏布控拦截超载车辆185台次，卸载7854.86吨，办理超载案件387起，罚款383.41万元，治超工作成效良好。</w:t>
      </w:r>
    </w:p>
    <w:p w14:paraId="3333B6AE">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仿宋_GB2312" w:hAnsi="仿宋_GB2312" w:eastAsia="仿宋_GB2312" w:cs="仿宋_GB2312"/>
          <w:spacing w:val="0"/>
          <w:sz w:val="32"/>
          <w:szCs w:val="32"/>
          <w:lang w:val="en-US" w:eastAsia="zh-CN"/>
        </w:rPr>
      </w:pPr>
      <w:r>
        <w:rPr>
          <w:rFonts w:hint="eastAsia" w:ascii="楷体_GB2312" w:hAnsi="楷体_GB2312" w:eastAsia="楷体_GB2312" w:cs="楷体_GB2312"/>
          <w:spacing w:val="0"/>
          <w:sz w:val="32"/>
          <w:szCs w:val="32"/>
          <w:lang w:val="en-US" w:eastAsia="zh-CN"/>
        </w:rPr>
        <w:t>（五）安全生产平稳推进。</w:t>
      </w:r>
      <w:r>
        <w:rPr>
          <w:rFonts w:hint="eastAsia" w:ascii="仿宋_GB2312" w:hAnsi="仿宋_GB2312" w:eastAsia="仿宋_GB2312" w:cs="仿宋_GB2312"/>
          <w:spacing w:val="0"/>
          <w:sz w:val="32"/>
          <w:szCs w:val="32"/>
          <w:lang w:val="en-US" w:eastAsia="zh-CN"/>
        </w:rPr>
        <w:t>以打好安全生产巩固提升仗为主线，扎实有序开展交通顽瘴痼疾系统整治、公路水运安全生产重大风险隐患整治集中攻坚等行动，确保了我县交通运输领域安全生产持续稳定。</w:t>
      </w:r>
      <w:r>
        <w:rPr>
          <w:rFonts w:hint="eastAsia" w:ascii="仿宋_GB2312" w:hAnsi="仿宋_GB2312" w:eastAsia="仿宋_GB2312" w:cs="仿宋_GB2312"/>
          <w:b/>
          <w:bCs/>
          <w:spacing w:val="0"/>
          <w:sz w:val="32"/>
          <w:szCs w:val="32"/>
          <w:lang w:val="en-US" w:eastAsia="zh-CN"/>
        </w:rPr>
        <w:t>一是春运工作圆满完成。</w:t>
      </w:r>
      <w:r>
        <w:rPr>
          <w:rFonts w:hint="eastAsia" w:ascii="仿宋_GB2312" w:hAnsi="仿宋_GB2312" w:eastAsia="仿宋_GB2312" w:cs="仿宋_GB2312"/>
          <w:spacing w:val="0"/>
          <w:sz w:val="32"/>
          <w:szCs w:val="32"/>
          <w:lang w:val="en-US" w:eastAsia="zh-CN"/>
        </w:rPr>
        <w:t>2023年春运期间，我县运输客运总量为85.5万人次。春运期间，共开展安全巡查31次，出动检查人员136人次，检查客运车辆200余辆，检查渡口60余次，检查渡船90余艘，排查整改安全隐患10处。客流总体平稳有序，没有发生安全生产事故。</w:t>
      </w:r>
      <w:r>
        <w:rPr>
          <w:rFonts w:hint="eastAsia" w:ascii="仿宋_GB2312" w:hAnsi="仿宋_GB2312" w:eastAsia="仿宋_GB2312" w:cs="仿宋_GB2312"/>
          <w:b/>
          <w:bCs/>
          <w:spacing w:val="0"/>
          <w:sz w:val="32"/>
          <w:szCs w:val="32"/>
          <w:lang w:val="en-US" w:eastAsia="zh-CN"/>
        </w:rPr>
        <w:t>二是大力整治道运隐患。</w:t>
      </w:r>
      <w:r>
        <w:rPr>
          <w:rFonts w:hint="eastAsia" w:ascii="仿宋_GB2312" w:hAnsi="仿宋_GB2312" w:eastAsia="仿宋_GB2312" w:cs="仿宋_GB2312"/>
          <w:spacing w:val="0"/>
          <w:sz w:val="32"/>
          <w:szCs w:val="32"/>
          <w:lang w:val="en-US" w:eastAsia="zh-CN"/>
        </w:rPr>
        <w:t>严格落实全国、省、市安全生产电视电话会议精神，针对两客一危、货运、农村客运开展道路运输领域安全生产专项整治行动，对全县8家客运企业、5家城市客运企业、1家危货运输企业、3家客运站场、6家网约车公司、10家规模以上货运企业开展安全检查，共排查整改隐患90处（个），当场整改10处（个）。</w:t>
      </w:r>
      <w:r>
        <w:rPr>
          <w:rFonts w:hint="eastAsia" w:ascii="仿宋_GB2312" w:hAnsi="仿宋_GB2312" w:eastAsia="仿宋_GB2312" w:cs="仿宋_GB2312"/>
          <w:b/>
          <w:bCs/>
          <w:spacing w:val="0"/>
          <w:sz w:val="32"/>
          <w:szCs w:val="32"/>
          <w:lang w:val="en-US" w:eastAsia="zh-CN"/>
        </w:rPr>
        <w:t>三是应急抢险效果显著。</w:t>
      </w:r>
      <w:r>
        <w:rPr>
          <w:rFonts w:hint="eastAsia" w:ascii="仿宋_GB2312" w:hAnsi="仿宋_GB2312" w:eastAsia="仿宋_GB2312" w:cs="仿宋_GB2312"/>
          <w:spacing w:val="0"/>
          <w:sz w:val="32"/>
          <w:szCs w:val="32"/>
          <w:lang w:val="en-US" w:eastAsia="zh-CN"/>
        </w:rPr>
        <w:t>积极应对低温雨雪、汛期强降雨等极端灾害天气，做好抗冰保畅、防汛抢险及应急救援工作。</w:t>
      </w:r>
      <w:r>
        <w:rPr>
          <w:rFonts w:hint="default" w:ascii="仿宋_GB2312" w:hAnsi="仿宋_GB2312" w:eastAsia="仿宋_GB2312" w:cs="仿宋_GB2312"/>
          <w:spacing w:val="0"/>
          <w:sz w:val="32"/>
          <w:szCs w:val="32"/>
          <w:lang w:val="en-US" w:eastAsia="zh-CN"/>
        </w:rPr>
        <w:t>全</w:t>
      </w:r>
      <w:r>
        <w:rPr>
          <w:rFonts w:hint="eastAsia" w:ascii="仿宋_GB2312" w:hAnsi="仿宋_GB2312" w:eastAsia="仿宋_GB2312" w:cs="仿宋_GB2312"/>
          <w:spacing w:val="0"/>
          <w:sz w:val="32"/>
          <w:szCs w:val="32"/>
          <w:lang w:val="en-US" w:eastAsia="zh-CN"/>
        </w:rPr>
        <w:t>年共出动应急抢险队伍195次、抢险人员1246人次，处置塌方122次，清除塌方约2.6万立方米，出动机械设备410台次，抛洒融雪剂75余吨，设置标志标牌320块，安全锥780个，爆闪灯68个，设置与维修安全围挡195米，解救受困车辆900余台、受困群众3000余人，确保了管养国省干线及主要县乡道公路的安全与畅通。</w:t>
      </w:r>
    </w:p>
    <w:p w14:paraId="2C95070D">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default" w:ascii="仿宋_GB2312" w:hAnsi="仿宋_GB2312" w:eastAsia="仿宋_GB2312" w:cs="仿宋_GB2312"/>
          <w:b/>
          <w:bCs/>
          <w:spacing w:val="0"/>
          <w:sz w:val="32"/>
          <w:szCs w:val="32"/>
          <w:lang w:val="en-US" w:eastAsia="zh-CN"/>
        </w:rPr>
      </w:pPr>
      <w:r>
        <w:rPr>
          <w:rFonts w:hint="eastAsia" w:ascii="楷体_GB2312" w:hAnsi="楷体_GB2312" w:eastAsia="楷体_GB2312" w:cs="楷体_GB2312"/>
          <w:spacing w:val="0"/>
          <w:sz w:val="32"/>
          <w:szCs w:val="32"/>
          <w:lang w:val="en-US" w:eastAsia="zh-CN"/>
        </w:rPr>
        <w:t>（六）党的建设不断加强。</w:t>
      </w:r>
      <w:r>
        <w:rPr>
          <w:rFonts w:hint="eastAsia" w:ascii="仿宋_GB2312" w:hAnsi="仿宋_GB2312" w:eastAsia="仿宋_GB2312" w:cs="仿宋_GB2312"/>
          <w:spacing w:val="0"/>
          <w:sz w:val="32"/>
          <w:szCs w:val="32"/>
          <w:lang w:val="en-US" w:eastAsia="zh-CN"/>
        </w:rPr>
        <w:t>以“党建实效化”工作、“党建提质年”行动为抓手，淬炼队伍、筑牢思想，切实以党建引领乡村振兴，助推交通运输事业高质量发展。</w:t>
      </w:r>
      <w:r>
        <w:rPr>
          <w:rFonts w:hint="eastAsia" w:ascii="仿宋_GB2312" w:hAnsi="仿宋_GB2312" w:eastAsia="仿宋_GB2312" w:cs="仿宋_GB2312"/>
          <w:b/>
          <w:bCs/>
          <w:spacing w:val="0"/>
          <w:sz w:val="32"/>
          <w:szCs w:val="32"/>
          <w:lang w:val="en-US" w:eastAsia="zh-CN"/>
        </w:rPr>
        <w:t>一是党小组模式试点成功。</w:t>
      </w:r>
      <w:r>
        <w:rPr>
          <w:rFonts w:hint="eastAsia" w:ascii="仿宋_GB2312" w:hAnsi="仿宋_GB2312" w:eastAsia="仿宋_GB2312" w:cs="仿宋_GB2312"/>
          <w:spacing w:val="0"/>
          <w:sz w:val="32"/>
          <w:szCs w:val="32"/>
          <w:lang w:val="en-US" w:eastAsia="zh-CN"/>
        </w:rPr>
        <w:t>2023年3月份在江南事务所建立了交通运输系统第一个基层事务所党小组，成功开辟了基层前沿的党建阵地，打造了党建引领业务的成功案例，充分发挥了党组织的战斗堡垒作用和先锋模范作用。</w:t>
      </w:r>
      <w:r>
        <w:rPr>
          <w:rFonts w:hint="eastAsia" w:ascii="仿宋_GB2312" w:hAnsi="仿宋_GB2312" w:eastAsia="仿宋_GB2312" w:cs="仿宋_GB2312"/>
          <w:b/>
          <w:bCs/>
          <w:spacing w:val="0"/>
          <w:sz w:val="32"/>
          <w:szCs w:val="32"/>
          <w:lang w:val="en-US" w:eastAsia="zh-CN"/>
        </w:rPr>
        <w:t>二是抓严抓实巡察整改。</w:t>
      </w:r>
      <w:r>
        <w:rPr>
          <w:rFonts w:hint="eastAsia" w:ascii="仿宋_GB2312" w:hAnsi="仿宋_GB2312" w:eastAsia="仿宋_GB2312" w:cs="仿宋_GB2312"/>
          <w:spacing w:val="0"/>
          <w:sz w:val="32"/>
          <w:szCs w:val="32"/>
          <w:lang w:val="en-US" w:eastAsia="zh-CN"/>
        </w:rPr>
        <w:t>积极配合省委巡视组开展巡视，同时以</w:t>
      </w:r>
      <w:r>
        <w:rPr>
          <w:rFonts w:hint="default"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lang w:val="en-US" w:eastAsia="zh-CN"/>
        </w:rPr>
        <w:t>巡察整改为契机，</w:t>
      </w:r>
      <w:r>
        <w:rPr>
          <w:rFonts w:hint="default" w:ascii="仿宋_GB2312" w:hAnsi="仿宋_GB2312" w:eastAsia="仿宋_GB2312" w:cs="仿宋_GB2312"/>
          <w:spacing w:val="0"/>
          <w:sz w:val="32"/>
          <w:szCs w:val="32"/>
          <w:lang w:val="en-US" w:eastAsia="zh-CN"/>
        </w:rPr>
        <w:t>将</w:t>
      </w:r>
      <w:r>
        <w:rPr>
          <w:rFonts w:hint="eastAsia" w:ascii="仿宋_GB2312" w:hAnsi="仿宋_GB2312" w:eastAsia="仿宋_GB2312" w:cs="仿宋_GB2312"/>
          <w:spacing w:val="0"/>
          <w:sz w:val="32"/>
          <w:szCs w:val="32"/>
          <w:lang w:val="en-US" w:eastAsia="zh-CN"/>
        </w:rPr>
        <w:t>巡察整改作为推进全面从严治党的重要手段，深刻剖析原因，细化整改方案，推进党风廉政建设、队伍建设不断加强。县委巡察组反馈的4个方面9大项共36个问题，其中32个已完成整改，2个基本完成，2个需长期整改。</w:t>
      </w:r>
      <w:r>
        <w:rPr>
          <w:rFonts w:hint="eastAsia" w:ascii="仿宋_GB2312" w:hAnsi="仿宋_GB2312" w:eastAsia="仿宋_GB2312" w:cs="仿宋_GB2312"/>
          <w:b/>
          <w:bCs/>
          <w:spacing w:val="0"/>
          <w:sz w:val="32"/>
          <w:szCs w:val="32"/>
          <w:lang w:val="en-US" w:eastAsia="zh-CN"/>
        </w:rPr>
        <w:t>三是强化党组织理论学习。</w:t>
      </w:r>
      <w:r>
        <w:rPr>
          <w:rFonts w:hint="eastAsia" w:ascii="仿宋_GB2312" w:hAnsi="仿宋_GB2312" w:eastAsia="仿宋_GB2312" w:cs="仿宋_GB2312"/>
          <w:spacing w:val="0"/>
          <w:sz w:val="32"/>
          <w:szCs w:val="32"/>
          <w:lang w:val="en-US" w:eastAsia="zh-CN"/>
        </w:rPr>
        <w:t>严格落实党组理论学习中心组学习制度和“第一议题”制度，制定了《学习贯彻党的二十大精神工作方案》，将学习《党的二十大报告解读》视频、二十大报告原文作为主题党日活动固定议程，同时结合周例会、党组会议、干部职工大会广泛深入开展学习教育活动。2023年共组织干职工集体学习研讨12次，组织中心组集体学习</w:t>
      </w:r>
      <w:bookmarkStart w:id="0" w:name="_GoBack"/>
      <w:bookmarkEnd w:id="0"/>
      <w:r>
        <w:rPr>
          <w:rFonts w:hint="eastAsia" w:ascii="仿宋_GB2312" w:hAnsi="仿宋_GB2312" w:eastAsia="仿宋_GB2312" w:cs="仿宋_GB2312"/>
          <w:spacing w:val="0"/>
          <w:sz w:val="32"/>
          <w:szCs w:val="32"/>
          <w:lang w:val="en-US" w:eastAsia="zh-CN"/>
        </w:rPr>
        <w:t>12次，领导班子和干部队伍建设不断加强。</w:t>
      </w:r>
    </w:p>
    <w:p w14:paraId="562B9CC9">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七、存在的问题及原因分析</w:t>
      </w:r>
    </w:p>
    <w:p w14:paraId="5B2780EA">
      <w:pPr>
        <w:ind w:firstLine="640" w:firstLineChars="200"/>
        <w:rPr>
          <w:rFonts w:hint="eastAsia" w:ascii="仿宋_GB2312" w:eastAsia="仿宋_GB2312" w:cs="仿宋_GB2312"/>
          <w:color w:val="232323"/>
          <w:sz w:val="32"/>
          <w:szCs w:val="32"/>
          <w:shd w:val="clear" w:color="auto" w:fill="FFFFFF"/>
          <w:lang w:val="en-US" w:eastAsia="zh-CN"/>
        </w:rPr>
      </w:pPr>
      <w:r>
        <w:rPr>
          <w:rFonts w:hint="eastAsia" w:ascii="仿宋_GB2312" w:eastAsia="仿宋_GB2312" w:cs="仿宋_GB2312"/>
          <w:color w:val="232323"/>
          <w:sz w:val="32"/>
          <w:szCs w:val="32"/>
          <w:shd w:val="clear" w:color="auto" w:fill="FFFFFF"/>
          <w:lang w:val="en-US" w:eastAsia="zh-CN"/>
        </w:rPr>
        <w:t>1、年中追加项目较多，不利于我局预算绩效编制，且资金到位不及时及其他如疫情原因等不可预计因素，一定程度上可能会导致我局本年度预算执行率偏低。</w:t>
      </w:r>
    </w:p>
    <w:p w14:paraId="1C5BE9E9">
      <w:pPr>
        <w:ind w:firstLine="640" w:firstLineChars="200"/>
        <w:rPr>
          <w:rFonts w:hint="eastAsia" w:ascii="仿宋_GB2312" w:eastAsia="仿宋_GB2312" w:cs="仿宋_GB2312"/>
          <w:color w:val="232323"/>
          <w:sz w:val="32"/>
          <w:szCs w:val="32"/>
          <w:shd w:val="clear" w:color="auto" w:fill="FFFFFF"/>
          <w:lang w:val="en-US" w:eastAsia="zh-CN"/>
        </w:rPr>
      </w:pPr>
      <w:r>
        <w:rPr>
          <w:rFonts w:hint="eastAsia" w:ascii="仿宋_GB2312" w:eastAsia="仿宋_GB2312" w:cs="仿宋_GB2312"/>
          <w:color w:val="232323"/>
          <w:sz w:val="32"/>
          <w:szCs w:val="32"/>
          <w:shd w:val="clear" w:color="auto" w:fill="FFFFFF"/>
          <w:lang w:val="en-US" w:eastAsia="zh-CN"/>
        </w:rPr>
        <w:t>2、公路管理养护任务艰巨，养护资金不足。特别是按农村公路养护“1053”标准，县级配套资金到位压力较大，有限的经费与繁重的管养任务之间的矛盾日益凸显，道路管养“心有余而力不足”。</w:t>
      </w:r>
    </w:p>
    <w:p w14:paraId="2389018F">
      <w:pPr>
        <w:ind w:firstLine="640" w:firstLineChars="200"/>
        <w:rPr>
          <w:rFonts w:hint="default" w:ascii="仿宋_GB2312" w:eastAsia="仿宋_GB2312" w:cs="仿宋_GB2312"/>
          <w:color w:val="232323"/>
          <w:sz w:val="32"/>
          <w:szCs w:val="32"/>
          <w:shd w:val="clear" w:color="auto" w:fill="FFFFFF"/>
          <w:lang w:val="en-US" w:eastAsia="zh-CN"/>
        </w:rPr>
      </w:pPr>
      <w:r>
        <w:rPr>
          <w:rFonts w:hint="eastAsia" w:ascii="仿宋_GB2312" w:eastAsia="仿宋_GB2312" w:cs="仿宋_GB2312"/>
          <w:color w:val="232323"/>
          <w:sz w:val="32"/>
          <w:szCs w:val="32"/>
          <w:shd w:val="clear" w:color="auto" w:fill="FFFFFF"/>
          <w:lang w:val="en-US" w:eastAsia="zh-CN"/>
        </w:rPr>
        <w:t>3、预算绩效管理人员才缺乏，管理能力和水平有待进一步提高。</w:t>
      </w:r>
    </w:p>
    <w:p w14:paraId="217F7C80">
      <w:pPr>
        <w:keepNext w:val="0"/>
        <w:keepLines w:val="0"/>
        <w:pageBreakBefore w:val="0"/>
        <w:widowControl/>
        <w:numPr>
          <w:ilvl w:val="0"/>
          <w:numId w:val="2"/>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下一步改进措施</w:t>
      </w:r>
    </w:p>
    <w:p w14:paraId="179D5FA0">
      <w:pPr>
        <w:keepNext w:val="0"/>
        <w:keepLines w:val="0"/>
        <w:pageBreakBefore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1、科学制定年度预算，充分预计和提前计划各项支出</w:t>
      </w:r>
      <w:r>
        <w:rPr>
          <w:rFonts w:hint="eastAsia" w:ascii="仿宋_GB2312" w:hAnsi="仿宋_GB2312" w:eastAsia="仿宋_GB2312" w:cs="仿宋_GB2312"/>
          <w:sz w:val="32"/>
          <w:szCs w:val="32"/>
          <w:lang w:eastAsia="zh-CN"/>
        </w:rPr>
        <w:t>；</w:t>
      </w:r>
    </w:p>
    <w:p w14:paraId="61D74BCE">
      <w:pPr>
        <w:keepNext w:val="0"/>
        <w:keepLines w:val="0"/>
        <w:pageBreakBefore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2、进一步建立健全预算绩效管理工作制度；加强预算绩效管理工作队伍建设，通过开展预算绩效管理工作培训、与财政和绩效管理先进单位交流学习等方式提高单位绩效管理工作能力和水平；</w:t>
      </w:r>
    </w:p>
    <w:p w14:paraId="0A015134">
      <w:pPr>
        <w:pStyle w:val="5"/>
        <w:keepNext w:val="0"/>
        <w:keepLines w:val="0"/>
        <w:pageBreakBefore w:val="0"/>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3、强化监督检查，督促项目经办方加快项目执行进度，及时办理结算、验收手续，进一步加快资金的支付进度。</w:t>
      </w:r>
    </w:p>
    <w:p w14:paraId="12197DA9">
      <w:pPr>
        <w:keepNext w:val="0"/>
        <w:keepLines w:val="0"/>
        <w:pageBreakBefore w:val="0"/>
        <w:kinsoku/>
        <w:wordWrap/>
        <w:overflowPunct/>
        <w:topLinePunct w:val="0"/>
        <w:autoSpaceDE/>
        <w:autoSpaceDN/>
        <w:bidi w:val="0"/>
        <w:adjustRightInd/>
        <w:spacing w:line="240" w:lineRule="auto"/>
        <w:ind w:firstLine="640"/>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i w:val="0"/>
          <w:iCs w:val="0"/>
          <w:caps w:val="0"/>
          <w:color w:val="333333"/>
          <w:spacing w:val="0"/>
          <w:sz w:val="32"/>
          <w:szCs w:val="32"/>
          <w:shd w:val="clear" w:color="auto" w:fill="FFFFFF"/>
        </w:rPr>
        <w:t>请财政根据</w:t>
      </w:r>
      <w:r>
        <w:rPr>
          <w:rFonts w:hint="eastAsia" w:ascii="仿宋_GB2312" w:hAnsi="仿宋_GB2312" w:eastAsia="仿宋_GB2312" w:cs="仿宋_GB2312"/>
          <w:i w:val="0"/>
          <w:iCs w:val="0"/>
          <w:caps w:val="0"/>
          <w:color w:val="333333"/>
          <w:spacing w:val="0"/>
          <w:sz w:val="32"/>
          <w:szCs w:val="32"/>
          <w:shd w:val="clear" w:color="auto" w:fill="FFFFFF"/>
          <w:lang w:eastAsia="zh-CN"/>
        </w:rPr>
        <w:t>交通工作的需求</w:t>
      </w:r>
      <w:r>
        <w:rPr>
          <w:rFonts w:hint="eastAsia" w:ascii="仿宋_GB2312" w:hAnsi="仿宋_GB2312" w:eastAsia="仿宋_GB2312" w:cs="仿宋_GB2312"/>
          <w:i w:val="0"/>
          <w:iCs w:val="0"/>
          <w:caps w:val="0"/>
          <w:color w:val="333333"/>
          <w:spacing w:val="0"/>
          <w:sz w:val="32"/>
          <w:szCs w:val="32"/>
          <w:shd w:val="clear" w:color="auto" w:fill="FFFFFF"/>
        </w:rPr>
        <w:t>和实际情况，</w:t>
      </w:r>
      <w:r>
        <w:rPr>
          <w:rFonts w:hint="eastAsia" w:ascii="仿宋_GB2312" w:hAnsi="仿宋_GB2312" w:eastAsia="仿宋_GB2312" w:cs="仿宋_GB2312"/>
          <w:i w:val="0"/>
          <w:iCs w:val="0"/>
          <w:caps w:val="0"/>
          <w:color w:val="333333"/>
          <w:spacing w:val="0"/>
          <w:sz w:val="32"/>
          <w:szCs w:val="32"/>
          <w:shd w:val="clear" w:color="auto" w:fill="FFFFFF"/>
          <w:lang w:eastAsia="zh-CN"/>
        </w:rPr>
        <w:t>加强资金保障</w:t>
      </w:r>
      <w:r>
        <w:rPr>
          <w:rFonts w:hint="eastAsia" w:ascii="仿宋_GB2312" w:hAnsi="仿宋_GB2312" w:eastAsia="仿宋_GB2312" w:cs="仿宋_GB2312"/>
          <w:i w:val="0"/>
          <w:iCs w:val="0"/>
          <w:caps w:val="0"/>
          <w:color w:val="333333"/>
          <w:spacing w:val="0"/>
          <w:sz w:val="32"/>
          <w:szCs w:val="32"/>
          <w:shd w:val="clear" w:color="auto" w:fill="FFFFFF"/>
        </w:rPr>
        <w:t>，</w:t>
      </w:r>
      <w:r>
        <w:rPr>
          <w:rFonts w:hint="eastAsia" w:ascii="仿宋_GB2312" w:hAnsi="仿宋_GB2312" w:eastAsia="仿宋_GB2312" w:cs="仿宋_GB2312"/>
          <w:i w:val="0"/>
          <w:iCs w:val="0"/>
          <w:caps w:val="0"/>
          <w:color w:val="333333"/>
          <w:spacing w:val="0"/>
          <w:sz w:val="32"/>
          <w:szCs w:val="32"/>
          <w:shd w:val="clear" w:color="auto" w:fill="FFFFFF"/>
          <w:lang w:eastAsia="zh-CN"/>
        </w:rPr>
        <w:t>确保我县交通事业的快速发展</w:t>
      </w:r>
      <w:r>
        <w:rPr>
          <w:rFonts w:hint="eastAsia" w:ascii="仿宋_GB2312" w:hAnsi="仿宋_GB2312" w:eastAsia="仿宋_GB2312" w:cs="仿宋_GB2312"/>
          <w:i w:val="0"/>
          <w:iCs w:val="0"/>
          <w:caps w:val="0"/>
          <w:color w:val="333333"/>
          <w:spacing w:val="0"/>
          <w:sz w:val="32"/>
          <w:szCs w:val="32"/>
          <w:shd w:val="clear" w:color="auto" w:fill="FFFFFF"/>
        </w:rPr>
        <w:t>。</w:t>
      </w:r>
    </w:p>
    <w:p w14:paraId="1D8E193E">
      <w:pPr>
        <w:keepNext w:val="0"/>
        <w:keepLines w:val="0"/>
        <w:pageBreakBefore w:val="0"/>
        <w:widowControl/>
        <w:numPr>
          <w:ilvl w:val="0"/>
          <w:numId w:val="2"/>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绩效自评结果拟应用和公开情况</w:t>
      </w:r>
    </w:p>
    <w:p w14:paraId="3E0F4A5D">
      <w:pPr>
        <w:pStyle w:val="2"/>
        <w:numPr>
          <w:ilvl w:val="0"/>
          <w:numId w:val="0"/>
        </w:numPr>
        <w:ind w:leftChars="200"/>
        <w:rPr>
          <w:rFonts w:hint="eastAsia" w:eastAsia="宋体"/>
          <w:lang w:eastAsia="zh-CN"/>
        </w:rPr>
      </w:pPr>
      <w:r>
        <w:rPr>
          <w:rFonts w:hint="eastAsia" w:eastAsia="仿宋_GB2312" w:cs="Times New Roman"/>
          <w:kern w:val="0"/>
          <w:sz w:val="32"/>
          <w:szCs w:val="32"/>
          <w:lang w:val="en-US" w:eastAsia="zh-CN" w:bidi="ar-SA"/>
        </w:rPr>
        <w:t>暂未公开。</w:t>
      </w:r>
    </w:p>
    <w:p w14:paraId="5AFD5637">
      <w:pPr>
        <w:numPr>
          <w:ilvl w:val="0"/>
          <w:numId w:val="2"/>
        </w:numPr>
        <w:ind w:left="0" w:leftChars="0"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其他需要说明的情况</w:t>
      </w:r>
    </w:p>
    <w:p w14:paraId="618679C7">
      <w:pPr>
        <w:numPr>
          <w:ilvl w:val="0"/>
          <w:numId w:val="0"/>
        </w:numPr>
        <w:ind w:leftChars="200"/>
      </w:pPr>
      <w:r>
        <w:rPr>
          <w:rFonts w:hint="eastAsia" w:eastAsia="仿宋_GB2312" w:cs="Times New Roman"/>
          <w:kern w:val="0"/>
          <w:sz w:val="32"/>
          <w:szCs w:val="32"/>
          <w:lang w:val="en-US" w:eastAsia="zh-CN" w:bidi="ar-SA"/>
        </w:rPr>
        <w:t>无。</w:t>
      </w:r>
      <w:r>
        <w:rPr>
          <w:rFonts w:eastAsia="Times New Roman"/>
          <w:kern w:val="0"/>
          <w:sz w:val="2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4109C"/>
    <w:multiLevelType w:val="singleLevel"/>
    <w:tmpl w:val="0DF4109C"/>
    <w:lvl w:ilvl="0" w:tentative="0">
      <w:start w:val="8"/>
      <w:numFmt w:val="chineseCounting"/>
      <w:suff w:val="nothing"/>
      <w:lvlText w:val="%1、"/>
      <w:lvlJc w:val="left"/>
      <w:rPr>
        <w:rFonts w:hint="eastAsia"/>
      </w:rPr>
    </w:lvl>
  </w:abstractNum>
  <w:abstractNum w:abstractNumId="1">
    <w:nsid w:val="7F4048D7"/>
    <w:multiLevelType w:val="singleLevel"/>
    <w:tmpl w:val="7F4048D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YmQ5Y2MzMGVhMDY4NDkwNTBhM2FiMTI1OTFmZTEifQ=="/>
  </w:docVars>
  <w:rsids>
    <w:rsidRoot w:val="6D445020"/>
    <w:rsid w:val="257D691C"/>
    <w:rsid w:val="33357B76"/>
    <w:rsid w:val="5E0F7894"/>
    <w:rsid w:val="6B6863FE"/>
    <w:rsid w:val="6C3C3799"/>
    <w:rsid w:val="6D44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Times New Roman" w:hAnsi="Times New Roman"/>
    </w:rPr>
  </w:style>
  <w:style w:type="paragraph" w:styleId="3">
    <w:name w:val="Body Text Indent"/>
    <w:basedOn w:val="1"/>
    <w:qFormat/>
    <w:uiPriority w:val="99"/>
    <w:pPr>
      <w:ind w:firstLine="640" w:firstLineChars="200"/>
    </w:pPr>
    <w:rPr>
      <w:sz w:val="32"/>
      <w:szCs w:val="32"/>
    </w:rPr>
  </w:style>
  <w:style w:type="paragraph" w:styleId="4">
    <w:name w:val="toc 5"/>
    <w:basedOn w:val="1"/>
    <w:next w:val="1"/>
    <w:unhideWhenUsed/>
    <w:qFormat/>
    <w:uiPriority w:val="39"/>
    <w:pPr>
      <w:ind w:left="1680" w:leftChars="800"/>
    </w:pPr>
    <w:rPr>
      <w:rFonts w:ascii="等线" w:hAnsi="等线" w:eastAsia="等线" w:cs="Times New Roman"/>
      <w:szCs w:val="22"/>
    </w:rPr>
  </w:style>
  <w:style w:type="paragraph" w:styleId="5">
    <w:name w:val="toc 1"/>
    <w:basedOn w:val="1"/>
    <w:next w:val="1"/>
    <w:unhideWhenUsed/>
    <w:qFormat/>
    <w:uiPriority w:val="99"/>
    <w:pPr>
      <w:spacing w:beforeLines="0" w:afterLines="0"/>
    </w:pPr>
    <w:rPr>
      <w:rFonts w:hint="default"/>
      <w:sz w:val="21"/>
      <w:szCs w:val="24"/>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3"/>
    <w:qFormat/>
    <w:uiPriority w:val="99"/>
    <w:pPr>
      <w:ind w:firstLine="420"/>
    </w:p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5252</Words>
  <Characters>5587</Characters>
  <Lines>0</Lines>
  <Paragraphs>0</Paragraphs>
  <TotalTime>0</TotalTime>
  <ScaleCrop>false</ScaleCrop>
  <LinksUpToDate>false</LinksUpToDate>
  <CharactersWithSpaces>5596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2024-06-17T10:01:00Z</dcterms:created>
  <dc:creator>啊斌</dc:creator>
  <cp:lastModifiedBy>李志坚</cp:lastModifiedBy>
  <dcterms:modified xsi:type="dcterms:W3CDTF">2024-09-11T07:31:28Z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208141B62DC04D6AAA49018873A3F302_13</vt:lpwstr>
  </property>
</Properties>
</file>