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727F2">
      <w:pPr>
        <w:spacing w:line="246" w:lineRule="auto"/>
        <w:rPr>
          <w:rFonts w:ascii="Arial"/>
          <w:sz w:val="21"/>
        </w:rPr>
      </w:pPr>
    </w:p>
    <w:p w14:paraId="19BB9057">
      <w:pPr>
        <w:spacing w:before="101" w:line="224" w:lineRule="auto"/>
        <w:rPr>
          <w:rFonts w:ascii="黑体" w:hAnsi="黑体" w:eastAsia="黑体" w:cs="黑体"/>
          <w:sz w:val="31"/>
          <w:szCs w:val="31"/>
        </w:rPr>
      </w:pPr>
    </w:p>
    <w:p w14:paraId="093129B1">
      <w:pPr>
        <w:spacing w:line="248" w:lineRule="auto"/>
        <w:rPr>
          <w:rFonts w:ascii="Arial"/>
          <w:sz w:val="21"/>
        </w:rPr>
      </w:pPr>
    </w:p>
    <w:p w14:paraId="2B008094">
      <w:pPr>
        <w:spacing w:line="248" w:lineRule="auto"/>
        <w:rPr>
          <w:rFonts w:ascii="Arial"/>
          <w:sz w:val="21"/>
        </w:rPr>
      </w:pPr>
    </w:p>
    <w:p w14:paraId="6BCFE1AA">
      <w:pPr>
        <w:spacing w:line="248" w:lineRule="auto"/>
        <w:rPr>
          <w:rFonts w:ascii="Arial"/>
          <w:sz w:val="21"/>
        </w:rPr>
      </w:pPr>
    </w:p>
    <w:p w14:paraId="2AC518DF">
      <w:pPr>
        <w:spacing w:line="248" w:lineRule="auto"/>
        <w:rPr>
          <w:rFonts w:ascii="Arial"/>
          <w:sz w:val="21"/>
        </w:rPr>
      </w:pPr>
    </w:p>
    <w:p w14:paraId="2ECB8AA7">
      <w:pPr>
        <w:spacing w:line="248" w:lineRule="auto"/>
        <w:rPr>
          <w:rFonts w:ascii="Arial"/>
          <w:sz w:val="21"/>
        </w:rPr>
      </w:pPr>
    </w:p>
    <w:p w14:paraId="31B800AB">
      <w:pPr>
        <w:spacing w:line="248" w:lineRule="auto"/>
        <w:rPr>
          <w:rFonts w:ascii="Arial"/>
          <w:sz w:val="21"/>
        </w:rPr>
      </w:pPr>
    </w:p>
    <w:p w14:paraId="2D3CA073">
      <w:pPr>
        <w:spacing w:line="248" w:lineRule="auto"/>
        <w:rPr>
          <w:rFonts w:ascii="Arial"/>
          <w:sz w:val="21"/>
        </w:rPr>
      </w:pPr>
    </w:p>
    <w:p w14:paraId="74BA5CB1">
      <w:pPr>
        <w:spacing w:line="249" w:lineRule="auto"/>
        <w:rPr>
          <w:rFonts w:ascii="Arial"/>
          <w:sz w:val="21"/>
        </w:rPr>
      </w:pPr>
    </w:p>
    <w:p w14:paraId="3AC47915">
      <w:pPr>
        <w:spacing w:before="162" w:line="698" w:lineRule="exact"/>
        <w:ind w:left="255"/>
        <w:jc w:val="center"/>
        <w:rPr>
          <w:rFonts w:hint="eastAsia" w:ascii="黑体" w:hAnsi="黑体" w:eastAsia="黑体" w:cs="黑体"/>
          <w:sz w:val="50"/>
          <w:szCs w:val="50"/>
        </w:rPr>
      </w:pPr>
      <w:r>
        <w:rPr>
          <w:rFonts w:hint="eastAsia" w:ascii="黑体" w:hAnsi="黑体" w:eastAsia="黑体" w:cs="黑体"/>
          <w:spacing w:val="11"/>
          <w:sz w:val="50"/>
          <w:szCs w:val="50"/>
        </w:rPr>
        <w:t>2023年度</w:t>
      </w:r>
      <w:r>
        <w:rPr>
          <w:rFonts w:hint="eastAsia" w:ascii="黑体" w:hAnsi="黑体" w:eastAsia="黑体" w:cs="黑体"/>
          <w:spacing w:val="11"/>
          <w:sz w:val="50"/>
          <w:szCs w:val="50"/>
          <w:lang w:val="en-US" w:eastAsia="zh-CN"/>
        </w:rPr>
        <w:t>安化县农业农村局</w:t>
      </w:r>
      <w:r>
        <w:rPr>
          <w:rFonts w:hint="eastAsia" w:ascii="黑体" w:hAnsi="黑体" w:eastAsia="黑体" w:cs="黑体"/>
          <w:spacing w:val="11"/>
          <w:sz w:val="50"/>
          <w:szCs w:val="50"/>
        </w:rPr>
        <w:t>整体支出绩效自评报告</w:t>
      </w:r>
    </w:p>
    <w:p w14:paraId="67D66A17">
      <w:pPr>
        <w:spacing w:line="244" w:lineRule="auto"/>
        <w:rPr>
          <w:rFonts w:ascii="Arial"/>
          <w:sz w:val="21"/>
        </w:rPr>
      </w:pPr>
    </w:p>
    <w:p w14:paraId="43C7CD54">
      <w:pPr>
        <w:spacing w:line="244" w:lineRule="auto"/>
        <w:rPr>
          <w:rFonts w:ascii="Arial"/>
          <w:sz w:val="21"/>
        </w:rPr>
      </w:pPr>
    </w:p>
    <w:p w14:paraId="6DE87D41">
      <w:pPr>
        <w:spacing w:line="244" w:lineRule="auto"/>
        <w:rPr>
          <w:rFonts w:ascii="Arial"/>
          <w:sz w:val="21"/>
        </w:rPr>
      </w:pPr>
    </w:p>
    <w:p w14:paraId="7411C882">
      <w:pPr>
        <w:spacing w:line="244" w:lineRule="auto"/>
        <w:rPr>
          <w:rFonts w:ascii="Arial"/>
          <w:sz w:val="21"/>
        </w:rPr>
      </w:pPr>
    </w:p>
    <w:p w14:paraId="4708AEF1">
      <w:pPr>
        <w:spacing w:line="244" w:lineRule="auto"/>
        <w:rPr>
          <w:rFonts w:ascii="Arial"/>
          <w:sz w:val="21"/>
        </w:rPr>
      </w:pPr>
    </w:p>
    <w:p w14:paraId="0D48FDAC">
      <w:pPr>
        <w:spacing w:line="244" w:lineRule="auto"/>
        <w:rPr>
          <w:rFonts w:ascii="Arial"/>
          <w:sz w:val="21"/>
        </w:rPr>
      </w:pPr>
    </w:p>
    <w:p w14:paraId="0C8BEEB2">
      <w:pPr>
        <w:spacing w:line="244" w:lineRule="auto"/>
        <w:rPr>
          <w:rFonts w:ascii="Arial"/>
          <w:sz w:val="21"/>
        </w:rPr>
      </w:pPr>
    </w:p>
    <w:p w14:paraId="4AFD3C27">
      <w:pPr>
        <w:spacing w:line="244" w:lineRule="auto"/>
        <w:rPr>
          <w:rFonts w:ascii="Arial"/>
          <w:sz w:val="21"/>
        </w:rPr>
      </w:pPr>
    </w:p>
    <w:p w14:paraId="4B163FB5">
      <w:pPr>
        <w:spacing w:line="244" w:lineRule="auto"/>
        <w:rPr>
          <w:rFonts w:ascii="Arial"/>
          <w:sz w:val="21"/>
        </w:rPr>
      </w:pPr>
    </w:p>
    <w:p w14:paraId="0E447B85">
      <w:pPr>
        <w:spacing w:line="244" w:lineRule="auto"/>
        <w:rPr>
          <w:rFonts w:ascii="Arial"/>
          <w:sz w:val="21"/>
        </w:rPr>
      </w:pPr>
    </w:p>
    <w:p w14:paraId="14110388">
      <w:pPr>
        <w:spacing w:line="244" w:lineRule="auto"/>
        <w:rPr>
          <w:rFonts w:ascii="Arial"/>
          <w:sz w:val="21"/>
        </w:rPr>
      </w:pPr>
    </w:p>
    <w:p w14:paraId="1EAA7F81">
      <w:pPr>
        <w:spacing w:line="244" w:lineRule="auto"/>
        <w:rPr>
          <w:rFonts w:ascii="Arial"/>
          <w:sz w:val="21"/>
        </w:rPr>
      </w:pPr>
    </w:p>
    <w:p w14:paraId="1DC01740">
      <w:pPr>
        <w:spacing w:line="244" w:lineRule="auto"/>
        <w:rPr>
          <w:rFonts w:ascii="Arial"/>
          <w:sz w:val="21"/>
        </w:rPr>
      </w:pPr>
    </w:p>
    <w:p w14:paraId="4A7DF588">
      <w:pPr>
        <w:spacing w:line="244" w:lineRule="auto"/>
        <w:rPr>
          <w:rFonts w:ascii="Arial"/>
          <w:sz w:val="21"/>
        </w:rPr>
      </w:pPr>
    </w:p>
    <w:p w14:paraId="100BF9F0">
      <w:pPr>
        <w:spacing w:line="244" w:lineRule="auto"/>
        <w:rPr>
          <w:rFonts w:ascii="Arial"/>
          <w:sz w:val="21"/>
        </w:rPr>
      </w:pPr>
    </w:p>
    <w:p w14:paraId="7505F71D">
      <w:pPr>
        <w:spacing w:line="244" w:lineRule="auto"/>
        <w:rPr>
          <w:rFonts w:ascii="Arial"/>
          <w:sz w:val="21"/>
        </w:rPr>
      </w:pPr>
    </w:p>
    <w:p w14:paraId="7533B60E">
      <w:pPr>
        <w:spacing w:line="244" w:lineRule="auto"/>
        <w:rPr>
          <w:rFonts w:ascii="Arial"/>
          <w:sz w:val="21"/>
        </w:rPr>
      </w:pPr>
    </w:p>
    <w:p w14:paraId="1A4BF703">
      <w:pPr>
        <w:spacing w:line="244" w:lineRule="auto"/>
        <w:rPr>
          <w:rFonts w:ascii="Arial"/>
          <w:sz w:val="21"/>
        </w:rPr>
      </w:pPr>
    </w:p>
    <w:p w14:paraId="0750D31A">
      <w:pPr>
        <w:spacing w:line="245" w:lineRule="auto"/>
        <w:rPr>
          <w:rFonts w:ascii="Arial"/>
          <w:sz w:val="21"/>
        </w:rPr>
      </w:pPr>
    </w:p>
    <w:p w14:paraId="30B9167B">
      <w:pPr>
        <w:spacing w:line="245" w:lineRule="auto"/>
        <w:rPr>
          <w:rFonts w:ascii="Arial"/>
          <w:sz w:val="21"/>
        </w:rPr>
      </w:pPr>
    </w:p>
    <w:p w14:paraId="144FBE58">
      <w:pPr>
        <w:spacing w:line="245" w:lineRule="auto"/>
        <w:rPr>
          <w:rFonts w:ascii="Arial"/>
          <w:sz w:val="21"/>
        </w:rPr>
      </w:pPr>
    </w:p>
    <w:p w14:paraId="7C6CE7DA">
      <w:pPr>
        <w:spacing w:line="245" w:lineRule="auto"/>
        <w:rPr>
          <w:rFonts w:ascii="Arial"/>
          <w:sz w:val="21"/>
        </w:rPr>
      </w:pPr>
    </w:p>
    <w:p w14:paraId="18AA212F">
      <w:pPr>
        <w:spacing w:before="117" w:line="222" w:lineRule="auto"/>
        <w:ind w:left="440"/>
        <w:rPr>
          <w:rFonts w:ascii="黑体" w:hAnsi="黑体" w:eastAsia="黑体" w:cs="黑体"/>
          <w:sz w:val="36"/>
          <w:szCs w:val="36"/>
        </w:rPr>
      </w:pPr>
      <w:r>
        <w:rPr>
          <w:rFonts w:ascii="黑体" w:hAnsi="黑体" w:eastAsia="黑体" w:cs="黑体"/>
          <w:b/>
          <w:bCs/>
          <w:spacing w:val="34"/>
          <w:sz w:val="36"/>
          <w:szCs w:val="36"/>
        </w:rPr>
        <w:t>申报单位(盖章):</w:t>
      </w:r>
      <w:r>
        <w:rPr>
          <w:rFonts w:ascii="黑体" w:hAnsi="黑体" w:eastAsia="黑体" w:cs="黑体"/>
          <w:spacing w:val="73"/>
          <w:sz w:val="36"/>
          <w:szCs w:val="36"/>
        </w:rPr>
        <w:t xml:space="preserve"> </w:t>
      </w:r>
      <w:r>
        <w:rPr>
          <w:rFonts w:ascii="黑体" w:hAnsi="黑体" w:eastAsia="黑体" w:cs="黑体"/>
          <w:sz w:val="36"/>
          <w:szCs w:val="36"/>
          <w:u w:val="single" w:color="auto"/>
        </w:rPr>
        <w:t xml:space="preserve">                     </w:t>
      </w:r>
    </w:p>
    <w:p w14:paraId="096FD2BD">
      <w:pPr>
        <w:spacing w:line="243" w:lineRule="auto"/>
        <w:rPr>
          <w:rFonts w:ascii="Arial"/>
          <w:sz w:val="21"/>
        </w:rPr>
      </w:pPr>
    </w:p>
    <w:p w14:paraId="4D31F07B">
      <w:pPr>
        <w:spacing w:line="244" w:lineRule="auto"/>
        <w:rPr>
          <w:rFonts w:ascii="Arial"/>
          <w:sz w:val="21"/>
        </w:rPr>
      </w:pPr>
    </w:p>
    <w:p w14:paraId="14E144F1">
      <w:pPr>
        <w:spacing w:line="244" w:lineRule="auto"/>
        <w:rPr>
          <w:rFonts w:ascii="Arial"/>
          <w:sz w:val="21"/>
        </w:rPr>
      </w:pPr>
    </w:p>
    <w:p w14:paraId="754E43C6">
      <w:pPr>
        <w:spacing w:line="244" w:lineRule="auto"/>
        <w:rPr>
          <w:rFonts w:ascii="Arial"/>
          <w:sz w:val="21"/>
        </w:rPr>
      </w:pPr>
    </w:p>
    <w:p w14:paraId="0F70CCBD">
      <w:pPr>
        <w:spacing w:line="244" w:lineRule="auto"/>
        <w:rPr>
          <w:rFonts w:ascii="Arial"/>
          <w:sz w:val="21"/>
        </w:rPr>
      </w:pPr>
    </w:p>
    <w:p w14:paraId="3F3CF823">
      <w:pPr>
        <w:spacing w:line="244" w:lineRule="auto"/>
        <w:rPr>
          <w:rFonts w:ascii="Arial"/>
          <w:sz w:val="21"/>
        </w:rPr>
      </w:pPr>
    </w:p>
    <w:p w14:paraId="6222DE97">
      <w:pPr>
        <w:spacing w:before="101" w:line="624" w:lineRule="exact"/>
        <w:rPr>
          <w:rFonts w:hint="eastAsia" w:ascii="黑体" w:hAnsi="黑体" w:eastAsia="黑体" w:cs="黑体"/>
          <w:b/>
          <w:bCs/>
          <w:spacing w:val="-15"/>
          <w:position w:val="23"/>
          <w:sz w:val="31"/>
          <w:szCs w:val="31"/>
          <w:lang w:val="en-US" w:eastAsia="zh-CN"/>
        </w:rPr>
      </w:pPr>
    </w:p>
    <w:p w14:paraId="268A1733">
      <w:pPr>
        <w:spacing w:before="101" w:line="624" w:lineRule="exact"/>
        <w:ind w:firstLine="2531" w:firstLineChars="900"/>
        <w:rPr>
          <w:rFonts w:ascii="黑体" w:hAnsi="黑体" w:eastAsia="黑体" w:cs="黑体"/>
          <w:sz w:val="31"/>
          <w:szCs w:val="31"/>
        </w:rPr>
      </w:pPr>
      <w:r>
        <w:rPr>
          <w:rFonts w:hint="eastAsia" w:ascii="黑体" w:hAnsi="黑体" w:eastAsia="黑体" w:cs="黑体"/>
          <w:b/>
          <w:bCs/>
          <w:spacing w:val="-15"/>
          <w:position w:val="23"/>
          <w:sz w:val="31"/>
          <w:szCs w:val="31"/>
          <w:lang w:val="en-US" w:eastAsia="zh-CN"/>
        </w:rPr>
        <w:t xml:space="preserve">2024   </w:t>
      </w:r>
      <w:r>
        <w:rPr>
          <w:rFonts w:ascii="黑体" w:hAnsi="黑体" w:eastAsia="黑体" w:cs="黑体"/>
          <w:b/>
          <w:bCs/>
          <w:spacing w:val="-15"/>
          <w:position w:val="23"/>
          <w:sz w:val="31"/>
          <w:szCs w:val="31"/>
        </w:rPr>
        <w:t>年</w:t>
      </w:r>
      <w:r>
        <w:rPr>
          <w:rFonts w:ascii="黑体" w:hAnsi="黑体" w:eastAsia="黑体" w:cs="黑体"/>
          <w:spacing w:val="43"/>
          <w:position w:val="23"/>
          <w:sz w:val="31"/>
          <w:szCs w:val="31"/>
        </w:rPr>
        <w:t xml:space="preserve"> </w:t>
      </w:r>
      <w:r>
        <w:rPr>
          <w:rFonts w:hint="eastAsia" w:ascii="黑体" w:hAnsi="黑体" w:eastAsia="黑体" w:cs="黑体"/>
          <w:spacing w:val="43"/>
          <w:position w:val="23"/>
          <w:sz w:val="31"/>
          <w:szCs w:val="31"/>
          <w:lang w:val="en-US" w:eastAsia="zh-CN"/>
        </w:rPr>
        <w:t xml:space="preserve">6 </w:t>
      </w:r>
      <w:r>
        <w:rPr>
          <w:rFonts w:ascii="黑体" w:hAnsi="黑体" w:eastAsia="黑体" w:cs="黑体"/>
          <w:b/>
          <w:bCs/>
          <w:spacing w:val="-15"/>
          <w:position w:val="23"/>
          <w:sz w:val="31"/>
          <w:szCs w:val="31"/>
        </w:rPr>
        <w:t>月</w:t>
      </w:r>
      <w:r>
        <w:rPr>
          <w:rFonts w:ascii="黑体" w:hAnsi="黑体" w:eastAsia="黑体" w:cs="黑体"/>
          <w:spacing w:val="7"/>
          <w:position w:val="23"/>
          <w:sz w:val="31"/>
          <w:szCs w:val="31"/>
        </w:rPr>
        <w:t xml:space="preserve"> </w:t>
      </w:r>
      <w:r>
        <w:rPr>
          <w:rFonts w:hint="eastAsia" w:ascii="黑体" w:hAnsi="黑体" w:eastAsia="黑体" w:cs="黑体"/>
          <w:spacing w:val="7"/>
          <w:position w:val="23"/>
          <w:sz w:val="31"/>
          <w:szCs w:val="31"/>
          <w:lang w:val="en-US" w:eastAsia="zh-CN"/>
        </w:rPr>
        <w:t>18</w:t>
      </w:r>
      <w:r>
        <w:rPr>
          <w:rFonts w:ascii="黑体" w:hAnsi="黑体" w:eastAsia="黑体" w:cs="黑体"/>
          <w:spacing w:val="7"/>
          <w:position w:val="23"/>
          <w:sz w:val="31"/>
          <w:szCs w:val="31"/>
        </w:rPr>
        <w:t xml:space="preserve"> </w:t>
      </w:r>
      <w:r>
        <w:rPr>
          <w:rFonts w:ascii="黑体" w:hAnsi="黑体" w:eastAsia="黑体" w:cs="黑体"/>
          <w:b/>
          <w:bCs/>
          <w:spacing w:val="-15"/>
          <w:position w:val="23"/>
          <w:sz w:val="31"/>
          <w:szCs w:val="31"/>
        </w:rPr>
        <w:t>日</w:t>
      </w:r>
    </w:p>
    <w:p w14:paraId="11DE3360">
      <w:pPr>
        <w:spacing w:line="230" w:lineRule="auto"/>
        <w:ind w:left="3559"/>
        <w:rPr>
          <w:rFonts w:ascii="楷体" w:hAnsi="楷体" w:eastAsia="楷体" w:cs="楷体"/>
          <w:sz w:val="31"/>
          <w:szCs w:val="31"/>
        </w:rPr>
        <w:sectPr>
          <w:footerReference r:id="rId5" w:type="default"/>
          <w:pgSz w:w="12040" w:h="16920"/>
          <w:pgMar w:top="1438" w:right="1412" w:bottom="1608" w:left="1694" w:header="0" w:footer="1300" w:gutter="0"/>
          <w:cols w:space="720" w:num="1"/>
        </w:sectPr>
      </w:pPr>
    </w:p>
    <w:p w14:paraId="26D48567">
      <w:pPr>
        <w:spacing w:before="140" w:line="222" w:lineRule="auto"/>
        <w:ind w:left="919"/>
        <w:jc w:val="center"/>
        <w:rPr>
          <w:rFonts w:ascii="黑体" w:hAnsi="黑体" w:eastAsia="黑体" w:cs="黑体"/>
          <w:spacing w:val="45"/>
          <w:sz w:val="43"/>
          <w:szCs w:val="43"/>
        </w:rPr>
      </w:pPr>
    </w:p>
    <w:p w14:paraId="1DAC11BB">
      <w:pPr>
        <w:spacing w:before="140" w:line="222" w:lineRule="auto"/>
        <w:jc w:val="center"/>
        <w:rPr>
          <w:rFonts w:ascii="黑体" w:hAnsi="黑体" w:eastAsia="黑体" w:cs="黑体"/>
          <w:sz w:val="43"/>
          <w:szCs w:val="43"/>
        </w:rPr>
      </w:pPr>
      <w:r>
        <w:rPr>
          <w:rFonts w:ascii="黑体" w:hAnsi="黑体" w:eastAsia="黑体" w:cs="黑体"/>
          <w:spacing w:val="45"/>
          <w:sz w:val="43"/>
          <w:szCs w:val="43"/>
        </w:rPr>
        <w:t>2023年度</w:t>
      </w:r>
      <w:r>
        <w:rPr>
          <w:rFonts w:hint="eastAsia" w:ascii="黑体" w:hAnsi="黑体" w:eastAsia="黑体" w:cs="黑体"/>
          <w:spacing w:val="45"/>
          <w:sz w:val="43"/>
          <w:szCs w:val="43"/>
          <w:lang w:val="en-US" w:eastAsia="zh-CN"/>
        </w:rPr>
        <w:t>安化县农业农村局</w:t>
      </w:r>
      <w:r>
        <w:rPr>
          <w:rFonts w:ascii="黑体" w:hAnsi="黑体" w:eastAsia="黑体" w:cs="黑体"/>
          <w:spacing w:val="45"/>
          <w:sz w:val="43"/>
          <w:szCs w:val="43"/>
        </w:rPr>
        <w:t>整体支出</w:t>
      </w:r>
      <w:r>
        <w:rPr>
          <w:rFonts w:ascii="黑体" w:hAnsi="黑体" w:eastAsia="黑体" w:cs="黑体"/>
          <w:spacing w:val="8"/>
          <w:sz w:val="43"/>
          <w:szCs w:val="43"/>
        </w:rPr>
        <w:t>绩效自评报告</w:t>
      </w:r>
    </w:p>
    <w:p w14:paraId="7159D648">
      <w:pPr>
        <w:pStyle w:val="3"/>
        <w:spacing w:before="172" w:line="222" w:lineRule="auto"/>
        <w:ind w:left="3629"/>
        <w:rPr>
          <w:sz w:val="31"/>
          <w:szCs w:val="31"/>
        </w:rPr>
      </w:pPr>
    </w:p>
    <w:p w14:paraId="18E1552F">
      <w:pPr>
        <w:spacing w:before="214" w:line="222" w:lineRule="auto"/>
        <w:ind w:left="644"/>
        <w:outlineLvl w:val="1"/>
        <w:rPr>
          <w:rFonts w:ascii="黑体" w:hAnsi="黑体" w:eastAsia="黑体" w:cs="黑体"/>
          <w:sz w:val="31"/>
          <w:szCs w:val="31"/>
        </w:rPr>
      </w:pPr>
      <w:r>
        <w:rPr>
          <w:rFonts w:ascii="黑体" w:hAnsi="黑体" w:eastAsia="黑体" w:cs="黑体"/>
          <w:b/>
          <w:bCs/>
          <w:spacing w:val="-8"/>
          <w:sz w:val="31"/>
          <w:szCs w:val="31"/>
        </w:rPr>
        <w:t>一、单位基本情况</w:t>
      </w:r>
    </w:p>
    <w:p w14:paraId="1AE0FBAF">
      <w:pPr>
        <w:spacing w:before="183" w:line="222" w:lineRule="auto"/>
        <w:ind w:left="639"/>
        <w:rPr>
          <w:rFonts w:hint="eastAsia" w:ascii="楷体_GB2312" w:hAnsi="仿宋" w:eastAsia="楷体_GB2312"/>
          <w:b/>
          <w:sz w:val="32"/>
          <w:szCs w:val="32"/>
        </w:rPr>
      </w:pPr>
      <w:r>
        <w:rPr>
          <w:rFonts w:ascii="楷体" w:hAnsi="楷体" w:eastAsia="楷体" w:cs="楷体"/>
          <w:spacing w:val="8"/>
          <w:sz w:val="31"/>
          <w:szCs w:val="31"/>
        </w:rPr>
        <w:t>(一)</w:t>
      </w:r>
      <w:r>
        <w:rPr>
          <w:rFonts w:hint="eastAsia" w:ascii="楷体" w:hAnsi="楷体" w:eastAsia="楷体" w:cs="楷体"/>
          <w:spacing w:val="8"/>
          <w:sz w:val="31"/>
          <w:szCs w:val="31"/>
          <w:lang w:val="en-US" w:eastAsia="zh-CN"/>
        </w:rPr>
        <w:t>基本</w:t>
      </w:r>
      <w:r>
        <w:rPr>
          <w:rFonts w:ascii="楷体" w:hAnsi="楷体" w:eastAsia="楷体" w:cs="楷体"/>
          <w:spacing w:val="8"/>
          <w:sz w:val="31"/>
          <w:szCs w:val="31"/>
        </w:rPr>
        <w:t>工作</w:t>
      </w:r>
      <w:r>
        <w:rPr>
          <w:rFonts w:hint="eastAsia" w:ascii="楷体" w:hAnsi="楷体" w:eastAsia="楷体" w:cs="楷体"/>
          <w:spacing w:val="8"/>
          <w:sz w:val="31"/>
          <w:szCs w:val="31"/>
          <w:lang w:val="en-US" w:eastAsia="zh-CN"/>
        </w:rPr>
        <w:t>情况</w:t>
      </w:r>
    </w:p>
    <w:p w14:paraId="5847FB70">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3BB43EA5">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（1）统筹研究和组织实施“三农”工作的发展中长期规划、重大政策。负责农业综合执法，参与涉农的财税、价格收储、金融保险、进出口等政策制定。</w:t>
      </w:r>
    </w:p>
    <w:p w14:paraId="355A9820">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（2）统筹推动发展农村社会事业、农村公共服务、农村文化、农村基础设施和乡村治理。牵头组织改善农村人居环境指导农村精神文明和优秀农耕文化建设。指导农业行业安全生产工作。</w:t>
      </w:r>
    </w:p>
    <w:p w14:paraId="06791F4F">
      <w:pPr>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3）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hint="eastAsia" w:ascii="仿宋_GB2312" w:hAnsi="仿宋" w:eastAsia="仿宋_GB2312" w:cs="Times New Roman"/>
          <w:sz w:val="32"/>
          <w:szCs w:val="32"/>
          <w:lang w:eastAsia="zh-CN"/>
        </w:rPr>
        <w:t>。</w:t>
      </w:r>
    </w:p>
    <w:p w14:paraId="6791795E">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（4）指导乡村特色产业、农产品加工业、休闲农业和乡镇企业发展工作。提出促进大宗农产品流通的建议，培育</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保护农业品牌。发布农业农村经济信息，监测分析农业农村经济运行，承担农业统计和农业农村信息化有关工作。</w:t>
      </w:r>
    </w:p>
    <w:p w14:paraId="55F6EB01">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（5）负责种植业、畜牧业、渔业、农垦、农业机械化等农业各产业的监督管理。指导粮食等农产品生产。组织构建现代农业产业体系、生产体系、经营体系，指导农业标准化生产负责渔政渔港监督管理。</w:t>
      </w:r>
    </w:p>
    <w:p w14:paraId="55D79B4B">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（6）负责农产品质量安全监督管理。组织开展农产品质量安全监测、追溯、风险评估，发布农产品质量安全信息</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贯彻执行农产品质量安全国家标准，参与制定农产品质量安全地方标准并会同有关部门组织实施。指导农业检验检测体系建设。</w:t>
      </w:r>
    </w:p>
    <w:p w14:paraId="4E37B0C9">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47633F84">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（8）负责有关农业生产资料和农业投入品的监督管理</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组织农业生产资料市场体系建设，贯彻执行农业生产资料、兽药质量、兽药残留限量和残留检测方法国家标准并监督实施组织兽医医政、兽药药政药检工作，负责执业兽医和畜禽屠宰行业管理。</w:t>
      </w:r>
    </w:p>
    <w:p w14:paraId="404FA018">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（9）负责农业防灾减灾、农作物重大病虫害防治工作指导动植物防疫检疫体系建设，组织、监督县内动植物防疫检疫工作，发布疫情并组织扑灭。</w:t>
      </w:r>
    </w:p>
    <w:p w14:paraId="6FEC108C">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（10）负责农业投资管理。编制农业投资项目建设规划提出农业投资规模和方向，扶持农业农村发展财政项目的建议，按规定权限审批农业投资项目，负责农业投资项目资金安排和监督管理。</w:t>
      </w:r>
    </w:p>
    <w:p w14:paraId="0CE2253D">
      <w:pPr>
        <w:snapToGrid w:val="0"/>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（11）推动农业科技体制改革和农业科技创新体系建设指导农业产业技术体系和农技推广体系建设，组织开展农业领域的高新技术和应用技术研究、科技成果转化和技术推广</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负责农业转基因生物安全监督管理和农业植物新品种保护</w:t>
      </w:r>
      <w:r>
        <w:rPr>
          <w:rFonts w:hint="eastAsia" w:ascii="仿宋_GB2312" w:hAnsi="仿宋" w:eastAsia="仿宋_GB2312" w:cs="Times New Roman"/>
          <w:sz w:val="32"/>
          <w:szCs w:val="32"/>
          <w:lang w:eastAsia="zh-CN"/>
        </w:rPr>
        <w:t>。</w:t>
      </w:r>
    </w:p>
    <w:p w14:paraId="16438718">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（12）指导农业农村人才工作。拟订农业农村人才队伍建设规划并组织实施，指导农业教育和农业职业技能开发，指导新型职业农民培育、农业科技人才培养和农村实用人才培训</w:t>
      </w:r>
      <w:r>
        <w:rPr>
          <w:rFonts w:hint="eastAsia" w:ascii="仿宋_GB2312" w:hAnsi="仿宋" w:eastAsia="仿宋_GB2312" w:cs="Times New Roman"/>
          <w:sz w:val="32"/>
          <w:szCs w:val="32"/>
          <w:lang w:val="en-US" w:eastAsia="zh-CN"/>
        </w:rPr>
        <w:t>工</w:t>
      </w:r>
      <w:r>
        <w:rPr>
          <w:rFonts w:hint="eastAsia" w:ascii="仿宋_GB2312" w:hAnsi="仿宋" w:eastAsia="仿宋_GB2312" w:cs="Times New Roman"/>
          <w:sz w:val="32"/>
          <w:szCs w:val="32"/>
        </w:rPr>
        <w:t>作。</w:t>
      </w:r>
    </w:p>
    <w:p w14:paraId="7FA2FCB6">
      <w:pPr>
        <w:snapToGrid w:val="0"/>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（13）组织参与农业对外合作工作。</w:t>
      </w:r>
    </w:p>
    <w:p w14:paraId="0BA72B8A">
      <w:pPr>
        <w:snapToGrid w:val="0"/>
        <w:spacing w:line="560" w:lineRule="exact"/>
        <w:ind w:firstLine="640" w:firstLineChars="200"/>
        <w:rPr>
          <w:rFonts w:ascii="楷体" w:hAnsi="楷体" w:eastAsia="楷体" w:cs="楷体"/>
          <w:spacing w:val="8"/>
          <w:sz w:val="31"/>
          <w:szCs w:val="31"/>
        </w:rPr>
      </w:pPr>
      <w:r>
        <w:rPr>
          <w:rFonts w:hint="eastAsia" w:ascii="仿宋_GB2312" w:hAnsi="仿宋" w:eastAsia="仿宋_GB2312" w:cs="Times New Roman"/>
          <w:sz w:val="32"/>
          <w:szCs w:val="32"/>
        </w:rPr>
        <w:t>（14）负责组织制订全县茶产业发展规划，研究产业发展政策。</w:t>
      </w:r>
    </w:p>
    <w:p w14:paraId="7FC09307">
      <w:pPr>
        <w:spacing w:line="594" w:lineRule="exact"/>
        <w:ind w:firstLine="640" w:firstLineChars="200"/>
        <w:rPr>
          <w:rFonts w:ascii="Times New Roman" w:hAnsi="Times New Roman" w:eastAsia="楷体_GB2312" w:cs="Times New Roman"/>
          <w:snapToGrid/>
          <w:kern w:val="0"/>
          <w:sz w:val="32"/>
          <w:szCs w:val="32"/>
          <w:lang w:eastAsia="zh-CN"/>
        </w:rPr>
      </w:pPr>
      <w:r>
        <w:rPr>
          <w:rFonts w:ascii="Times New Roman" w:hAnsi="Times New Roman" w:eastAsia="楷体_GB2312" w:cs="Times New Roman"/>
          <w:snapToGrid/>
          <w:kern w:val="0"/>
          <w:sz w:val="32"/>
          <w:szCs w:val="32"/>
          <w:lang w:eastAsia="zh-CN"/>
        </w:rPr>
        <w:t>(二)部门整体支出规模、使用方向、主要内容和涉及范围。</w:t>
      </w:r>
    </w:p>
    <w:p w14:paraId="6111946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pPr>
      <w:r>
        <w:rPr>
          <w:rFonts w:hint="eastAsia" w:ascii="Times New Roman" w:hAnsi="Times New Roman" w:eastAsia="仿宋_GB2312" w:cs="Times New Roman"/>
          <w:caps w:val="0"/>
          <w:kern w:val="0"/>
          <w:sz w:val="32"/>
          <w:szCs w:val="32"/>
          <w:lang w:val="en-US" w:eastAsia="zh-CN" w:bidi="ar-SA"/>
        </w:rPr>
        <w:t xml:space="preserve"> 2023年度，我单位整体支出32101.86万元，基本支出2633.16万元，主要用于人员经费及行政日常公用经费，项目支出29468.69万元，主要用于高标准农田建设、人居环境整治、村集体经济发展、国家现代农业产业园建设、禁捕退捕、粮食生产等农业专项支出。</w:t>
      </w:r>
    </w:p>
    <w:p w14:paraId="0D4F7752">
      <w:pPr>
        <w:pStyle w:val="2"/>
        <w:jc w:val="both"/>
      </w:pPr>
    </w:p>
    <w:p w14:paraId="05167EBF">
      <w:pPr>
        <w:spacing w:before="201" w:line="221" w:lineRule="auto"/>
        <w:ind w:left="644"/>
        <w:outlineLvl w:val="1"/>
        <w:rPr>
          <w:rFonts w:ascii="黑体" w:hAnsi="黑体" w:eastAsia="黑体" w:cs="黑体"/>
          <w:sz w:val="31"/>
          <w:szCs w:val="31"/>
        </w:rPr>
      </w:pPr>
      <w:r>
        <w:rPr>
          <w:rFonts w:ascii="黑体" w:hAnsi="黑体" w:eastAsia="黑体" w:cs="黑体"/>
          <w:b/>
          <w:bCs/>
          <w:spacing w:val="-7"/>
          <w:sz w:val="31"/>
          <w:szCs w:val="31"/>
        </w:rPr>
        <w:t>二、</w:t>
      </w:r>
      <w:r>
        <w:rPr>
          <w:rFonts w:ascii="黑体" w:hAnsi="黑体" w:eastAsia="黑体" w:cs="黑体"/>
          <w:spacing w:val="-58"/>
          <w:sz w:val="31"/>
          <w:szCs w:val="31"/>
        </w:rPr>
        <w:t xml:space="preserve"> </w:t>
      </w:r>
      <w:r>
        <w:rPr>
          <w:rFonts w:ascii="黑体" w:hAnsi="黑体" w:eastAsia="黑体" w:cs="黑体"/>
          <w:b/>
          <w:bCs/>
          <w:spacing w:val="-7"/>
          <w:sz w:val="31"/>
          <w:szCs w:val="31"/>
        </w:rPr>
        <w:t>一般公共预算支出情况</w:t>
      </w:r>
    </w:p>
    <w:p w14:paraId="77916508">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ascii="Times New Roman" w:hAnsi="Times New Roman" w:eastAsia="楷体_GB2312" w:cs="Times New Roman"/>
          <w:snapToGrid/>
          <w:kern w:val="0"/>
          <w:sz w:val="32"/>
          <w:szCs w:val="32"/>
          <w:lang w:eastAsia="zh-CN"/>
        </w:rPr>
        <w:t>（一）基本支出</w:t>
      </w:r>
    </w:p>
    <w:p w14:paraId="05CE4189">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基本支出系保障我局机构正常运转、完成日常工作任务而发生的各项支出，包括用于在职职工基本工资、津贴补贴等人员经费以及办公费、印刷费、水电费、办公设备购置等日常公用经费。2023年基本支出2633.16万元，较上年减少172.3万元，下降6.14%。</w:t>
      </w:r>
    </w:p>
    <w:p w14:paraId="632CEED3">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本年“三公”经费预算39.29万元，公务用车运行维护费12万元，公务接待费27.29万元，本年实际支出公务车运行维护费12万元，公务接待费27.29万元</w:t>
      </w:r>
      <w:bookmarkStart w:id="0" w:name="_GoBack"/>
      <w:bookmarkEnd w:id="0"/>
      <w:r>
        <w:rPr>
          <w:rFonts w:hint="eastAsia" w:ascii="Times New Roman" w:hAnsi="Times New Roman" w:eastAsia="仿宋_GB2312" w:cs="Times New Roman"/>
          <w:caps w:val="0"/>
          <w:snapToGrid w:val="0"/>
          <w:color w:val="000000"/>
          <w:kern w:val="0"/>
          <w:sz w:val="32"/>
          <w:szCs w:val="32"/>
          <w:lang w:val="en-US" w:eastAsia="zh-CN" w:bidi="ar-SA"/>
        </w:rPr>
        <w:t>。“三公”经费上年预算49.11万元，公务车运行维护费15万元，公务接待费35.11万元，实际支出公务车运行维护费14.99万元，公务接待费35.11万元，“三公”经费逐年下降，支出逐年减少。</w:t>
      </w:r>
    </w:p>
    <w:p w14:paraId="4713791F">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楷体_GB2312" w:cs="Times New Roman"/>
          <w:snapToGrid/>
          <w:kern w:val="0"/>
          <w:sz w:val="32"/>
          <w:szCs w:val="32"/>
          <w:lang w:val="en-US" w:eastAsia="zh-CN"/>
        </w:rPr>
        <w:t>（二）项目支出</w:t>
      </w:r>
      <w:r>
        <w:rPr>
          <w:rFonts w:hint="eastAsia" w:ascii="Times New Roman" w:hAnsi="Times New Roman" w:eastAsia="仿宋_GB2312" w:cs="Times New Roman"/>
          <w:caps w:val="0"/>
          <w:snapToGrid w:val="0"/>
          <w:color w:val="000000"/>
          <w:kern w:val="0"/>
          <w:sz w:val="32"/>
          <w:szCs w:val="32"/>
          <w:lang w:val="en-US" w:eastAsia="zh-CN" w:bidi="ar-SA"/>
        </w:rPr>
        <w:tab/>
      </w:r>
    </w:p>
    <w:p w14:paraId="148F99F6">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1. 项目资金（包括财政资金、自筹资金等）安排落实、总投入等情况分析。</w:t>
      </w:r>
    </w:p>
    <w:p w14:paraId="4DEE4952">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我单位2023年度项目资金总额</w:t>
      </w:r>
      <w:r>
        <w:rPr>
          <w:rFonts w:hint="eastAsia" w:ascii="Times New Roman" w:hAnsi="Times New Roman" w:eastAsia="仿宋_GB2312" w:cs="Times New Roman"/>
          <w:caps w:val="0"/>
          <w:kern w:val="0"/>
          <w:sz w:val="32"/>
          <w:szCs w:val="32"/>
          <w:lang w:val="en-US" w:eastAsia="zh-CN" w:bidi="ar-SA"/>
        </w:rPr>
        <w:t>29468.69</w:t>
      </w:r>
      <w:r>
        <w:rPr>
          <w:rFonts w:hint="eastAsia" w:ascii="Times New Roman" w:hAnsi="Times New Roman" w:eastAsia="仿宋_GB2312" w:cs="Times New Roman"/>
          <w:caps w:val="0"/>
          <w:snapToGrid w:val="0"/>
          <w:color w:val="000000"/>
          <w:kern w:val="0"/>
          <w:sz w:val="32"/>
          <w:szCs w:val="32"/>
          <w:lang w:val="en-US" w:eastAsia="zh-CN" w:bidi="ar-SA"/>
        </w:rPr>
        <w:t>万元，均为财政专项资金，且已拨付至相关项目。</w:t>
      </w:r>
    </w:p>
    <w:p w14:paraId="65E099C2">
      <w:pPr>
        <w:spacing w:line="594" w:lineRule="exact"/>
        <w:ind w:firstLine="640" w:firstLineChars="200"/>
        <w:rPr>
          <w:rFonts w:hint="eastAsia"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3. 项目资金管理情况分析，主要包括管理制度、办法的制订及执行情况。</w:t>
      </w:r>
    </w:p>
    <w:p w14:paraId="7AFEB82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为规范项目资金使用，加强项目资金管理，根据《安化县统筹整合使用财政涉农资金管理办法》及《安化县农业农村局项目资金管理办法》要求，我单位制定了严格的项目资金管理制度，成立以局长为组长，县纪委监委驻局纪检组负责人、局班子成员为副组长，各股室负责人为成员的局项目管理领导小组，统筹管理全局项目。下设项目管理领导小组办公室（项目办），配备专职人员负责全局项目日常管理工作。各业务股室严格执行项目管理制度，监督项目实施进度，项目建设质量、项目安全生产、项目后期管护等。</w:t>
      </w:r>
    </w:p>
    <w:p w14:paraId="4A040854">
      <w:pPr>
        <w:spacing w:before="201" w:line="221" w:lineRule="auto"/>
        <w:ind w:left="644"/>
        <w:outlineLvl w:val="1"/>
        <w:rPr>
          <w:rFonts w:ascii="黑体" w:hAnsi="黑体" w:eastAsia="黑体" w:cs="黑体"/>
          <w:b/>
          <w:bCs/>
          <w:spacing w:val="-7"/>
          <w:sz w:val="31"/>
          <w:szCs w:val="31"/>
          <w:lang w:eastAsia="zh-CN"/>
        </w:rPr>
      </w:pPr>
      <w:r>
        <w:rPr>
          <w:rFonts w:hint="eastAsia" w:ascii="黑体" w:hAnsi="黑体" w:eastAsia="黑体" w:cs="黑体"/>
          <w:b/>
          <w:bCs/>
          <w:spacing w:val="-7"/>
          <w:sz w:val="31"/>
          <w:szCs w:val="31"/>
          <w:lang w:val="en-US" w:eastAsia="zh-CN"/>
        </w:rPr>
        <w:t>三、</w:t>
      </w:r>
      <w:r>
        <w:rPr>
          <w:rFonts w:ascii="黑体" w:hAnsi="黑体" w:eastAsia="黑体" w:cs="黑体"/>
          <w:b/>
          <w:bCs/>
          <w:spacing w:val="-7"/>
          <w:sz w:val="31"/>
          <w:szCs w:val="31"/>
          <w:lang w:eastAsia="zh-CN"/>
        </w:rPr>
        <w:t>部门整体支出绩效情况分析</w:t>
      </w:r>
    </w:p>
    <w:p w14:paraId="5A06D66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1.奋力夺取全年粮食丰收。推行“五大模式”（集中育秧模式、稻油轮作模式、早专晚优模式、中稻+再生稻模式、大豆玉米带状复合种植模式）稳定粮食面积，今年我县完成粮食播种面积 67.1万亩、粮食总产量23.91 万吨，油菜播种面积 35.33万宙。全县共建设粮油作物单产提升示范区 1.5万亩，示范区单产较上年提高10%左右，产量水平进一步提高，良种良法配套落实到位，关键技术到位率明显提高。粮食和重要农产品实现稳产保供。</w:t>
      </w:r>
    </w:p>
    <w:p w14:paraId="3D014D8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2.全域推进人居环境整治。2023年，我县完善健全“党建引领·三员两长网格化管理”责任机制，全县共选聘专职保洁员2165人、义务劝导员16255人、兼职督导员6280人，合理设置垃圾收集点5699个，各村、组、乡镇级以上主干道公路沿线实现农村垃圾统一清收清运，长效治理机制建立健全。清理路域乱堆乱放2985余处、村庄内乱堆乱放2678余处，清理小广告3456余处。清理打捞各类漂浮垃圾100 余吨，清理废旧栅栏1620米，废旧房屋11栋。全县人居环境整治志愿者队伍从原来的8000余人增加到12200多人。与此同时，深入学习运用浙江“千村示范、万村整治”经验，按照“富裕乡村、宜居乡村、文明乡村、和谐(善治)乡村”“四村联创”要求，持续推进美丽庭院、美丽屋场、美丽乡村“三美联建”，完成美丽庭院创建2151户，成功创建市级美丽乡村3个。</w:t>
      </w:r>
    </w:p>
    <w:p w14:paraId="16D68A6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3.着力夯实绿色农业根基。稳步实施化肥减量增效。在马路镇完成了水稻、玉米肥料利用率试验，在乐安镇完成了花生肥效校正、有机肥肥效对比试验，在东坪镇完成了柑橘氮肥总量控制 “2+X”2、“2+X”X 试验，在江南镇完成了茶叶有机肥当量“2+X”2、“2+X”X试验和茶叶氮肥总量控制“2+X”2、“2十X”X试验等10个田间试验；与统计局联合完成了11个农作物127户农户施肥情况调查，全县2023年化肥使用实物总量为56925吨，比2022年减少 142.67吨，减幅0.25%，亩平减少0.08 公斤，亩平减幅 0.26%；化肥使用折纯总量为21769 吨，比2022 年减少105.4吨，减幅 0.48%，亩产减少0.06 公斤，亩产减幅 0.5%。实现了 2023年同比2022 年单位面积化肥使用量零增长目标；推广水稻、玉米、油菜等农作物秸秆还田技术82.7万亩次;全县推广施用有机肥51.5万亩次；发展绿肥种植面积5.2万亩；水肥一体化应用面积突破0.46万亩；测土配方施肥技术推广面积164.35 万亩次;主要农作物技术覆盖率达95.4%；全县主要农作物化肥利用率达 42.2%。</w:t>
      </w:r>
    </w:p>
    <w:p w14:paraId="5C0E775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4.稳定粮食生产，促进农民创收。54家服务组织共完成服务标准面积6. 31万亩，全面完成省下达的社会化服务面积任务。开展农业生产托管服务，实现小农户与现代农业的有机街接，为解决农村因缺少劳动力种地难，解决抛荒问题提供了路径，解决了谁来种地问题。全县以社会化服务项目试点为抓手，进一步加强农业生产社会化服务体系建设，提高机械化程度，促进了全县粮⻝生产。全县粮食种植面积稳中有增，今年我县共发展早稻面积6. 6万亩，一季稻和晚稻 31. 05万亩，粮食总产稳定在24万吨以上。比去年增加了0. 19万吨，增幅0.8%。高档优质稻面积15万亩，较去年增加2万亩，增幅15. 38%。通过开展农业生产托管服务，专业化统防统治、新品种、标准化生产、科学施肥等绿色生产技术充分得到应用，克服了部分农户缺乏科学使用农资、绿色防控病虫害等先进技术的困难，达到了“减量控害〞的目标。有效促进了全县农业绿色生产和可持续发展。</w:t>
      </w:r>
    </w:p>
    <w:p w14:paraId="0008CB6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r>
        <w:rPr>
          <w:rFonts w:hint="eastAsia" w:ascii="Times New Roman" w:hAnsi="Times New Roman" w:eastAsia="仿宋_GB2312" w:cs="Times New Roman"/>
          <w:caps w:val="0"/>
          <w:kern w:val="0"/>
          <w:sz w:val="32"/>
          <w:szCs w:val="32"/>
          <w:lang w:val="en-US" w:eastAsia="zh-CN" w:bidi="ar-SA"/>
        </w:rPr>
        <w:t>5.提高棉田综合生产效益。2023年我县积极组织开展棉花生产工作，在大福镇、乐安镇等7个乡镇的严格管控区种植棉花面积 3811 亩，籽棉总产量达947.03屯，完成棉田水改旱基础设施建设1670亩。同时，成功创建千亩示范片2个，百亩示范片7个，主要推广湘K28、湘X1107 等抗病虫、高吸水、生育期适宜的品种，并开展新品种试验示范。通过机械化生产、轻简化栽培等技术，提高棉田综合生产效益，籽棉平均亩产248.5公斤，实现亩增收500元以上。</w:t>
      </w:r>
    </w:p>
    <w:p w14:paraId="05446C0A">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aps w:val="0"/>
          <w:snapToGrid w:val="0"/>
          <w:color w:val="000000"/>
          <w:kern w:val="0"/>
          <w:sz w:val="32"/>
          <w:szCs w:val="32"/>
          <w:lang w:val="en-US" w:eastAsia="zh-CN" w:bidi="ar-SA"/>
        </w:rPr>
      </w:pPr>
      <w:r>
        <w:rPr>
          <w:rFonts w:hint="eastAsia" w:ascii="Times New Roman" w:hAnsi="Times New Roman" w:eastAsia="仿宋_GB2312" w:cs="Times New Roman"/>
          <w:caps w:val="0"/>
          <w:snapToGrid w:val="0"/>
          <w:color w:val="000000"/>
          <w:kern w:val="0"/>
          <w:sz w:val="32"/>
          <w:szCs w:val="32"/>
          <w:lang w:val="en-US" w:eastAsia="zh-CN" w:bidi="ar-SA"/>
        </w:rPr>
        <w:t>6.建设高标准农田改善农田灌溉。高标准农田建设项目支出用途为建设高标准农田4.6万亩；田块整治1221.44亩；农田地力提升工程4. 1407万亩;新增高效节水灌溉面积958.99亩；山塘加固14口:新建泵站1座; 改造河坝42座;衬砌改造渠道251条126.329km ;整修田间道路73条22. 124km。项目建成新增和改善灌溉达标面4.6万亩，年节水量480万立方米，农业综合机械化提高5%。道路通达率95%，粮食年新增产量382 万公斤，项目区直接受益农业人口数约11874户，农民年收入增加1087.92万元，治理酸化土地面积0.422万亩。</w:t>
      </w:r>
    </w:p>
    <w:p w14:paraId="1D4C5663">
      <w:pPr>
        <w:spacing w:before="201" w:line="221" w:lineRule="auto"/>
        <w:ind w:left="644"/>
        <w:outlineLvl w:val="1"/>
        <w:rPr>
          <w:rFonts w:hint="eastAsia" w:ascii="黑体" w:hAnsi="黑体" w:eastAsia="黑体" w:cs="黑体"/>
          <w:b/>
          <w:bCs/>
          <w:spacing w:val="-7"/>
          <w:sz w:val="31"/>
          <w:szCs w:val="31"/>
          <w:lang w:val="en-US" w:eastAsia="zh-CN"/>
        </w:rPr>
      </w:pPr>
      <w:r>
        <w:rPr>
          <w:rFonts w:hint="eastAsia" w:ascii="黑体" w:hAnsi="黑体" w:eastAsia="黑体" w:cs="黑体"/>
          <w:b/>
          <w:bCs/>
          <w:spacing w:val="-7"/>
          <w:sz w:val="31"/>
          <w:szCs w:val="31"/>
          <w:lang w:val="en-US" w:eastAsia="zh-CN"/>
        </w:rPr>
        <w:t>六、存在的主要问题</w:t>
      </w:r>
    </w:p>
    <w:p w14:paraId="79D6EB7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lang w:val="en-US" w:eastAsia="zh-CN"/>
        </w:rPr>
      </w:pPr>
      <w:r>
        <w:rPr>
          <w:rFonts w:hint="eastAsia" w:ascii="仿宋_GB2312" w:hAnsi="仿宋_GB2312" w:eastAsia="仿宋_GB2312" w:cs="仿宋_GB2312"/>
          <w:caps w:val="0"/>
          <w:kern w:val="2"/>
          <w:sz w:val="32"/>
          <w:szCs w:val="24"/>
          <w:highlight w:val="none"/>
          <w:lang w:val="en-US" w:eastAsia="zh-CN" w:bidi="ar-SA"/>
        </w:rPr>
        <w:t xml:space="preserve">  一方面，由于实际情况和计划有出入，项目实施方案不全面，须中途变更实施方案，导致项目进度延缓，项目无法如期完工。另一方面，由于项目规模较大，上级对项目管理要求较高，配备的专业技术人员数量不匹配，受天气等客观因素影响，验收不及时，项目结算办理滞后。</w:t>
      </w:r>
    </w:p>
    <w:p w14:paraId="43A42B51">
      <w:pPr>
        <w:spacing w:before="201" w:line="221" w:lineRule="auto"/>
        <w:ind w:left="644"/>
        <w:outlineLvl w:val="1"/>
        <w:rPr>
          <w:rFonts w:hint="eastAsia" w:ascii="黑体" w:hAnsi="黑体" w:eastAsia="黑体" w:cs="黑体"/>
          <w:b/>
          <w:bCs/>
          <w:spacing w:val="-7"/>
          <w:sz w:val="31"/>
          <w:szCs w:val="31"/>
          <w:lang w:val="en-US" w:eastAsia="zh-CN"/>
        </w:rPr>
      </w:pPr>
      <w:r>
        <w:rPr>
          <w:rFonts w:hint="eastAsia" w:ascii="黑体" w:hAnsi="黑体" w:eastAsia="黑体" w:cs="黑体"/>
          <w:b/>
          <w:bCs/>
          <w:spacing w:val="-7"/>
          <w:sz w:val="31"/>
          <w:szCs w:val="31"/>
          <w:lang w:val="en-US" w:eastAsia="zh-CN"/>
        </w:rPr>
        <w:t>七、改进措施和有关建议</w:t>
      </w:r>
    </w:p>
    <w:p w14:paraId="257E8BAB">
      <w:pPr>
        <w:spacing w:line="594" w:lineRule="exact"/>
        <w:ind w:firstLine="640" w:firstLineChars="200"/>
        <w:rPr>
          <w:rFonts w:hint="default" w:ascii="仿宋_GB2312" w:hAnsi="仿宋_GB2312" w:eastAsia="仿宋_GB2312" w:cs="仿宋_GB2312"/>
          <w:caps w:val="0"/>
          <w:kern w:val="2"/>
          <w:sz w:val="32"/>
          <w:szCs w:val="24"/>
          <w:highlight w:val="none"/>
          <w:lang w:val="en-US" w:eastAsia="zh-CN" w:bidi="ar-SA"/>
        </w:rPr>
      </w:pPr>
      <w:r>
        <w:rPr>
          <w:rFonts w:hint="eastAsia" w:ascii="仿宋_GB2312" w:hAnsi="仿宋_GB2312" w:eastAsia="仿宋_GB2312" w:cs="仿宋_GB2312"/>
          <w:caps w:val="0"/>
          <w:kern w:val="2"/>
          <w:sz w:val="32"/>
          <w:szCs w:val="24"/>
          <w:highlight w:val="none"/>
          <w:lang w:val="en-US" w:eastAsia="zh-CN" w:bidi="ar-SA"/>
        </w:rPr>
        <w:t>首先，加强基础调研，提高项目建设的合理性。涉农项目在申报之前须结合当地实际，提高方案的合理性、可操作性。其次，不断补充专业技术人才，完善项目管理人才库。最后，积极加强与上级的工作对接，提高项目安排的预见性。</w:t>
      </w:r>
    </w:p>
    <w:p w14:paraId="1CD62BAD">
      <w:pPr>
        <w:pStyle w:val="2"/>
        <w:rPr>
          <w:rFonts w:hint="eastAsia"/>
          <w:lang w:val="en-US" w:eastAsia="zh-CN"/>
        </w:rPr>
      </w:pPr>
    </w:p>
    <w:p w14:paraId="13D3F57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p w14:paraId="4C8515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p w14:paraId="6A4522F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aps w:val="0"/>
          <w:kern w:val="0"/>
          <w:sz w:val="32"/>
          <w:szCs w:val="32"/>
          <w:lang w:val="en-US" w:eastAsia="zh-CN" w:bidi="ar-SA"/>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D63D">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E06F">
    <w:pPr>
      <w:spacing w:line="179" w:lineRule="auto"/>
      <w:jc w:val="right"/>
      <w:rPr>
        <w:rFonts w:ascii="黑体" w:hAnsi="黑体" w:eastAsia="黑体" w:cs="黑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YTRkZDhkNzllN2VjY2YyYjY3NDljYTA4MjM5ZmUifQ=="/>
  </w:docVars>
  <w:rsids>
    <w:rsidRoot w:val="34965858"/>
    <w:rsid w:val="02AF5579"/>
    <w:rsid w:val="04380A7C"/>
    <w:rsid w:val="055C30DB"/>
    <w:rsid w:val="05BB5E95"/>
    <w:rsid w:val="06605C46"/>
    <w:rsid w:val="068368A8"/>
    <w:rsid w:val="0A5B7E05"/>
    <w:rsid w:val="0AAC68B2"/>
    <w:rsid w:val="0F912D7B"/>
    <w:rsid w:val="141334FE"/>
    <w:rsid w:val="18F27DBB"/>
    <w:rsid w:val="1EBC2413"/>
    <w:rsid w:val="22E1571D"/>
    <w:rsid w:val="2AB44CE1"/>
    <w:rsid w:val="2B3B61B5"/>
    <w:rsid w:val="34965858"/>
    <w:rsid w:val="355754E9"/>
    <w:rsid w:val="431C567C"/>
    <w:rsid w:val="446B370C"/>
    <w:rsid w:val="49AD34D2"/>
    <w:rsid w:val="51BD5A98"/>
    <w:rsid w:val="533E211D"/>
    <w:rsid w:val="536C3B64"/>
    <w:rsid w:val="56125772"/>
    <w:rsid w:val="5A8F1FDE"/>
    <w:rsid w:val="677F0CCA"/>
    <w:rsid w:val="74146CF4"/>
    <w:rsid w:val="74D6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line="400" w:lineRule="exact"/>
      <w:jc w:val="center"/>
    </w:pPr>
    <w:rPr>
      <w:rFonts w:ascii="Calibri" w:hAnsi="Calibri" w:eastAsia="宋体" w:cs="Times New Roman"/>
      <w:caps/>
      <w:sz w:val="21"/>
      <w:szCs w:val="22"/>
      <w:lang w:val="en-US" w:eastAsia="zh-CN" w:bidi="ar-SA"/>
    </w:rPr>
  </w:style>
  <w:style w:type="paragraph" w:styleId="3">
    <w:name w:val="Body Text"/>
    <w:basedOn w:val="1"/>
    <w:semiHidden/>
    <w:qFormat/>
    <w:uiPriority w:val="0"/>
    <w:rPr>
      <w:rFonts w:ascii="仿宋" w:hAnsi="仿宋" w:eastAsia="仿宋" w:cs="仿宋"/>
      <w:sz w:val="37"/>
      <w:szCs w:val="37"/>
      <w:lang w:val="en-US" w:eastAsia="en-US" w:bidi="ar-SA"/>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3962</Words>
  <Characters>4319</Characters>
  <Lines>0</Lines>
  <Paragraphs>0</Paragraphs>
  <TotalTime>103</TotalTime>
  <ScaleCrop>false</ScaleCrop>
  <LinksUpToDate>false</LinksUpToDate>
  <CharactersWithSpaces>4388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2024-06-18T08:05:00Z</dcterms:created>
  <dc:creator>小熊</dc:creator>
  <cp:lastModifiedBy>婷婷</cp:lastModifiedBy>
  <cp:lastPrinted>2024-06-24T08:58:00Z</cp:lastPrinted>
  <dcterms:modified xsi:type="dcterms:W3CDTF">2024-09-24T02:30:30Z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197D40DF327645D285B2DB6E82245266_11</vt:lpwstr>
  </property>
</Properties>
</file>