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B78" w:rsidRDefault="002E0B78">
      <w:pPr>
        <w:widowControl/>
        <w:spacing w:line="700" w:lineRule="exact"/>
        <w:jc w:val="center"/>
        <w:rPr>
          <w:rFonts w:ascii="微软雅黑" w:eastAsia="微软雅黑" w:hAnsi="微软雅黑" w:cs="微软雅黑"/>
          <w:sz w:val="52"/>
          <w:szCs w:val="52"/>
        </w:rPr>
      </w:pPr>
    </w:p>
    <w:p w:rsidR="002E0B78" w:rsidRDefault="002E0B78">
      <w:pPr>
        <w:widowControl/>
        <w:spacing w:line="700" w:lineRule="exact"/>
        <w:jc w:val="center"/>
        <w:rPr>
          <w:rFonts w:ascii="微软雅黑" w:eastAsia="微软雅黑" w:hAnsi="微软雅黑" w:cs="微软雅黑"/>
          <w:sz w:val="52"/>
          <w:szCs w:val="52"/>
        </w:rPr>
      </w:pPr>
    </w:p>
    <w:p w:rsidR="002E0B78" w:rsidRDefault="002F52D3">
      <w:pPr>
        <w:widowControl/>
        <w:spacing w:line="700" w:lineRule="exact"/>
        <w:jc w:val="center"/>
        <w:rPr>
          <w:rFonts w:ascii="微软雅黑" w:eastAsia="微软雅黑" w:hAnsi="微软雅黑" w:cs="微软雅黑"/>
          <w:sz w:val="52"/>
          <w:szCs w:val="52"/>
        </w:rPr>
      </w:pPr>
      <w:r>
        <w:rPr>
          <w:rFonts w:ascii="微软雅黑" w:eastAsia="微软雅黑" w:hAnsi="微软雅黑" w:cs="微软雅黑" w:hint="eastAsia"/>
          <w:sz w:val="52"/>
          <w:szCs w:val="52"/>
        </w:rPr>
        <w:t>2023年度羊角塘镇人民政府整体支出绩效自评报告</w:t>
      </w:r>
    </w:p>
    <w:p w:rsidR="002E0B78" w:rsidRDefault="002E0B78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/>
    <w:p w:rsidR="002E0B78" w:rsidRDefault="002E0B78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>
      <w:pPr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>
      <w:pPr>
        <w:pStyle w:val="1"/>
      </w:pPr>
    </w:p>
    <w:p w:rsidR="002E0B78" w:rsidRDefault="002E0B78">
      <w:pPr>
        <w:widowControl/>
        <w:ind w:firstLineChars="100" w:firstLine="361"/>
        <w:rPr>
          <w:rFonts w:ascii="楷体" w:eastAsia="楷体" w:hAnsi="楷体" w:cs="楷体"/>
          <w:b/>
          <w:bCs/>
          <w:kern w:val="0"/>
          <w:sz w:val="36"/>
          <w:szCs w:val="36"/>
        </w:rPr>
      </w:pPr>
    </w:p>
    <w:p w:rsidR="002E0B78" w:rsidRDefault="002E0B78">
      <w:pPr>
        <w:widowControl/>
        <w:ind w:firstLineChars="100" w:firstLine="360"/>
        <w:rPr>
          <w:rFonts w:ascii="黑体" w:eastAsia="黑体" w:hAnsi="黑体" w:cs="黑体"/>
          <w:kern w:val="0"/>
          <w:sz w:val="36"/>
          <w:szCs w:val="36"/>
        </w:rPr>
      </w:pPr>
    </w:p>
    <w:p w:rsidR="002E0B78" w:rsidRDefault="002E0B78">
      <w:pPr>
        <w:widowControl/>
        <w:ind w:firstLineChars="100" w:firstLine="360"/>
        <w:rPr>
          <w:rFonts w:ascii="黑体" w:eastAsia="黑体" w:hAnsi="黑体" w:cs="黑体"/>
          <w:kern w:val="0"/>
          <w:sz w:val="36"/>
          <w:szCs w:val="36"/>
        </w:rPr>
      </w:pPr>
    </w:p>
    <w:p w:rsidR="002E0B78" w:rsidRDefault="002E0B78">
      <w:pPr>
        <w:widowControl/>
        <w:ind w:firstLineChars="100" w:firstLine="360"/>
        <w:rPr>
          <w:rFonts w:ascii="黑体" w:eastAsia="黑体" w:hAnsi="黑体" w:cs="黑体"/>
          <w:kern w:val="0"/>
          <w:sz w:val="36"/>
          <w:szCs w:val="36"/>
        </w:rPr>
      </w:pPr>
    </w:p>
    <w:p w:rsidR="002E0B78" w:rsidRDefault="002F52D3">
      <w:pPr>
        <w:widowControl/>
        <w:ind w:firstLineChars="100" w:firstLine="360"/>
        <w:rPr>
          <w:rFonts w:ascii="黑体" w:eastAsia="黑体" w:hAnsi="黑体" w:cs="黑体"/>
          <w:kern w:val="0"/>
          <w:sz w:val="48"/>
          <w:szCs w:val="48"/>
          <w:u w:val="single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申报单位（盖章）</w:t>
      </w:r>
      <w:r>
        <w:rPr>
          <w:rFonts w:ascii="黑体" w:eastAsia="黑体" w:hAnsi="黑体" w:cs="黑体" w:hint="eastAsia"/>
          <w:kern w:val="0"/>
          <w:sz w:val="48"/>
          <w:szCs w:val="48"/>
        </w:rPr>
        <w:t>：</w:t>
      </w:r>
    </w:p>
    <w:p w:rsidR="002E0B78" w:rsidRDefault="002E0B78">
      <w:pPr>
        <w:widowControl/>
        <w:rPr>
          <w:rFonts w:ascii="黑体" w:eastAsia="黑体" w:hAnsi="黑体" w:cs="黑体"/>
          <w:kern w:val="0"/>
          <w:sz w:val="48"/>
          <w:szCs w:val="48"/>
          <w:u w:val="single"/>
        </w:rPr>
      </w:pPr>
    </w:p>
    <w:p w:rsidR="002E0B78" w:rsidRDefault="00DA2601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黑体" w:eastAsia="黑体" w:hAnsi="黑体" w:cs="黑体" w:hint="eastAsia"/>
          <w:kern w:val="0"/>
          <w:sz w:val="36"/>
          <w:szCs w:val="36"/>
        </w:rPr>
        <w:t>2024</w:t>
      </w:r>
      <w:r w:rsidR="002F52D3">
        <w:rPr>
          <w:rFonts w:ascii="黑体" w:eastAsia="黑体" w:hAnsi="黑体" w:cs="黑体" w:hint="eastAsia"/>
          <w:kern w:val="0"/>
          <w:sz w:val="36"/>
          <w:szCs w:val="36"/>
        </w:rPr>
        <w:t xml:space="preserve">年 </w:t>
      </w:r>
      <w:r>
        <w:rPr>
          <w:rFonts w:ascii="黑体" w:eastAsia="黑体" w:hAnsi="黑体" w:cs="黑体" w:hint="eastAsia"/>
          <w:kern w:val="0"/>
          <w:sz w:val="36"/>
          <w:szCs w:val="36"/>
        </w:rPr>
        <w:t>6</w:t>
      </w:r>
      <w:r w:rsidR="002F52D3">
        <w:rPr>
          <w:rFonts w:ascii="黑体" w:eastAsia="黑体" w:hAnsi="黑体" w:cs="黑体" w:hint="eastAsia"/>
          <w:kern w:val="0"/>
          <w:sz w:val="36"/>
          <w:szCs w:val="36"/>
        </w:rPr>
        <w:t xml:space="preserve">  月  </w:t>
      </w:r>
      <w:r>
        <w:rPr>
          <w:rFonts w:ascii="黑体" w:eastAsia="黑体" w:hAnsi="黑体" w:cs="黑体" w:hint="eastAsia"/>
          <w:kern w:val="0"/>
          <w:sz w:val="36"/>
          <w:szCs w:val="36"/>
        </w:rPr>
        <w:t>24</w:t>
      </w:r>
      <w:r w:rsidR="002F52D3">
        <w:rPr>
          <w:rFonts w:ascii="黑体" w:eastAsia="黑体" w:hAnsi="黑体" w:cs="黑体" w:hint="eastAsia"/>
          <w:kern w:val="0"/>
          <w:sz w:val="36"/>
          <w:szCs w:val="36"/>
        </w:rPr>
        <w:t xml:space="preserve"> 日</w:t>
      </w:r>
    </w:p>
    <w:p w:rsidR="002E0B78" w:rsidRDefault="002F52D3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仿宋" w:hint="eastAsia"/>
          <w:kern w:val="0"/>
          <w:sz w:val="32"/>
          <w:szCs w:val="32"/>
        </w:rPr>
        <w:br w:type="page"/>
      </w:r>
    </w:p>
    <w:p w:rsidR="002E0B78" w:rsidRDefault="002F52D3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lastRenderedPageBreak/>
        <w:t>2023年度羊角塘镇人民政府整体支出</w:t>
      </w:r>
    </w:p>
    <w:p w:rsidR="002E0B78" w:rsidRDefault="002F52D3">
      <w:pPr>
        <w:widowControl/>
        <w:autoSpaceDN w:val="0"/>
        <w:spacing w:line="576" w:lineRule="exact"/>
        <w:jc w:val="center"/>
        <w:rPr>
          <w:rFonts w:ascii="微软雅黑" w:eastAsia="微软雅黑" w:hAnsi="仿宋" w:cs="宋体"/>
          <w:bCs/>
          <w:kern w:val="0"/>
          <w:sz w:val="44"/>
          <w:szCs w:val="44"/>
        </w:rPr>
      </w:pPr>
      <w:r>
        <w:rPr>
          <w:rFonts w:ascii="微软雅黑" w:eastAsia="微软雅黑" w:hAnsi="仿宋" w:cs="宋体" w:hint="eastAsia"/>
          <w:bCs/>
          <w:kern w:val="0"/>
          <w:sz w:val="44"/>
          <w:szCs w:val="44"/>
        </w:rPr>
        <w:t>绩效自评报告</w:t>
      </w:r>
    </w:p>
    <w:p w:rsidR="002E0B78" w:rsidRDefault="002E0B78">
      <w:pPr>
        <w:widowControl/>
        <w:autoSpaceDN w:val="0"/>
        <w:spacing w:line="576" w:lineRule="exact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2E0B78" w:rsidRDefault="002F52D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一、部门(单位)基本情况</w:t>
      </w:r>
    </w:p>
    <w:p w:rsidR="002E0B78" w:rsidRDefault="002F52D3">
      <w:pPr>
        <w:widowControl/>
        <w:tabs>
          <w:tab w:val="center" w:pos="4153"/>
        </w:tabs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(一)2023年度重点工作</w:t>
      </w:r>
    </w:p>
    <w:p w:rsidR="002F52D3" w:rsidRDefault="002F52D3" w:rsidP="002F52D3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2023年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是全面贯彻党的二十大精神的开局之年，一年来，镇党委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认真落实中央和省委、市委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、县委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决策部署，充分发挥总揽全局、协调各方作用，团结带领全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镇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上下迎难而上、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真抓实干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全年工作目标任务</w:t>
      </w:r>
      <w:r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>稳步推进。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完成生产总值4.95亿元,同比增长12%。完成社会消费品零售总额1.79亿元，同比增长13.7%。完成税收总额490万元，同比增长60.6%。</w:t>
      </w:r>
    </w:p>
    <w:p w:rsidR="002E0B78" w:rsidRDefault="002F52D3" w:rsidP="002F52D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(二)部门整体支出规模、使用方向、主要内容和涉及范围</w:t>
      </w:r>
    </w:p>
    <w:p w:rsidR="002E0B78" w:rsidRDefault="002F52D3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2023年总支出2364.76万元，其中一般公共服务支出1556.15万元；社会保障和就业支出151.93万元；卫生健康支出61.30万元；节能环保支出170万元；城乡社区支出77.01万元；农林水支出162.70万元；住房保障支出106.47万元；灾害防治及应急管理支出1.40万元，其他支出77.80万元。</w:t>
      </w:r>
    </w:p>
    <w:p w:rsidR="002E0B78" w:rsidRDefault="002F52D3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二、一般公共预算支出情况</w:t>
      </w:r>
    </w:p>
    <w:p w:rsidR="002E0B78" w:rsidRDefault="002F52D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(一)基本支出情况</w:t>
      </w:r>
    </w:p>
    <w:p w:rsidR="002E0B78" w:rsidRPr="002F52D3" w:rsidRDefault="002F52D3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2F52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基本支出总计1373.99万元，其中人员经费1159.14万元；公用经费214.85万元。</w:t>
      </w:r>
    </w:p>
    <w:p w:rsidR="002E0B78" w:rsidRDefault="002F52D3">
      <w:pPr>
        <w:widowControl/>
        <w:spacing w:line="576" w:lineRule="exact"/>
        <w:ind w:firstLineChars="200" w:firstLine="640"/>
        <w:jc w:val="lef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lastRenderedPageBreak/>
        <w:t>(二)项目支出情况</w:t>
      </w:r>
    </w:p>
    <w:p w:rsidR="002E0B78" w:rsidRPr="002F52D3" w:rsidRDefault="002F52D3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2F52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项目支出总计646.54万元，其中行政运行56.24万元；水体170万元；信访事务2万元；其他应急管理支出1.40万元；其他水利支出21万元；对村民委员会和村党支部的补助116.70万元；一般行政管理事务20万元；其他政府办公厅（室）及相关机构事务支出181.75万元；行政运行61.45万元；其他一般公共服务支出13万元；其他支出3万元。</w:t>
      </w:r>
    </w:p>
    <w:p w:rsidR="002E0B78" w:rsidRDefault="002F52D3">
      <w:pPr>
        <w:widowControl/>
        <w:numPr>
          <w:ilvl w:val="0"/>
          <w:numId w:val="2"/>
        </w:numPr>
        <w:spacing w:line="576" w:lineRule="exact"/>
        <w:ind w:firstLineChars="200" w:firstLine="640"/>
        <w:jc w:val="left"/>
        <w:rPr>
          <w:rFonts w:eastAsia="黑体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政府性基金预算支出情况</w:t>
      </w:r>
    </w:p>
    <w:p w:rsidR="002E0B78" w:rsidRPr="002F52D3" w:rsidRDefault="002F52D3" w:rsidP="002F52D3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2F52D3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政府性基金预算支出80.36万元，其中用于社会福利的彩票公益金支出24.80万元；用于其他社会公益事业的彩票公益金支出30万元；农村基础设施建设支出15.56万元；用于体育事业的彩票公益金支出10万元。</w:t>
      </w:r>
      <w:bookmarkStart w:id="0" w:name="_GoBack"/>
      <w:bookmarkEnd w:id="0"/>
    </w:p>
    <w:p w:rsidR="002E0B78" w:rsidRDefault="000819C6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</w:t>
      </w:r>
      <w:r w:rsidR="002F52D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、部门整体支出绩效情况</w:t>
      </w:r>
    </w:p>
    <w:p w:rsidR="000819C6" w:rsidRPr="000819C6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我单位2023年总收入2364.76万元，总计支出2364.76万元</w:t>
      </w:r>
      <w:r w:rsidR="006F5090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经济性分析：在支出执行方面，一是严格按预算执行；二是严格按支出政策标准执行；三是从严控制和降低行政运行经费支出，尤其是“三公”经费支出。</w:t>
      </w:r>
    </w:p>
    <w:p w:rsidR="000819C6" w:rsidRPr="000819C6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0819C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效率性分析：严格按照财经法规、制度和纪律执行相关支出事项。在各项工作费用支付中，尤其是干职工的津补贴、五险一金等人员经费支出能及时按进度保质保量完成。</w:t>
      </w:r>
    </w:p>
    <w:p w:rsidR="000819C6" w:rsidRPr="000819C6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0819C6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有效性分析：夯实基层力量，提高基层干部工作积极性，全面整合职能和资源，提升干部办事效率，优化服务质量；群众收入增加，幸福感提高。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可持续性分析：本镇人口多，地域面积较大，乡镇工作综合性强，需加大人力、资金投入。在脱贫攻坚与乡村振兴有效衔接阶段，结合本镇实际，抓住机遇，大力创新开发扶贫产业项目，改善农村环境，提高本镇人民生活质量，促进国民经济发展，完善村镇服务体系建设，促进城镇一体化进程。</w:t>
      </w:r>
    </w:p>
    <w:p w:rsidR="000819C6" w:rsidRPr="00E74436" w:rsidRDefault="000819C6" w:rsidP="00E74436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E744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五、</w:t>
      </w:r>
      <w:r w:rsidRPr="00E74436">
        <w:rPr>
          <w:rFonts w:ascii="黑体" w:eastAsia="黑体" w:hAnsi="黑体" w:cs="宋体"/>
          <w:color w:val="000000"/>
          <w:kern w:val="0"/>
          <w:sz w:val="32"/>
          <w:szCs w:val="32"/>
        </w:rPr>
        <w:t>绩效评价工作开展情况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（一）前期准备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确定绩效评价组成员。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（二）组织实施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（1）实施前期调研工作，听取相关人员情况介绍，充分了解评价项目有关情况。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（2）收集查阅与评价项目有关的政策及相关资料。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（3）根据项目预期绩效目标设定情况，审查有关对应的业务资料。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（4）根据项目预算安排情况，审查有关对应的收支财务资料。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（5）根据业务资料、财务资料、项目具体实施情况，对项目的完成程度、执行效益或质量做出评判。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（6）在现场评价的基础上，对照评价指标体系与标准，通过分析相关评价资料，对项目绩效情况进行综合性评判并利用算术平均法计算打分。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（7）形成绩效评价工作底稿。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（8）形成评价结论并撰写自评报告。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lastRenderedPageBreak/>
        <w:t>（三）分析评价</w:t>
      </w:r>
    </w:p>
    <w:p w:rsidR="000819C6" w:rsidRPr="00A759F5" w:rsidRDefault="000819C6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是脱贫攻坚成果持续巩固。不断提升“3+1”保障成果，落实结对帮扶监测对象2421户9114人，新增监测户7户26人，发放“教育助学”、“雨露计划”资金208.59万元，完成危房改造10户。二是产业帮扶精准扎实。立足本镇产业特色和优势，通过菲菲葛业、锐泰农林发展有限公司等本土企业开展委托帮扶2487户8144人，帮扶资金44.59万元；扶持283户监测对象发展小产业，补助资金19.91万元。三是人居环境不断改善。开展美丽庭院“六个一”建设，申报县级美丽屋场示范点6个，其中板溪、白沙溪2个村通过验收。开展农村问题厕所“回头看”，完成问题厕所整改276户。四是文化振兴激发活力。21个村（社区）全部完成“四个清单”并上墙，福泉村文化振兴引领乡村振兴示范村创建工作通过县级验收，文化振兴引领乡村振兴成效初显。全年开展春联义写、金鸡端午节包粽子比赛、董木溪月月乐文艺晚会、“蓝结家园”杯篮球赛、禁毒骑行宣传等各类文化活动共20余次，群众文娱生活方式不断丰富。</w:t>
      </w:r>
    </w:p>
    <w:p w:rsidR="002E0B78" w:rsidRDefault="000819C6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六</w:t>
      </w:r>
      <w:r w:rsidR="002F52D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、存在的问题及原因分析</w:t>
      </w:r>
    </w:p>
    <w:p w:rsidR="00DA2601" w:rsidRPr="00A759F5" w:rsidRDefault="00DA2601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（一）乡镇财政整体较为薄弱，村级集体收入较少；</w:t>
      </w:r>
    </w:p>
    <w:p w:rsidR="00DA2601" w:rsidRPr="00A759F5" w:rsidRDefault="00DA2601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（二）收入来源单一，主要靠上级补助收入；</w:t>
      </w:r>
    </w:p>
    <w:p w:rsidR="00DA2601" w:rsidRPr="00A759F5" w:rsidRDefault="00DA2601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（三）财政抵御风险能力差，收支平衡难度大，财政状况比较艰难；</w:t>
      </w:r>
    </w:p>
    <w:p w:rsidR="00DA2601" w:rsidRPr="00A759F5" w:rsidRDefault="00DA2601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（四）乡镇可自主支配收入不足；</w:t>
      </w:r>
    </w:p>
    <w:p w:rsidR="00DA2601" w:rsidRPr="00A759F5" w:rsidRDefault="00DA2601" w:rsidP="00A759F5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（五）支出绩效管理质量有待提高。</w:t>
      </w:r>
    </w:p>
    <w:p w:rsidR="002E0B78" w:rsidRDefault="00DA2601">
      <w:pPr>
        <w:widowControl/>
        <w:spacing w:line="576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七</w:t>
      </w:r>
      <w:r w:rsidR="002F52D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绩效自评结果拟应用和公开情况</w:t>
      </w:r>
    </w:p>
    <w:p w:rsidR="00DA2601" w:rsidRPr="00A759F5" w:rsidRDefault="00E74436" w:rsidP="00E74436">
      <w:pPr>
        <w:widowControl/>
        <w:spacing w:line="576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</w:t>
      </w:r>
      <w:r w:rsidR="00DA2601" w:rsidRPr="00A759F5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羊角塘镇涉农整合资金在使用上严格履行报批手续，专款专用，不虚列、挪用、挤占项目资金。</w:t>
      </w:r>
    </w:p>
    <w:p w:rsidR="002E0B78" w:rsidRDefault="002F52D3">
      <w:r>
        <w:rPr>
          <w:rFonts w:eastAsia="Times New Roman"/>
          <w:kern w:val="0"/>
          <w:sz w:val="22"/>
        </w:rPr>
        <w:br w:type="page"/>
      </w:r>
    </w:p>
    <w:sectPr w:rsidR="002E0B78" w:rsidSect="002E0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9C6" w:rsidRDefault="000819C6" w:rsidP="002F52D3">
      <w:r>
        <w:separator/>
      </w:r>
    </w:p>
  </w:endnote>
  <w:endnote w:type="continuationSeparator" w:id="1">
    <w:p w:rsidR="000819C6" w:rsidRDefault="000819C6" w:rsidP="002F5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9C6" w:rsidRDefault="000819C6" w:rsidP="002F52D3">
      <w:r>
        <w:separator/>
      </w:r>
    </w:p>
  </w:footnote>
  <w:footnote w:type="continuationSeparator" w:id="1">
    <w:p w:rsidR="000819C6" w:rsidRDefault="000819C6" w:rsidP="002F5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49FF"/>
    <w:multiLevelType w:val="singleLevel"/>
    <w:tmpl w:val="2A5349FF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4A215A8C"/>
    <w:multiLevelType w:val="singleLevel"/>
    <w:tmpl w:val="4A215A8C"/>
    <w:lvl w:ilvl="0">
      <w:start w:val="3"/>
      <w:numFmt w:val="chineseCounting"/>
      <w:suff w:val="nothing"/>
      <w:lvlText w:val="%1、"/>
      <w:lvlJc w:val="left"/>
      <w:rPr>
        <w:rFonts w:ascii="黑体" w:eastAsia="黑体" w:hAnsi="黑体" w:cs="黑体" w:hint="eastAsia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A4NDNjMmMwYWNkOTA1ODZhZGY3YjE4YmE3N2YwZTEifQ=="/>
  </w:docVars>
  <w:rsids>
    <w:rsidRoot w:val="002E0B78"/>
    <w:rsid w:val="000819C6"/>
    <w:rsid w:val="002E0B78"/>
    <w:rsid w:val="002F52D3"/>
    <w:rsid w:val="00582273"/>
    <w:rsid w:val="006F5090"/>
    <w:rsid w:val="009E5227"/>
    <w:rsid w:val="00A759F5"/>
    <w:rsid w:val="00B04008"/>
    <w:rsid w:val="00DA2601"/>
    <w:rsid w:val="00E74436"/>
    <w:rsid w:val="6A527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semiHidden="1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2E0B7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99"/>
    <w:semiHidden/>
    <w:qFormat/>
    <w:rsid w:val="002E0B78"/>
    <w:rPr>
      <w:rFonts w:ascii="黑体" w:eastAsia="黑体" w:hAnsi="黑体" w:cs="黑体"/>
    </w:rPr>
  </w:style>
  <w:style w:type="paragraph" w:styleId="a3">
    <w:name w:val="header"/>
    <w:basedOn w:val="a"/>
    <w:link w:val="Char"/>
    <w:rsid w:val="002F5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F52D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2F5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F52D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Normal (Web)"/>
    <w:basedOn w:val="a"/>
    <w:rsid w:val="000819C6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1892</Words>
  <Characters>265</Characters>
  <Application>Microsoft Office Word</Application>
  <DocSecurity>0</DocSecurity>
  <Lines>2</Lines>
  <Paragraphs>4</Paragraphs>
  <ScaleCrop>false</ScaleCrop>
  <Company>sumstrong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70101007</cp:lastModifiedBy>
  <cp:revision>5</cp:revision>
  <cp:lastPrinted>2024-06-28T03:34:00Z</cp:lastPrinted>
  <dcterms:created xsi:type="dcterms:W3CDTF">2014-10-29T12:08:00Z</dcterms:created>
  <dcterms:modified xsi:type="dcterms:W3CDTF">2024-06-28T03:35:00Z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6AAAD6D304684A1B9C251854576E9BD9_12</vt:lpwstr>
  </property>
</Properties>
</file>