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8472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</w:t>
      </w:r>
    </w:p>
    <w:p w14:paraId="1D066B8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57BB3764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1F62AAFF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7347A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2023年度安化县冷市镇人民政府</w:t>
      </w:r>
    </w:p>
    <w:p w14:paraId="1BB9B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整体支出</w:t>
      </w: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绩效自评报告</w:t>
      </w:r>
    </w:p>
    <w:p w14:paraId="259CC34B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0A63115"/>
    <w:p w14:paraId="23DC1C5C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1FCF5A19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BA370F2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23F8E7A8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427B930">
      <w:pPr>
        <w:pStyle w:val="5"/>
      </w:pPr>
    </w:p>
    <w:p w14:paraId="311F1E4D"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70454183">
      <w:pPr>
        <w:widowControl/>
        <w:jc w:val="center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安化县冷市镇人民政府</w:t>
      </w:r>
    </w:p>
    <w:p w14:paraId="364D5A88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06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19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日</w:t>
      </w:r>
    </w:p>
    <w:p w14:paraId="71866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 w14:paraId="73BD3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  <w:t>安化县冷市镇人民政府</w:t>
      </w:r>
    </w:p>
    <w:p w14:paraId="25A9E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 w14:paraId="206A6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20C11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 w14:paraId="59260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落实国家政策，严格依法行政，发挥经济管理职能，加强政策引导，制定发展规划，服务市场主体和营造发展环境，搞好市场监管，大力促进社会事业发展，发展镇村经济、文化和社会事业，提供公共服务，维护社会稳定，构建社会主义和谐社会。</w:t>
      </w:r>
    </w:p>
    <w:p w14:paraId="6C914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1、执行本级人民代表大会的决议和上级国家行政机关的决定和命令，发布决定和命令；</w:t>
      </w:r>
    </w:p>
    <w:p w14:paraId="4249D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2、执行本行政区域内的经济和社会发展计划、预算，管理本行政区域内的经济、教育、科学、文化、卫生、体育事业和财政、民政、公安、司法行政、计划生育等行政工作；</w:t>
      </w:r>
    </w:p>
    <w:p w14:paraId="7664D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3、保护社会主义的全民所有的财产和劳动群众集体所有的财产，保护公民私人所有的合法财产，维护社会秩序，保障公民的人身权利、民主权利和其他权利；</w:t>
      </w:r>
    </w:p>
    <w:p w14:paraId="5DC81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4、保护各种经济组织的合法权益；</w:t>
      </w:r>
    </w:p>
    <w:p w14:paraId="7CA68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5、保障少数民族的权利和尊重少数民族的风俗习惯；</w:t>
      </w:r>
    </w:p>
    <w:p w14:paraId="20CFC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6、办理上级人民政府交办的其他事项。</w:t>
      </w:r>
    </w:p>
    <w:p w14:paraId="0AB67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 w14:paraId="03817F0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2023年度整体支出总额2120.69万元，其中财政拨款收入2120.69万元，占总收入的100%。主要内容和涉及范围：人员经费包括基本工资、津贴补贴、奖金、其他社会保障缴费、退休费生活补助、住房公积金等；日常公用经费包括办公费、差旅费、培训费、公务接待费、劳务费、工会经费、福利费、公务用车运行维护费、其他交通费用、其他商品和服务支出等；项目支出主要包括其他对个人和家庭的补助支出、办公费、印刷费、邮电费、差旅费、维修（护）费、会议费、培训费、公务接待费、劳务费、委托业务费、公务用车运行维护费、其他交通费、其他商品和服务支出、办公设备购置。涉及人员经费、保障基本运转、开展各项专项业务工作、精准扶贫、党建所发生的全部支出。</w:t>
      </w:r>
    </w:p>
    <w:p w14:paraId="68067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75D3A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33DBF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基本支出1248.89万元，是为保障各部门正常运转、完成日常工作任务而发生的各项支出，主要包括工资福利支出1064.4万元，商品和服务支出147.16万元，对个人和家庭支出37.33万元。</w:t>
      </w:r>
    </w:p>
    <w:p w14:paraId="7685E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“三公”经费支出情况：2023年，“三公”经费完成27.58万元，比上年减少3.88元，主要原因是：厉行节约严控公用经费</w:t>
      </w:r>
      <w:r>
        <w:rPr>
          <w:rFonts w:hint="eastAsia" w:ascii="仿宋" w:hAnsi="仿宋" w:eastAsia="仿宋"/>
          <w:sz w:val="32"/>
          <w:szCs w:val="24"/>
        </w:rPr>
        <w:t>，公务接待费有所减少，</w:t>
      </w:r>
      <w:r>
        <w:rPr>
          <w:rFonts w:hint="eastAsia" w:ascii="仿宋" w:hAnsi="仿宋" w:eastAsia="仿宋"/>
          <w:sz w:val="32"/>
          <w:szCs w:val="24"/>
          <w:lang w:eastAsia="zh-CN"/>
        </w:rPr>
        <w:t>无公车购置费，</w:t>
      </w:r>
      <w:r>
        <w:rPr>
          <w:rFonts w:hint="eastAsia" w:ascii="仿宋" w:hAnsi="仿宋" w:eastAsia="仿宋"/>
          <w:sz w:val="32"/>
          <w:szCs w:val="24"/>
        </w:rPr>
        <w:t>按照预算指标数列支公务用车运行维护费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。其中，公务接待费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完成22.95万元，比上年减少3.51万元；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公务用车购置及运行维护费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完成4.63万元，比上年减少0.37万元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 w14:paraId="2D3F4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49145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项目支出871.81万元，包含：</w:t>
      </w:r>
      <w:r>
        <w:rPr>
          <w:rFonts w:hint="eastAsia" w:ascii="仿宋_GB2312" w:eastAsia="仿宋_GB2312"/>
          <w:sz w:val="32"/>
          <w:szCs w:val="32"/>
          <w:lang w:eastAsia="zh-CN"/>
        </w:rPr>
        <w:t>业务工作</w:t>
      </w:r>
      <w:r>
        <w:rPr>
          <w:rFonts w:hint="eastAsia" w:ascii="仿宋_GB2312" w:eastAsia="仿宋_GB2312"/>
          <w:sz w:val="32"/>
          <w:szCs w:val="32"/>
        </w:rPr>
        <w:t>经费</w:t>
      </w:r>
      <w:r>
        <w:rPr>
          <w:rFonts w:hint="eastAsia" w:ascii="仿宋_GB2312" w:eastAsia="仿宋_GB2312"/>
          <w:sz w:val="32"/>
          <w:szCs w:val="32"/>
          <w:lang w:eastAsia="zh-CN"/>
        </w:rPr>
        <w:t>以及运行维护经费、柘溪冲河堤修复、思模溪河堤修复工程建设等。其中一般公共预算财政拨款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816.81万元，政府性基金预算财政拨款55万元。</w:t>
      </w:r>
    </w:p>
    <w:p w14:paraId="75EC80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70D39C70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55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  <w:lang w:eastAsia="zh-CN"/>
        </w:rPr>
        <w:t>其中包含：柘溪冲河堤修复、思模溪河堤修复工程款支出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  <w:lang w:val="en-US" w:eastAsia="zh-CN"/>
        </w:rPr>
        <w:t>40万元，2022年度中央专项彩票公益金支出15万元。</w:t>
      </w:r>
    </w:p>
    <w:p w14:paraId="414640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2231DFB3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 w14:paraId="4675B0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4D3BC260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 w14:paraId="3CE7E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38786B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2023年度支出总额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2120.69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万元，其中基本支出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1248.89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万元，基本支出保障了单位正常运转的日常支出，包括基本工资、津贴补贴等人员经费以及办公费、水电费、差旅费等日常公用经费；项目支出金额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871.81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万元，项目支出主要用于水利支出、农田建设等支出，包括办公费、印刷费、邮电费、差旅费、租赁费、会议费、劳务费及其他对企业补助等。</w:t>
      </w:r>
    </w:p>
    <w:p w14:paraId="562B9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1BECF0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（1）预算绩效观念不深入。我镇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在日常财务工作中存在着一定程度的“重分配、轻管理、重支出、轻绩效”的情况，造成该问题的主要原因是自身绩效理念较薄弱，单位绩效目标编制仍有缺失，需要进一步加强对资金绩效管理的重视程度</w:t>
      </w:r>
    </w:p>
    <w:p w14:paraId="5D43C6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2）预算绩效规范管理有盲点。在市财政逐步加强绩效管理的情况下，我镇财务人员面对当前绩效管理工作既没有现成的经验可供借鉴，又缺乏专业性很强的技能储备，只能是边工作、边学习、边积累，短期内部分工作只能停留在表面，难以做到程序规范、管理科学，难以满足当前绩效管理要求。</w:t>
      </w:r>
    </w:p>
    <w:p w14:paraId="217F7C8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2908D7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进一步增强绩效管理理念。在管理和使用预算资金的过程中，我镇将更加突出资金使用绩效，做到“花钱必问效”。加强与财政绩效科的沟通协调，按照绩效评价原则，开展资金安全性、规范性的监督，确保专项资金的使用符合绩效管理要求。</w:t>
      </w:r>
    </w:p>
    <w:p w14:paraId="6831B2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2）进一步加强财务素养和专业技能培训。我镇希望县财政局相关科室，针对预算资金绩效管理和相关法律法规，对全县乡镇财务人员开展培训，学习预算绩效管理的法律法规、规范要求，让绩效理念深入人心、让绩效管理人员熟知政策、知行合一。</w:t>
      </w:r>
    </w:p>
    <w:p w14:paraId="0D282B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今后工作中，按照预算规定的项目和用途严格财务审计，经费支出严格按预算规定项目的财务支出内容进行财务预算，在预算金额内严控费用支出。推动建立过紧日子的长效机制。推进预算一体化系统建设，使预算管理水平更上台阶。</w:t>
      </w:r>
    </w:p>
    <w:p w14:paraId="1D8E193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3E0F4A5D">
      <w:pPr>
        <w:pStyle w:val="2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 w14:paraId="5AFD5637"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618679C7"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mQ5Y2MzMGVhMDY4NDkwNTBhM2FiMTI1OTFmZTEifQ=="/>
  </w:docVars>
  <w:rsids>
    <w:rsidRoot w:val="6D445020"/>
    <w:rsid w:val="14FF1319"/>
    <w:rsid w:val="257D691C"/>
    <w:rsid w:val="2CF92AD5"/>
    <w:rsid w:val="33357B76"/>
    <w:rsid w:val="3D064178"/>
    <w:rsid w:val="400652A5"/>
    <w:rsid w:val="53246BC3"/>
    <w:rsid w:val="64B56C4A"/>
    <w:rsid w:val="6D445020"/>
    <w:rsid w:val="720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toc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1914</Words>
  <Characters>2036</Characters>
  <Lines>0</Lines>
  <Paragraphs>0</Paragraphs>
  <TotalTime>14</TotalTime>
  <ScaleCrop>false</ScaleCrop>
  <LinksUpToDate>false</LinksUpToDate>
  <CharactersWithSpaces>2055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啊斌</cp:lastModifiedBy>
  <dcterms:modified xsi:type="dcterms:W3CDTF">2024-06-27T11:44:03Z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37E919AC1AEC4A9CB1195B599D3B0FCA_13</vt:lpwstr>
  </property>
</Properties>
</file>