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3639" w:leftChars="247" w:hanging="3120" w:hangingChars="600"/>
        <w:jc w:val="both"/>
        <w:textAlignment w:val="auto"/>
        <w:rPr>
          <w:rFonts w:hint="eastAsia" w:ascii="华文楷体" w:hAnsi="华文楷体" w:eastAsia="华文楷体" w:cs="华文楷体"/>
          <w:bCs/>
          <w:kern w:val="0"/>
          <w:sz w:val="52"/>
          <w:szCs w:val="52"/>
        </w:rPr>
      </w:pP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>2023年度清塘铺镇中心卫生院</w:t>
      </w:r>
      <w:r>
        <w:rPr>
          <w:rFonts w:hint="eastAsia" w:ascii="微软雅黑" w:hAnsi="微软雅黑" w:eastAsia="微软雅黑" w:cs="微软雅黑"/>
          <w:sz w:val="52"/>
          <w:szCs w:val="52"/>
        </w:rPr>
        <w:t>整体支出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绩效自评报告</w:t>
      </w:r>
    </w:p>
    <w:p>
      <w:pPr>
        <w:widowControl/>
        <w:ind w:firstLine="361" w:firstLineChars="100"/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/>
    <w:p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>
      <w:pPr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>
      <w:pPr>
        <w:pStyle w:val="7"/>
      </w:pPr>
    </w:p>
    <w:p>
      <w:pPr>
        <w:widowControl/>
        <w:ind w:firstLine="361" w:firstLineChars="100"/>
        <w:rPr>
          <w:rFonts w:hint="eastAsia" w:ascii="楷体" w:hAnsi="楷体" w:eastAsia="楷体" w:cs="楷体"/>
          <w:b/>
          <w:bCs/>
          <w:kern w:val="0"/>
          <w:sz w:val="36"/>
          <w:szCs w:val="36"/>
        </w:rPr>
      </w:pPr>
    </w:p>
    <w:p>
      <w:pPr>
        <w:widowControl/>
        <w:ind w:firstLine="360" w:firstLineChars="100"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</w:rPr>
        <w:t>：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eastAsia="zh-CN"/>
        </w:rPr>
        <w:t>安化县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val="en-US" w:eastAsia="zh-CN"/>
        </w:rPr>
        <w:t>清塘铺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eastAsia="zh-CN"/>
        </w:rPr>
        <w:t>镇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val="en-US" w:eastAsia="zh-CN"/>
        </w:rPr>
        <w:t>中心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eastAsia="zh-CN"/>
        </w:rPr>
        <w:t>卫生院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  <w:t xml:space="preserve"> </w:t>
      </w:r>
    </w:p>
    <w:p>
      <w:pPr>
        <w:widowControl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2024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 月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14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日</w:t>
      </w:r>
    </w:p>
    <w:p>
      <w:pPr>
        <w:jc w:val="center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2023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年度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清塘铺镇中心卫生院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整体支出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(一)2023年度重点工作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：负责本乡镇的基本医疗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服务、突发公共卫生事件的报告并依据上级部门要求组织实施处置，对本乡镇辖区内村级卫生组织和乡村医生的业务指导和培训，承办政府卫生行政部门委托的相关业务或事项等。本年目标：诊疗人次50000人次，出院3000人次，疫苗接种10000人次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(二)部门整体支出规模、使用方向、主要内容和涉及范围。</w:t>
      </w:r>
    </w:p>
    <w:p>
      <w:pPr>
        <w:pStyle w:val="16"/>
        <w:ind w:firstLine="640" w:firstLineChars="200"/>
        <w:rPr>
          <w:rFonts w:hint="eastAsia" w:ascii="仿宋" w:hAnsi="仿宋" w:eastAsia="楷体_GB2312" w:cs="Arial"/>
          <w:kern w:val="2"/>
          <w:sz w:val="32"/>
          <w:szCs w:val="32"/>
        </w:rPr>
      </w:pPr>
      <w:r>
        <w:rPr>
          <w:rFonts w:ascii="仿宋" w:hAnsi="仿宋" w:eastAsia="楷体_GB2312" w:cs="Arial"/>
          <w:kern w:val="2"/>
          <w:sz w:val="32"/>
          <w:szCs w:val="32"/>
        </w:rPr>
        <w:t>20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2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3</w:t>
      </w:r>
      <w:r>
        <w:rPr>
          <w:rFonts w:ascii="仿宋" w:hAnsi="仿宋" w:eastAsia="楷体_GB2312" w:cs="Arial"/>
          <w:kern w:val="2"/>
          <w:sz w:val="32"/>
          <w:szCs w:val="32"/>
        </w:rPr>
        <w:t>年</w:t>
      </w:r>
      <w:r>
        <w:rPr>
          <w:rFonts w:hint="eastAsia" w:ascii="仿宋" w:hAnsi="仿宋" w:eastAsia="楷体_GB2312" w:cs="Arial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本年收入合计2864.98</w:t>
      </w:r>
      <w:r>
        <w:rPr>
          <w:rFonts w:ascii="仿宋" w:hAnsi="仿宋" w:eastAsia="楷体_GB2312" w:cs="Arial"/>
          <w:kern w:val="2"/>
          <w:sz w:val="32"/>
          <w:szCs w:val="32"/>
        </w:rPr>
        <w:t>万元， 其中：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财政拨款收入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986.19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万元，占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34.42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%；事业收入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1597.81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万元，占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55.77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%</w:t>
      </w:r>
      <w:r>
        <w:rPr>
          <w:rFonts w:hint="eastAsia" w:ascii="仿宋" w:hAnsi="仿宋" w:eastAsia="楷体_GB2312" w:cs="Arial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其他收入280.98万元，占9.81%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。</w:t>
      </w:r>
    </w:p>
    <w:p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</w:rPr>
        <w:t>本年支出合计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2864.98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万元，其中：</w:t>
      </w:r>
      <w:r>
        <w:rPr>
          <w:rFonts w:ascii="仿宋" w:hAnsi="仿宋" w:eastAsia="楷体_GB2312" w:cs="Arial"/>
          <w:kern w:val="2"/>
          <w:sz w:val="32"/>
          <w:szCs w:val="32"/>
        </w:rPr>
        <w:t>项目支出资金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0</w:t>
      </w:r>
      <w:r>
        <w:rPr>
          <w:rFonts w:ascii="仿宋" w:hAnsi="仿宋" w:eastAsia="楷体_GB2312" w:cs="Arial"/>
          <w:kern w:val="2"/>
          <w:sz w:val="32"/>
          <w:szCs w:val="32"/>
        </w:rPr>
        <w:t>万元</w:t>
      </w:r>
      <w:r>
        <w:rPr>
          <w:rFonts w:hint="eastAsia" w:ascii="仿宋" w:hAnsi="仿宋" w:eastAsia="楷体_GB2312" w:cs="Arial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基本支出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2864.98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万元，占100%。</w:t>
      </w:r>
    </w:p>
    <w:p>
      <w:pPr>
        <w:widowControl/>
        <w:ind w:firstLine="482"/>
        <w:rPr>
          <w:rFonts w:ascii="仿宋" w:hAnsi="仿宋" w:eastAsia="楷体_GB2312" w:cs="Arial"/>
          <w:color w:val="000000"/>
          <w:sz w:val="32"/>
          <w:szCs w:val="32"/>
        </w:rPr>
      </w:pPr>
      <w:r>
        <w:rPr>
          <w:rFonts w:ascii="仿宋" w:hAnsi="仿宋" w:eastAsia="楷体_GB2312" w:cs="Arial"/>
          <w:color w:val="000000"/>
          <w:sz w:val="32"/>
          <w:szCs w:val="32"/>
        </w:rPr>
        <w:t>按经济科目划分，各项支出金额分别为：工资福利支出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1480.06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51.66</w:t>
      </w:r>
      <w:r>
        <w:rPr>
          <w:rFonts w:ascii="仿宋" w:hAnsi="仿宋" w:eastAsia="楷体_GB2312" w:cs="Arial"/>
          <w:color w:val="000000"/>
          <w:sz w:val="32"/>
          <w:szCs w:val="32"/>
        </w:rPr>
        <w:t>%；商品和服务支出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1356.84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47.36</w:t>
      </w:r>
      <w:r>
        <w:rPr>
          <w:rFonts w:ascii="仿宋" w:hAnsi="仿宋" w:eastAsia="楷体_GB2312" w:cs="Arial"/>
          <w:color w:val="000000"/>
          <w:sz w:val="32"/>
          <w:szCs w:val="32"/>
        </w:rPr>
        <w:t>%；对个人和家庭的补助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14.58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0.51</w:t>
      </w:r>
      <w:r>
        <w:rPr>
          <w:rFonts w:ascii="仿宋" w:hAnsi="仿宋" w:eastAsia="楷体_GB2312" w:cs="Arial"/>
          <w:color w:val="000000"/>
          <w:sz w:val="32"/>
          <w:szCs w:val="32"/>
        </w:rPr>
        <w:t>%；资本性支出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13.5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0.47</w:t>
      </w:r>
      <w:r>
        <w:rPr>
          <w:rFonts w:ascii="仿宋" w:hAnsi="仿宋" w:eastAsia="楷体_GB2312" w:cs="Arial"/>
          <w:color w:val="000000"/>
          <w:sz w:val="32"/>
          <w:szCs w:val="32"/>
        </w:rPr>
        <w:t>%；其他支出0万元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，</w:t>
      </w:r>
      <w:r>
        <w:rPr>
          <w:rFonts w:ascii="仿宋" w:hAnsi="仿宋" w:eastAsia="楷体_GB2312" w:cs="Arial"/>
          <w:color w:val="000000"/>
          <w:sz w:val="32"/>
          <w:szCs w:val="32"/>
        </w:rPr>
        <w:t>当年收支平衡。</w:t>
      </w:r>
    </w:p>
    <w:p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绩效目标设立情况，主要包括部门中长期绩效目标和年度绩效目标。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(一)基本支出情况</w:t>
      </w:r>
    </w:p>
    <w:p>
      <w:pPr>
        <w:widowControl/>
        <w:shd w:val="clear" w:color="auto" w:fill="FFFFFF"/>
        <w:ind w:firstLine="652"/>
        <w:jc w:val="left"/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</w:pP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本单位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  <w:t>20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  <w:t>年一般公共预算基本支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2864.98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  <w:t>万元。</w:t>
      </w:r>
    </w:p>
    <w:p>
      <w:pPr>
        <w:widowControl/>
        <w:shd w:val="clear" w:color="auto" w:fill="FFFFFF"/>
        <w:ind w:firstLine="652"/>
        <w:jc w:val="left"/>
        <w:rPr>
          <w:rFonts w:ascii="仿宋" w:hAnsi="仿宋" w:eastAsia="楷体_GB2312" w:cs="宋体"/>
          <w:color w:val="535353"/>
          <w:spacing w:val="7"/>
          <w:kern w:val="0"/>
          <w:sz w:val="32"/>
          <w:szCs w:val="32"/>
        </w:rPr>
      </w:pP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  <w:t>其中：</w:t>
      </w:r>
    </w:p>
    <w:p>
      <w:pPr>
        <w:widowControl/>
        <w:shd w:val="clear" w:color="auto" w:fill="FFFFFF"/>
        <w:ind w:firstLine="652"/>
        <w:jc w:val="left"/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</w:pP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工资福利支出1480.06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  <w:t>万元，主要包括：基本工资、津贴补贴、奖金、离休费、退休费、生活补助、医疗费、奖励金、住房公积金、提租补贴、购房补贴等；</w:t>
      </w:r>
    </w:p>
    <w:p>
      <w:pPr>
        <w:widowControl/>
        <w:shd w:val="clear" w:color="auto" w:fill="FFFFFF"/>
        <w:ind w:firstLine="652"/>
        <w:jc w:val="left"/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eastAsia="zh-CN"/>
        </w:rPr>
      </w:pP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商品和服务支出1356.84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</w:rPr>
        <w:t>万元，主要包括：办公费、印刷费、水费、电费、邮电费、取暖费、物业管理费、差旅费、维修（护）费、大型修缮费、会议费、培训费、公务接待费、专用材料费、劳务费、工会经费、福利费、公务用车运行维护费、其他交通费、其他商品和服务支出等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eastAsia="zh-CN"/>
        </w:rPr>
        <w:t>；</w:t>
      </w:r>
    </w:p>
    <w:p>
      <w:pPr>
        <w:widowControl/>
        <w:shd w:val="clear" w:color="auto" w:fill="FFFFFF"/>
        <w:ind w:firstLine="652"/>
        <w:jc w:val="left"/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eastAsia="zh-CN"/>
        </w:rPr>
        <w:t>对个人和家庭的补助支出</w:t>
      </w: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14.58万元，主要包括退休人员的抚恤金、独生子女奖励、生活补助及其他对个人和家庭的补助支出等；</w:t>
      </w:r>
    </w:p>
    <w:p>
      <w:pPr>
        <w:widowControl/>
        <w:shd w:val="clear" w:color="auto" w:fill="FFFFFF"/>
        <w:ind w:firstLine="652"/>
        <w:jc w:val="left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楷体_GB2312" w:cs="宋体"/>
          <w:color w:val="535353"/>
          <w:spacing w:val="7"/>
          <w:kern w:val="0"/>
          <w:sz w:val="32"/>
          <w:szCs w:val="32"/>
          <w:lang w:val="en-US" w:eastAsia="zh-CN"/>
        </w:rPr>
        <w:t>资本性支出13.5万元，主要包括房屋建设、办公及专用设备购置、网络及软件购置及更新等。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(二)项目支出情况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三、政府性基金预算支出情况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黑体" w:hAnsi="黑体" w:eastAsia="楷体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楷体_GB2312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四、国有资本经营预算支出情况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五、社会保险基金预算支出情况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部门整体支出绩效情况</w:t>
      </w:r>
    </w:p>
    <w:p>
      <w:pPr>
        <w:widowControl/>
        <w:spacing w:line="594" w:lineRule="exact"/>
        <w:ind w:firstLine="640" w:firstLineChars="200"/>
        <w:rPr>
          <w:rFonts w:hint="eastAsia" w:eastAsia="楷体_GB2312"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作为基层医疗服务机构，主要职能：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负责本乡镇的基本医疗服务，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提供健康教育、预防保健等公共卫生服务。</w:t>
      </w:r>
    </w:p>
    <w:p>
      <w:pPr>
        <w:widowControl/>
        <w:spacing w:line="594" w:lineRule="exact"/>
        <w:ind w:firstLine="640" w:firstLineChars="200"/>
        <w:rPr>
          <w:rFonts w:hint="eastAsia" w:eastAsia="楷体_GB2312"/>
          <w:kern w:val="0"/>
          <w:sz w:val="32"/>
          <w:szCs w:val="32"/>
          <w:lang w:eastAsia="zh-CN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2023年度本单位的支出主要是基本支出2864.98万元，按支出性质和经济分类分为人员经费和公用经费，人员经费1494.64万元，占52.17%，公用经费1370.34万元，占47.83%。主要保障机构的正常运转和完成日常工作任务。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存在的问题及原因分析</w:t>
      </w:r>
    </w:p>
    <w:p>
      <w:pPr>
        <w:widowControl/>
        <w:spacing w:line="594" w:lineRule="exact"/>
        <w:ind w:firstLine="640" w:firstLineChars="200"/>
        <w:rPr>
          <w:rFonts w:hint="eastAsia"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一是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自评指标单一化</w:t>
      </w:r>
      <w:r>
        <w:rPr>
          <w:rFonts w:hint="eastAsia" w:eastAsia="楷体_GB2312"/>
          <w:kern w:val="0"/>
          <w:sz w:val="32"/>
          <w:szCs w:val="32"/>
        </w:rPr>
        <w:t>。单位在进行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绩效自评时，经验不足，评价不够全面</w:t>
      </w:r>
      <w:r>
        <w:rPr>
          <w:rFonts w:hint="eastAsia" w:eastAsia="楷体_GB2312"/>
          <w:kern w:val="0"/>
          <w:sz w:val="32"/>
          <w:szCs w:val="32"/>
        </w:rPr>
        <w:t>。</w:t>
      </w:r>
    </w:p>
    <w:p>
      <w:pPr>
        <w:widowControl/>
        <w:spacing w:line="594" w:lineRule="exact"/>
        <w:ind w:firstLine="640" w:firstLineChars="200"/>
        <w:rPr>
          <w:rFonts w:hint="default" w:eastAsia="楷体_GB2312"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二是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缺乏持续改进的动力</w:t>
      </w:r>
      <w:r>
        <w:rPr>
          <w:rFonts w:hint="eastAsia" w:eastAsia="楷体_GB2312"/>
          <w:kern w:val="0"/>
          <w:sz w:val="32"/>
          <w:szCs w:val="32"/>
          <w:lang w:eastAsia="zh-CN"/>
        </w:rPr>
        <w:t>。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绩效自评往往停留在对过去工作的总结上，缺乏对未来工作的规划和持续改进的动力。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八、下一步改进措施</w:t>
      </w:r>
      <w:bookmarkStart w:id="0" w:name="_GoBack"/>
      <w:bookmarkEnd w:id="0"/>
    </w:p>
    <w:p>
      <w:pPr>
        <w:widowControl/>
        <w:numPr>
          <w:ilvl w:val="0"/>
          <w:numId w:val="2"/>
        </w:numPr>
        <w:spacing w:line="594" w:lineRule="exact"/>
        <w:ind w:left="0" w:leftChars="0" w:firstLine="640" w:firstLineChars="200"/>
        <w:rPr>
          <w:rFonts w:hint="eastAsia"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加强绩效自评的科学性和合理性</w:t>
      </w:r>
      <w:r>
        <w:rPr>
          <w:rFonts w:hint="eastAsia" w:eastAsia="楷体_GB2312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594" w:lineRule="exact"/>
        <w:ind w:firstLine="640" w:firstLineChars="200"/>
        <w:rPr>
          <w:rFonts w:hint="eastAsia" w:ascii="黑体" w:hAnsi="黑体" w:eastAsia="楷体_GB2312" w:cs="宋体"/>
          <w:color w:val="000000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</w:rPr>
        <w:t>（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楷体_GB2312"/>
          <w:kern w:val="0"/>
          <w:sz w:val="32"/>
          <w:szCs w:val="32"/>
        </w:rPr>
        <w:t>）加强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对自评结果的</w:t>
      </w:r>
      <w:r>
        <w:rPr>
          <w:rFonts w:hint="eastAsia" w:eastAsia="楷体_GB2312"/>
          <w:kern w:val="0"/>
          <w:sz w:val="32"/>
          <w:szCs w:val="32"/>
        </w:rPr>
        <w:t>监督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和评估</w:t>
      </w:r>
      <w:r>
        <w:rPr>
          <w:rFonts w:hint="eastAsia" w:eastAsia="楷体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同意公开。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其他需要说明的情况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无</w:t>
      </w:r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C92BF47-683B-4A52-A43C-BAA9F683AB5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F776F80-2101-4276-AF77-1280D9F090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52712C45-9AAD-42A9-AC1F-98EDDF47C88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4" w:fontKey="{83840B6B-AE11-496B-AA88-38D159CC992B}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9C768E72-2554-4AFB-B23A-03D998738775}"/>
  </w:font>
  <w:font w:name="楷体_GB2312">
    <w:panose1 w:val="02010609030101010101"/>
    <w:charset w:val="00"/>
    <w:family w:val="auto"/>
    <w:pitch w:val="default"/>
    <w:sig w:usb0="00000000" w:usb1="00000000" w:usb2="00000000" w:usb3="00000000" w:csb0="00000000" w:csb1="00000000"/>
    <w:embedRegular r:id="rId6" w:fontKey="{F4C7BA09-9D20-4879-B6C5-7D119212436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49CF4395-812F-4FFA-9917-D87BB22FDC2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92D559EE-C78D-46D2-828E-FE96EACAB43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2BAB8C87-413B-4A66-8985-3264750815BB}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10" w:fontKey="{0E822A5A-B1B7-471A-A2F6-CF86696321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EA3FF"/>
    <w:multiLevelType w:val="singleLevel"/>
    <w:tmpl w:val="DF5EA3FF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CDC6DC"/>
    <w:multiLevelType w:val="singleLevel"/>
    <w:tmpl w:val="E4CDC6D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7DDA0CF"/>
    <w:multiLevelType w:val="singleLevel"/>
    <w:tmpl w:val="17DDA0C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zA2YmZkMWI5Y2E3NDQ5NWQ4MDIxYjVmZTM0OGQifQ=="/>
    <w:docVar w:name="KSO_WPS_MARK_KEY" w:val="efdb9831-49e2-41f3-897e-affe4bfc1ef8"/>
  </w:docVars>
  <w:rsids>
    <w:rsidRoot w:val="5EF91413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2E230B9"/>
    <w:rsid w:val="07E45539"/>
    <w:rsid w:val="09395B0D"/>
    <w:rsid w:val="095202B3"/>
    <w:rsid w:val="0A371C48"/>
    <w:rsid w:val="0A461E15"/>
    <w:rsid w:val="0D1F294F"/>
    <w:rsid w:val="0ED72696"/>
    <w:rsid w:val="127960C2"/>
    <w:rsid w:val="128706BB"/>
    <w:rsid w:val="128C289E"/>
    <w:rsid w:val="13F1430E"/>
    <w:rsid w:val="15E118C5"/>
    <w:rsid w:val="164B78E0"/>
    <w:rsid w:val="18C44B05"/>
    <w:rsid w:val="1921258C"/>
    <w:rsid w:val="1A86539E"/>
    <w:rsid w:val="1B6242B1"/>
    <w:rsid w:val="1D514A07"/>
    <w:rsid w:val="1D736768"/>
    <w:rsid w:val="1E02384E"/>
    <w:rsid w:val="1E2D7B42"/>
    <w:rsid w:val="1F6367C1"/>
    <w:rsid w:val="202355A8"/>
    <w:rsid w:val="204505AD"/>
    <w:rsid w:val="204B4B47"/>
    <w:rsid w:val="216A31A0"/>
    <w:rsid w:val="21887F99"/>
    <w:rsid w:val="21F32188"/>
    <w:rsid w:val="229365CD"/>
    <w:rsid w:val="22E7596F"/>
    <w:rsid w:val="2605582B"/>
    <w:rsid w:val="27666297"/>
    <w:rsid w:val="28264A04"/>
    <w:rsid w:val="283861F4"/>
    <w:rsid w:val="2B8F395A"/>
    <w:rsid w:val="2CD96D87"/>
    <w:rsid w:val="2DF15952"/>
    <w:rsid w:val="2E6C7FCB"/>
    <w:rsid w:val="2E88044F"/>
    <w:rsid w:val="3284589B"/>
    <w:rsid w:val="361A09DF"/>
    <w:rsid w:val="36F9338A"/>
    <w:rsid w:val="37779E60"/>
    <w:rsid w:val="377A54BF"/>
    <w:rsid w:val="39E9356E"/>
    <w:rsid w:val="39F525A2"/>
    <w:rsid w:val="3C2C7347"/>
    <w:rsid w:val="3C7B06AE"/>
    <w:rsid w:val="3D6A1B31"/>
    <w:rsid w:val="4015034D"/>
    <w:rsid w:val="416A2A31"/>
    <w:rsid w:val="43596284"/>
    <w:rsid w:val="440C2076"/>
    <w:rsid w:val="44BA060E"/>
    <w:rsid w:val="454063A9"/>
    <w:rsid w:val="47A66F47"/>
    <w:rsid w:val="48190D72"/>
    <w:rsid w:val="49B50C04"/>
    <w:rsid w:val="49F422BC"/>
    <w:rsid w:val="4A4C5543"/>
    <w:rsid w:val="4A856EB6"/>
    <w:rsid w:val="4BB44DA3"/>
    <w:rsid w:val="4BB72B70"/>
    <w:rsid w:val="4D765FE4"/>
    <w:rsid w:val="4D7F362E"/>
    <w:rsid w:val="4E1B3885"/>
    <w:rsid w:val="4EBF7EAB"/>
    <w:rsid w:val="4F670C47"/>
    <w:rsid w:val="553254BE"/>
    <w:rsid w:val="553B4087"/>
    <w:rsid w:val="56A8574D"/>
    <w:rsid w:val="583020DD"/>
    <w:rsid w:val="592547BC"/>
    <w:rsid w:val="59544026"/>
    <w:rsid w:val="5AB9755B"/>
    <w:rsid w:val="5AC009C1"/>
    <w:rsid w:val="5AF474F0"/>
    <w:rsid w:val="5B742D21"/>
    <w:rsid w:val="5C0351D3"/>
    <w:rsid w:val="5D594ACE"/>
    <w:rsid w:val="5D973665"/>
    <w:rsid w:val="5EF91413"/>
    <w:rsid w:val="5F567206"/>
    <w:rsid w:val="5F875025"/>
    <w:rsid w:val="60D6222F"/>
    <w:rsid w:val="6217071C"/>
    <w:rsid w:val="62CE02E9"/>
    <w:rsid w:val="632C6B3E"/>
    <w:rsid w:val="633F0072"/>
    <w:rsid w:val="64E07CE5"/>
    <w:rsid w:val="666920D7"/>
    <w:rsid w:val="66F756A1"/>
    <w:rsid w:val="69380B1B"/>
    <w:rsid w:val="6C1733E6"/>
    <w:rsid w:val="6CF536F6"/>
    <w:rsid w:val="6E810B7A"/>
    <w:rsid w:val="6F8673D6"/>
    <w:rsid w:val="6FCF75EC"/>
    <w:rsid w:val="70446EA1"/>
    <w:rsid w:val="707537A6"/>
    <w:rsid w:val="70ED0C69"/>
    <w:rsid w:val="71591FCE"/>
    <w:rsid w:val="71F256AB"/>
    <w:rsid w:val="73133AF6"/>
    <w:rsid w:val="736D4488"/>
    <w:rsid w:val="753A5550"/>
    <w:rsid w:val="75B4584A"/>
    <w:rsid w:val="76525347"/>
    <w:rsid w:val="78FDF452"/>
    <w:rsid w:val="7CEF2B13"/>
    <w:rsid w:val="7D2C3E42"/>
    <w:rsid w:val="7DAF813A"/>
    <w:rsid w:val="7F867CBA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page number"/>
    <w:basedOn w:val="12"/>
    <w:qFormat/>
    <w:uiPriority w:val="0"/>
  </w:style>
  <w:style w:type="paragraph" w:customStyle="1" w:styleId="14">
    <w:name w:val="BodyText1I2"/>
    <w:basedOn w:val="15"/>
    <w:qFormat/>
    <w:uiPriority w:val="0"/>
    <w:pPr>
      <w:ind w:firstLine="420"/>
    </w:pPr>
  </w:style>
  <w:style w:type="paragraph" w:customStyle="1" w:styleId="15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7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8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1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2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6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28">
    <w:name w:val="标题 1 Char"/>
    <w:link w:val="2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7781</Words>
  <Characters>8060</Characters>
  <Lines>102</Lines>
  <Paragraphs>28</Paragraphs>
  <TotalTime>14</TotalTime>
  <ScaleCrop>false</ScaleCrop>
  <LinksUpToDate>false</LinksUpToDate>
  <CharactersWithSpaces>9151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Lenovo</cp:lastModifiedBy>
  <cp:lastPrinted>2024-05-17T18:04:00Z</cp:lastPrinted>
  <dcterms:modified xsi:type="dcterms:W3CDTF">2024-06-14T09:44:21Z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013CD473DFA842CD9866D700341F1BA6_13</vt:lpwstr>
  </property>
  <property fmtid="{D5CDD505-2E9C-101B-9397-08002B2CF9AE}" pid="4" name="commondata">
    <vt:lpwstr>eyJoZGlkIjoiYTYyNDdjODg3NGNlNDkxMWExODY4YWEyMTRmNzM4NmQifQ==</vt:lpwstr>
  </property>
</Properties>
</file>