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EB338">
      <w:pPr>
        <w:spacing w:before="208" w:line="224" w:lineRule="auto"/>
        <w:rPr>
          <w:rFonts w:ascii="黑体" w:hAnsi="黑体" w:eastAsia="黑体" w:cs="黑体"/>
          <w:sz w:val="31"/>
          <w:szCs w:val="31"/>
        </w:rPr>
      </w:pPr>
      <w:r>
        <w:rPr>
          <w:rFonts w:ascii="黑体" w:hAnsi="黑体" w:eastAsia="黑体" w:cs="黑体"/>
          <w:b/>
          <w:bCs/>
          <w:spacing w:val="31"/>
          <w:sz w:val="31"/>
          <w:szCs w:val="31"/>
        </w:rPr>
        <w:t>附件5:</w:t>
      </w:r>
    </w:p>
    <w:p w14:paraId="56F1E4AD">
      <w:pPr>
        <w:spacing w:line="243" w:lineRule="auto"/>
        <w:jc w:val="center"/>
        <w:rPr>
          <w:rFonts w:ascii="宋体" w:hAnsi="宋体" w:eastAsia="宋体" w:cs="宋体"/>
          <w:b/>
          <w:bCs/>
          <w:spacing w:val="9"/>
          <w:sz w:val="36"/>
          <w:szCs w:val="36"/>
        </w:rPr>
      </w:pPr>
    </w:p>
    <w:p w14:paraId="50862731">
      <w:pPr>
        <w:spacing w:line="243" w:lineRule="auto"/>
        <w:jc w:val="center"/>
        <w:rPr>
          <w:rFonts w:hint="eastAsia" w:ascii="宋体" w:hAnsi="宋体" w:eastAsia="宋体" w:cs="宋体"/>
          <w:b/>
          <w:bCs/>
          <w:spacing w:val="9"/>
          <w:sz w:val="44"/>
          <w:szCs w:val="44"/>
          <w:lang w:val="en-US" w:eastAsia="zh-CN"/>
        </w:rPr>
      </w:pPr>
      <w:r>
        <w:rPr>
          <w:rFonts w:ascii="宋体" w:hAnsi="宋体" w:eastAsia="宋体" w:cs="宋体"/>
          <w:b/>
          <w:bCs/>
          <w:spacing w:val="9"/>
          <w:sz w:val="44"/>
          <w:szCs w:val="44"/>
        </w:rPr>
        <w:t>2023年度</w:t>
      </w:r>
      <w:r>
        <w:rPr>
          <w:rFonts w:hint="eastAsia" w:ascii="宋体" w:hAnsi="宋体" w:eastAsia="宋体" w:cs="宋体"/>
          <w:b/>
          <w:bCs/>
          <w:spacing w:val="9"/>
          <w:sz w:val="44"/>
          <w:szCs w:val="44"/>
          <w:lang w:val="en-US" w:eastAsia="zh-CN"/>
        </w:rPr>
        <w:t>益阳市安化县乐安镇卫生院</w:t>
      </w:r>
    </w:p>
    <w:p w14:paraId="722FFDFD">
      <w:pPr>
        <w:spacing w:before="195" w:line="214" w:lineRule="auto"/>
        <w:ind w:left="3062" w:right="1530" w:hanging="1470"/>
        <w:jc w:val="center"/>
        <w:rPr>
          <w:rFonts w:ascii="宋体" w:hAnsi="宋体" w:eastAsia="宋体" w:cs="宋体"/>
          <w:sz w:val="44"/>
          <w:szCs w:val="44"/>
        </w:rPr>
      </w:pPr>
      <w:r>
        <w:rPr>
          <w:rFonts w:ascii="宋体" w:hAnsi="宋体" w:eastAsia="宋体" w:cs="宋体"/>
          <w:b/>
          <w:bCs/>
          <w:spacing w:val="9"/>
          <w:sz w:val="44"/>
          <w:szCs w:val="44"/>
        </w:rPr>
        <w:t>部门整体支出</w:t>
      </w:r>
      <w:r>
        <w:rPr>
          <w:rFonts w:ascii="宋体" w:hAnsi="宋体" w:eastAsia="宋体" w:cs="宋体"/>
          <w:b/>
          <w:bCs/>
          <w:spacing w:val="6"/>
          <w:sz w:val="44"/>
          <w:szCs w:val="44"/>
        </w:rPr>
        <w:t>绩效自评报告</w:t>
      </w:r>
    </w:p>
    <w:p w14:paraId="3FD396D2">
      <w:pPr>
        <w:spacing w:line="243" w:lineRule="auto"/>
        <w:jc w:val="center"/>
        <w:rPr>
          <w:rFonts w:ascii="Arial"/>
          <w:sz w:val="44"/>
          <w:szCs w:val="44"/>
        </w:rPr>
      </w:pPr>
    </w:p>
    <w:p w14:paraId="76B3A387">
      <w:pPr>
        <w:spacing w:line="243" w:lineRule="auto"/>
        <w:jc w:val="left"/>
        <w:rPr>
          <w:rFonts w:hint="eastAsia" w:ascii="宋体" w:hAnsi="宋体" w:eastAsia="宋体" w:cs="宋体"/>
          <w:b/>
          <w:bCs/>
          <w:spacing w:val="9"/>
          <w:sz w:val="36"/>
          <w:szCs w:val="36"/>
          <w:lang w:val="en-US" w:eastAsia="zh-CN"/>
        </w:rPr>
      </w:pPr>
    </w:p>
    <w:p w14:paraId="0BE18908">
      <w:pPr>
        <w:spacing w:line="243" w:lineRule="auto"/>
        <w:rPr>
          <w:rFonts w:ascii="Arial"/>
          <w:sz w:val="21"/>
        </w:rPr>
      </w:pPr>
    </w:p>
    <w:p w14:paraId="69DC92BE">
      <w:pPr>
        <w:spacing w:line="243" w:lineRule="auto"/>
        <w:rPr>
          <w:rFonts w:ascii="Arial"/>
          <w:sz w:val="21"/>
        </w:rPr>
      </w:pPr>
    </w:p>
    <w:p w14:paraId="538886BF">
      <w:pPr>
        <w:spacing w:line="243" w:lineRule="auto"/>
        <w:rPr>
          <w:rFonts w:ascii="Arial"/>
          <w:sz w:val="21"/>
        </w:rPr>
      </w:pPr>
    </w:p>
    <w:p w14:paraId="03855B31">
      <w:pPr>
        <w:spacing w:line="243" w:lineRule="auto"/>
        <w:rPr>
          <w:rFonts w:ascii="Arial"/>
          <w:sz w:val="21"/>
        </w:rPr>
      </w:pPr>
    </w:p>
    <w:p w14:paraId="4D22E769">
      <w:pPr>
        <w:spacing w:line="243" w:lineRule="auto"/>
        <w:rPr>
          <w:rFonts w:ascii="Arial"/>
          <w:sz w:val="21"/>
        </w:rPr>
      </w:pPr>
    </w:p>
    <w:p w14:paraId="64D8B4ED">
      <w:pPr>
        <w:spacing w:line="243" w:lineRule="auto"/>
        <w:rPr>
          <w:rFonts w:ascii="Arial"/>
          <w:sz w:val="21"/>
        </w:rPr>
      </w:pPr>
    </w:p>
    <w:p w14:paraId="3CA10EAB">
      <w:pPr>
        <w:spacing w:line="243" w:lineRule="auto"/>
        <w:rPr>
          <w:rFonts w:ascii="Arial"/>
          <w:sz w:val="21"/>
        </w:rPr>
      </w:pPr>
    </w:p>
    <w:p w14:paraId="6024D065">
      <w:pPr>
        <w:spacing w:line="243" w:lineRule="auto"/>
        <w:rPr>
          <w:rFonts w:ascii="Arial"/>
          <w:sz w:val="21"/>
        </w:rPr>
      </w:pPr>
    </w:p>
    <w:p w14:paraId="47D7ACDC">
      <w:pPr>
        <w:spacing w:line="243" w:lineRule="auto"/>
        <w:rPr>
          <w:rFonts w:ascii="Arial"/>
          <w:sz w:val="21"/>
        </w:rPr>
      </w:pPr>
    </w:p>
    <w:p w14:paraId="052F29EA">
      <w:pPr>
        <w:spacing w:line="243" w:lineRule="auto"/>
        <w:rPr>
          <w:rFonts w:ascii="Arial"/>
          <w:sz w:val="21"/>
        </w:rPr>
      </w:pPr>
    </w:p>
    <w:p w14:paraId="24EFBC18">
      <w:pPr>
        <w:spacing w:line="243" w:lineRule="auto"/>
        <w:rPr>
          <w:rFonts w:ascii="Arial"/>
          <w:sz w:val="21"/>
        </w:rPr>
      </w:pPr>
    </w:p>
    <w:p w14:paraId="358EB2D3">
      <w:pPr>
        <w:spacing w:line="243" w:lineRule="auto"/>
        <w:rPr>
          <w:rFonts w:ascii="Arial"/>
          <w:sz w:val="21"/>
        </w:rPr>
      </w:pPr>
    </w:p>
    <w:p w14:paraId="419BD616">
      <w:pPr>
        <w:spacing w:line="243" w:lineRule="auto"/>
        <w:rPr>
          <w:rFonts w:ascii="Arial"/>
          <w:sz w:val="21"/>
        </w:rPr>
      </w:pPr>
    </w:p>
    <w:p w14:paraId="0CD538E2">
      <w:pPr>
        <w:spacing w:line="243" w:lineRule="auto"/>
        <w:rPr>
          <w:rFonts w:ascii="Arial"/>
          <w:sz w:val="21"/>
        </w:rPr>
      </w:pPr>
    </w:p>
    <w:p w14:paraId="3DA9FC24">
      <w:pPr>
        <w:spacing w:line="243" w:lineRule="auto"/>
        <w:rPr>
          <w:rFonts w:ascii="Arial"/>
          <w:sz w:val="21"/>
        </w:rPr>
      </w:pPr>
    </w:p>
    <w:p w14:paraId="3889EB02">
      <w:pPr>
        <w:pStyle w:val="5"/>
        <w:spacing w:before="117" w:line="230" w:lineRule="auto"/>
        <w:ind w:left="1975"/>
        <w:rPr>
          <w:sz w:val="36"/>
          <w:szCs w:val="36"/>
        </w:rPr>
      </w:pPr>
      <w:r>
        <w:rPr>
          <w:spacing w:val="6"/>
          <w:sz w:val="36"/>
          <w:szCs w:val="36"/>
        </w:rPr>
        <w:t>部门(单位)名称：</w:t>
      </w:r>
      <w:r>
        <w:rPr>
          <w:spacing w:val="54"/>
          <w:sz w:val="36"/>
          <w:szCs w:val="36"/>
        </w:rPr>
        <w:t xml:space="preserve">  </w:t>
      </w:r>
      <w:r>
        <w:rPr>
          <w:spacing w:val="-89"/>
          <w:position w:val="-2"/>
          <w:sz w:val="36"/>
          <w:szCs w:val="36"/>
          <w:u w:val="single" w:color="auto"/>
        </w:rPr>
        <w:t xml:space="preserve"> </w:t>
      </w:r>
      <w:r>
        <w:rPr>
          <w:spacing w:val="6"/>
          <w:position w:val="-2"/>
          <w:sz w:val="36"/>
          <w:szCs w:val="36"/>
          <w:u w:val="single" w:color="auto"/>
        </w:rPr>
        <w:t>(</w:t>
      </w:r>
      <w:r>
        <w:rPr>
          <w:spacing w:val="-45"/>
          <w:position w:val="-2"/>
          <w:sz w:val="36"/>
          <w:szCs w:val="36"/>
          <w:u w:val="single" w:color="auto"/>
        </w:rPr>
        <w:t xml:space="preserve"> </w:t>
      </w:r>
      <w:r>
        <w:rPr>
          <w:spacing w:val="6"/>
          <w:position w:val="-2"/>
          <w:sz w:val="36"/>
          <w:szCs w:val="36"/>
          <w:u w:val="single" w:color="auto"/>
        </w:rPr>
        <w:t>盖</w:t>
      </w:r>
      <w:r>
        <w:rPr>
          <w:spacing w:val="-51"/>
          <w:position w:val="-2"/>
          <w:sz w:val="36"/>
          <w:szCs w:val="36"/>
          <w:u w:val="single" w:color="auto"/>
        </w:rPr>
        <w:t xml:space="preserve"> </w:t>
      </w:r>
      <w:r>
        <w:rPr>
          <w:spacing w:val="6"/>
          <w:position w:val="-2"/>
          <w:sz w:val="36"/>
          <w:szCs w:val="36"/>
          <w:u w:val="single" w:color="auto"/>
        </w:rPr>
        <w:t>章</w:t>
      </w:r>
      <w:r>
        <w:rPr>
          <w:spacing w:val="-61"/>
          <w:position w:val="-2"/>
          <w:sz w:val="36"/>
          <w:szCs w:val="36"/>
          <w:u w:val="single" w:color="auto"/>
        </w:rPr>
        <w:t xml:space="preserve"> </w:t>
      </w:r>
      <w:r>
        <w:rPr>
          <w:spacing w:val="6"/>
          <w:position w:val="-2"/>
          <w:sz w:val="36"/>
          <w:szCs w:val="36"/>
          <w:u w:val="single" w:color="auto"/>
        </w:rPr>
        <w:t>)</w:t>
      </w:r>
    </w:p>
    <w:p w14:paraId="47548767">
      <w:pPr>
        <w:spacing w:line="253" w:lineRule="auto"/>
        <w:rPr>
          <w:rFonts w:ascii="Arial"/>
          <w:sz w:val="21"/>
        </w:rPr>
      </w:pPr>
    </w:p>
    <w:p w14:paraId="2B0C0B8D">
      <w:pPr>
        <w:spacing w:line="254" w:lineRule="auto"/>
        <w:rPr>
          <w:rFonts w:ascii="Arial"/>
          <w:sz w:val="21"/>
        </w:rPr>
      </w:pPr>
    </w:p>
    <w:p w14:paraId="2B92FB22">
      <w:pPr>
        <w:spacing w:line="254" w:lineRule="auto"/>
        <w:rPr>
          <w:rFonts w:ascii="Arial"/>
          <w:sz w:val="21"/>
        </w:rPr>
      </w:pPr>
    </w:p>
    <w:p w14:paraId="11E2F57B">
      <w:pPr>
        <w:pStyle w:val="5"/>
        <w:spacing w:before="101" w:line="222" w:lineRule="auto"/>
        <w:ind w:left="3085"/>
        <w:rPr>
          <w:sz w:val="36"/>
          <w:szCs w:val="36"/>
        </w:rPr>
      </w:pPr>
      <w:r>
        <w:rPr>
          <w:rFonts w:hint="eastAsia"/>
          <w:spacing w:val="-21"/>
          <w:sz w:val="36"/>
          <w:szCs w:val="36"/>
          <w:lang w:val="en-US" w:eastAsia="zh-CN"/>
        </w:rPr>
        <w:t xml:space="preserve">2024 </w:t>
      </w:r>
      <w:r>
        <w:rPr>
          <w:spacing w:val="-21"/>
          <w:sz w:val="36"/>
          <w:szCs w:val="36"/>
        </w:rPr>
        <w:t>年</w:t>
      </w:r>
      <w:r>
        <w:rPr>
          <w:spacing w:val="47"/>
          <w:sz w:val="36"/>
          <w:szCs w:val="36"/>
        </w:rPr>
        <w:t xml:space="preserve"> </w:t>
      </w:r>
      <w:r>
        <w:rPr>
          <w:rFonts w:hint="eastAsia"/>
          <w:spacing w:val="47"/>
          <w:sz w:val="36"/>
          <w:szCs w:val="36"/>
          <w:lang w:val="en-US" w:eastAsia="zh-CN"/>
        </w:rPr>
        <w:t>05</w:t>
      </w:r>
      <w:r>
        <w:rPr>
          <w:spacing w:val="47"/>
          <w:sz w:val="36"/>
          <w:szCs w:val="36"/>
        </w:rPr>
        <w:t xml:space="preserve"> </w:t>
      </w:r>
      <w:r>
        <w:rPr>
          <w:spacing w:val="-21"/>
          <w:sz w:val="36"/>
          <w:szCs w:val="36"/>
        </w:rPr>
        <w:t>月</w:t>
      </w:r>
      <w:r>
        <w:rPr>
          <w:spacing w:val="16"/>
          <w:sz w:val="36"/>
          <w:szCs w:val="36"/>
        </w:rPr>
        <w:t xml:space="preserve"> </w:t>
      </w:r>
      <w:r>
        <w:rPr>
          <w:rFonts w:hint="eastAsia"/>
          <w:spacing w:val="16"/>
          <w:sz w:val="36"/>
          <w:szCs w:val="36"/>
          <w:lang w:val="en-US" w:eastAsia="zh-CN"/>
        </w:rPr>
        <w:t>30</w:t>
      </w:r>
      <w:r>
        <w:rPr>
          <w:spacing w:val="16"/>
          <w:sz w:val="36"/>
          <w:szCs w:val="36"/>
        </w:rPr>
        <w:t xml:space="preserve"> </w:t>
      </w:r>
      <w:r>
        <w:rPr>
          <w:spacing w:val="-21"/>
          <w:sz w:val="36"/>
          <w:szCs w:val="36"/>
        </w:rPr>
        <w:t>日</w:t>
      </w:r>
    </w:p>
    <w:p w14:paraId="7A276214">
      <w:pPr>
        <w:spacing w:line="260" w:lineRule="auto"/>
        <w:rPr>
          <w:rFonts w:ascii="Arial"/>
          <w:sz w:val="21"/>
        </w:rPr>
      </w:pPr>
    </w:p>
    <w:p w14:paraId="7923D159">
      <w:pPr>
        <w:spacing w:line="261" w:lineRule="auto"/>
        <w:rPr>
          <w:rFonts w:ascii="Arial"/>
          <w:sz w:val="21"/>
        </w:rPr>
      </w:pPr>
    </w:p>
    <w:p w14:paraId="69B7419B">
      <w:pPr>
        <w:spacing w:line="261" w:lineRule="auto"/>
        <w:rPr>
          <w:rFonts w:ascii="Arial"/>
          <w:sz w:val="21"/>
        </w:rPr>
      </w:pPr>
    </w:p>
    <w:p w14:paraId="0622D0F3">
      <w:pPr>
        <w:pStyle w:val="5"/>
        <w:spacing w:before="101" w:line="224" w:lineRule="auto"/>
        <w:ind w:left="3545"/>
        <w:rPr>
          <w:sz w:val="31"/>
          <w:szCs w:val="31"/>
        </w:rPr>
      </w:pPr>
      <w:r>
        <w:rPr>
          <w:spacing w:val="17"/>
          <w:sz w:val="31"/>
          <w:szCs w:val="31"/>
        </w:rPr>
        <w:t>(此页为封面)</w:t>
      </w:r>
    </w:p>
    <w:p w14:paraId="4252FFA4">
      <w:pPr>
        <w:spacing w:line="224" w:lineRule="auto"/>
        <w:rPr>
          <w:sz w:val="31"/>
          <w:szCs w:val="31"/>
        </w:rPr>
        <w:sectPr>
          <w:footerReference r:id="rId5" w:type="default"/>
          <w:pgSz w:w="12140" w:h="16990"/>
          <w:pgMar w:top="1444" w:right="1456" w:bottom="1508" w:left="1644" w:header="0" w:footer="1200" w:gutter="0"/>
          <w:pgNumType w:fmt="decimal"/>
          <w:cols w:space="720" w:num="1"/>
        </w:sectPr>
      </w:pPr>
    </w:p>
    <w:p w14:paraId="6A0A8F4E">
      <w:pPr>
        <w:pStyle w:val="5"/>
        <w:spacing w:before="64" w:line="582" w:lineRule="exact"/>
        <w:jc w:val="center"/>
        <w:rPr>
          <w:rFonts w:hint="eastAsia" w:ascii="Times New Roman" w:hAnsi="Times New Roman" w:eastAsia="宋体" w:cs="Times New Roman"/>
          <w:b/>
          <w:bCs/>
          <w:spacing w:val="-8"/>
          <w:position w:val="20"/>
          <w:sz w:val="44"/>
          <w:szCs w:val="44"/>
          <w:lang w:val="en-US" w:eastAsia="zh-CN"/>
        </w:rPr>
      </w:pPr>
    </w:p>
    <w:p w14:paraId="392E88EC">
      <w:pPr>
        <w:pStyle w:val="5"/>
        <w:spacing w:before="64" w:line="582" w:lineRule="exact"/>
        <w:jc w:val="center"/>
        <w:rPr>
          <w:rFonts w:hint="eastAsia" w:ascii="Times New Roman" w:hAnsi="Times New Roman" w:eastAsia="宋体" w:cs="Times New Roman"/>
          <w:b/>
          <w:bCs/>
          <w:spacing w:val="-8"/>
          <w:position w:val="20"/>
          <w:sz w:val="44"/>
          <w:szCs w:val="44"/>
          <w:lang w:val="en-US" w:eastAsia="zh-CN"/>
        </w:rPr>
      </w:pPr>
    </w:p>
    <w:p w14:paraId="41C4296A">
      <w:pPr>
        <w:spacing w:line="243" w:lineRule="auto"/>
        <w:jc w:val="center"/>
        <w:rPr>
          <w:rFonts w:hint="eastAsia" w:ascii="宋体" w:hAnsi="宋体" w:eastAsia="宋体" w:cs="宋体"/>
          <w:b/>
          <w:bCs/>
          <w:spacing w:val="-8"/>
          <w:position w:val="20"/>
          <w:sz w:val="44"/>
          <w:szCs w:val="44"/>
          <w:lang w:val="en-US" w:eastAsia="zh-CN"/>
        </w:rPr>
      </w:pPr>
      <w:r>
        <w:rPr>
          <w:rFonts w:hint="eastAsia" w:ascii="宋体" w:hAnsi="宋体" w:eastAsia="宋体" w:cs="宋体"/>
          <w:b/>
          <w:bCs/>
          <w:spacing w:val="-8"/>
          <w:position w:val="20"/>
          <w:sz w:val="44"/>
          <w:szCs w:val="44"/>
          <w:lang w:val="en-US" w:eastAsia="zh-CN"/>
        </w:rPr>
        <w:t>2023</w:t>
      </w:r>
      <w:r>
        <w:rPr>
          <w:rFonts w:hint="eastAsia" w:ascii="宋体" w:hAnsi="宋体" w:eastAsia="宋体" w:cs="宋体"/>
          <w:b/>
          <w:bCs/>
          <w:spacing w:val="-10"/>
          <w:position w:val="20"/>
          <w:sz w:val="44"/>
          <w:szCs w:val="44"/>
        </w:rPr>
        <w:t xml:space="preserve"> </w:t>
      </w:r>
      <w:r>
        <w:rPr>
          <w:rFonts w:hint="eastAsia" w:ascii="宋体" w:hAnsi="宋体" w:eastAsia="宋体" w:cs="宋体"/>
          <w:b/>
          <w:bCs/>
          <w:spacing w:val="-8"/>
          <w:position w:val="20"/>
          <w:sz w:val="44"/>
          <w:szCs w:val="44"/>
        </w:rPr>
        <w:t>年度</w:t>
      </w:r>
      <w:r>
        <w:rPr>
          <w:rFonts w:hint="eastAsia" w:ascii="宋体" w:hAnsi="宋体" w:eastAsia="宋体" w:cs="宋体"/>
          <w:b/>
          <w:bCs/>
          <w:spacing w:val="-8"/>
          <w:position w:val="20"/>
          <w:sz w:val="44"/>
          <w:szCs w:val="44"/>
          <w:lang w:val="en-US" w:eastAsia="zh-CN"/>
        </w:rPr>
        <w:t>益阳市安化县乐安镇卫生院</w:t>
      </w:r>
    </w:p>
    <w:p w14:paraId="190A3E6E">
      <w:pPr>
        <w:pStyle w:val="5"/>
        <w:spacing w:before="64" w:line="582" w:lineRule="exact"/>
        <w:jc w:val="center"/>
        <w:rPr>
          <w:rFonts w:hint="eastAsia" w:ascii="宋体" w:hAnsi="宋体" w:eastAsia="宋体" w:cs="宋体"/>
          <w:b/>
          <w:bCs/>
          <w:sz w:val="44"/>
          <w:szCs w:val="44"/>
        </w:rPr>
      </w:pPr>
      <w:r>
        <w:rPr>
          <w:rFonts w:hint="eastAsia" w:ascii="宋体" w:hAnsi="宋体" w:eastAsia="宋体" w:cs="宋体"/>
          <w:b/>
          <w:bCs/>
          <w:spacing w:val="-8"/>
          <w:position w:val="20"/>
          <w:sz w:val="44"/>
          <w:szCs w:val="44"/>
        </w:rPr>
        <w:t>部门整体支出绩效自评报告</w:t>
      </w:r>
    </w:p>
    <w:p w14:paraId="1A9C28EF">
      <w:pPr>
        <w:spacing w:line="335" w:lineRule="auto"/>
        <w:rPr>
          <w:rFonts w:ascii="Arial"/>
          <w:sz w:val="21"/>
        </w:rPr>
      </w:pPr>
    </w:p>
    <w:p w14:paraId="4ACD6824">
      <w:pPr>
        <w:spacing w:line="336" w:lineRule="auto"/>
        <w:rPr>
          <w:rFonts w:ascii="Arial"/>
          <w:sz w:val="21"/>
        </w:rPr>
      </w:pPr>
    </w:p>
    <w:p w14:paraId="0159318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根据《中共湖南省委办公厅湖南省人民政府办公厅关于全面实施预算绩效管理的实施意见》(湘办发〔2019]10号)、《安化县关于全面实施预算绩效管理的实施意见》(安政发〔2022]19号)等有关文件精神，益阳市安化县财政局《关于开展 2023 年度预算部门支出绩效自评工作的通知》要求，为进一步规范财政资金管理，牢固树立预算绩效理念，强化部门支出责任，提高财政资金使用效益，我院高度重视，积极组织人员对2023年部门整体支出情况进行了清理，现将自评情况公开如下：</w:t>
      </w:r>
    </w:p>
    <w:p w14:paraId="48FA5E8A">
      <w:pPr>
        <w:keepNext w:val="0"/>
        <w:keepLines w:val="0"/>
        <w:pageBreakBefore w:val="0"/>
        <w:widowControl/>
        <w:wordWrap/>
        <w:overflowPunct/>
        <w:topLinePunct w:val="0"/>
        <w:bidi w:val="0"/>
        <w:spacing w:line="336" w:lineRule="auto"/>
        <w:textAlignment w:val="baseline"/>
        <w:rPr>
          <w:rFonts w:ascii="Arial"/>
          <w:sz w:val="21"/>
        </w:rPr>
      </w:pPr>
    </w:p>
    <w:p w14:paraId="7D34E834">
      <w:pPr>
        <w:spacing w:line="336" w:lineRule="auto"/>
        <w:rPr>
          <w:rFonts w:ascii="Arial"/>
          <w:sz w:val="21"/>
        </w:rPr>
      </w:pPr>
    </w:p>
    <w:p w14:paraId="05606865">
      <w:pPr>
        <w:spacing w:before="101" w:line="221" w:lineRule="auto"/>
        <w:ind w:left="694"/>
        <w:outlineLvl w:val="0"/>
        <w:rPr>
          <w:rFonts w:hint="eastAsia" w:ascii="宋体" w:hAnsi="宋体" w:eastAsia="宋体" w:cs="宋体"/>
          <w:b/>
          <w:bCs/>
          <w:spacing w:val="-5"/>
          <w:sz w:val="36"/>
          <w:szCs w:val="36"/>
        </w:rPr>
      </w:pPr>
      <w:r>
        <w:rPr>
          <w:rFonts w:hint="eastAsia" w:ascii="宋体" w:hAnsi="宋体" w:eastAsia="宋体" w:cs="宋体"/>
          <w:b/>
          <w:bCs/>
          <w:spacing w:val="-5"/>
          <w:sz w:val="36"/>
          <w:szCs w:val="36"/>
        </w:rPr>
        <w:t>一</w:t>
      </w:r>
      <w:r>
        <w:rPr>
          <w:rFonts w:hint="eastAsia" w:ascii="宋体" w:hAnsi="宋体" w:eastAsia="宋体" w:cs="宋体"/>
          <w:spacing w:val="-83"/>
          <w:sz w:val="36"/>
          <w:szCs w:val="36"/>
        </w:rPr>
        <w:t xml:space="preserve"> </w:t>
      </w:r>
      <w:r>
        <w:rPr>
          <w:rFonts w:hint="eastAsia" w:ascii="宋体" w:hAnsi="宋体" w:eastAsia="宋体" w:cs="宋体"/>
          <w:b/>
          <w:bCs/>
          <w:spacing w:val="-5"/>
          <w:sz w:val="36"/>
          <w:szCs w:val="36"/>
        </w:rPr>
        <w:t>、部门概况</w:t>
      </w:r>
    </w:p>
    <w:p w14:paraId="118680B9">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723" w:firstLineChars="200"/>
        <w:jc w:val="both"/>
        <w:textAlignment w:val="baseline"/>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机构设置</w:t>
      </w:r>
    </w:p>
    <w:p w14:paraId="66279AC2">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根据编委核定，我院内设科室14个，全部纳入2023年部门预算编制范围。</w:t>
      </w:r>
    </w:p>
    <w:p w14:paraId="63F2FFEA">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内设科室分别是门急诊科、住院综合科、预防接种科、妇幼保健科、儿保科、中医馆、公共卫生服务科、中西药房、化验室、B超室、DR室、一站式计算窗口、办公室、财务室。</w:t>
      </w:r>
    </w:p>
    <w:p w14:paraId="4160FA12">
      <w:pPr>
        <w:pStyle w:val="10"/>
        <w:rPr>
          <w:rFonts w:hint="eastAsia" w:ascii="宋体" w:hAnsi="宋体" w:eastAsia="宋体" w:cs="宋体"/>
          <w:lang w:val="en-US" w:eastAsia="zh-CN"/>
        </w:rPr>
      </w:pPr>
      <w:r>
        <w:rPr>
          <w:rFonts w:hint="eastAsia" w:ascii="宋体" w:hAnsi="宋体" w:eastAsia="宋体" w:cs="宋体"/>
          <w:snapToGrid w:val="0"/>
          <w:color w:val="000000"/>
          <w:spacing w:val="20"/>
          <w:kern w:val="0"/>
          <w:sz w:val="32"/>
          <w:szCs w:val="32"/>
          <w:lang w:val="en-US" w:eastAsia="zh-CN" w:bidi="ar-SA"/>
        </w:rPr>
        <w:t>　</w:t>
      </w:r>
    </w:p>
    <w:p w14:paraId="3FC2F616">
      <w:pPr>
        <w:pStyle w:val="10"/>
      </w:pPr>
    </w:p>
    <w:p w14:paraId="17E5E23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both"/>
        <w:textAlignment w:val="baseline"/>
        <w:rPr>
          <w:rFonts w:hint="default"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（二）部门职能</w:t>
      </w:r>
    </w:p>
    <w:p w14:paraId="1862967E">
      <w:pPr>
        <w:keepNext w:val="0"/>
        <w:keepLines w:val="0"/>
        <w:pageBreakBefore w:val="0"/>
        <w:widowControl/>
        <w:kinsoku/>
        <w:wordWrap/>
        <w:overflowPunct/>
        <w:topLinePunct w:val="0"/>
        <w:autoSpaceDE/>
        <w:autoSpaceDN/>
        <w:bidi w:val="0"/>
        <w:adjustRightInd/>
        <w:snapToGrid/>
        <w:spacing w:line="560" w:lineRule="exact"/>
        <w:ind w:firstLine="723" w:firstLineChars="200"/>
        <w:jc w:val="both"/>
        <w:textAlignment w:val="baseline"/>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（Ⅰ）提供公共卫生服务</w:t>
      </w:r>
    </w:p>
    <w:p w14:paraId="7B045018">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1、落实农村居民健康档案管理及服务。</w:t>
      </w:r>
    </w:p>
    <w:p w14:paraId="23F12037">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2、普及卫生保健常识，实施重点人群及重点场所健康教育。</w:t>
      </w:r>
    </w:p>
    <w:p w14:paraId="790B7968">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3、规范预防接种服务，执行国家免疫规划。</w:t>
      </w:r>
    </w:p>
    <w:p w14:paraId="557912F4">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4、及时发现、登记并报告辖区内发现的传染病病例和疑似病例，参与现场疫情处理。</w:t>
      </w:r>
    </w:p>
    <w:p w14:paraId="092EEE69">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5、开展新生儿访视及儿童保健系统管理，进行体格检查和生长发育监测及评价，开展健康指导。</w:t>
      </w:r>
    </w:p>
    <w:p w14:paraId="08A7EC40">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6、开展孕产妇保健系统管理和产后随访，进行一般体格检查及孕期营养，心理健康指导。</w:t>
      </w:r>
    </w:p>
    <w:p w14:paraId="772E221D">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7、对辖区内65岁及以上老年人进行登记管理，进行健康危险因素调查和一般体格检查，开展健康指导。</w:t>
      </w:r>
    </w:p>
    <w:p w14:paraId="0B891C36">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8、对高血压、糖尿病、肺结核等慢性病高危人群进行指导，对确诊高血压、糖尿病等慢性病病例进行登记管理、定期随访和健康指导。</w:t>
      </w:r>
    </w:p>
    <w:p w14:paraId="25278B29">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9、对辖区内重性精神疾病患者进行登记管理、治疗随访和康复指导。</w:t>
      </w:r>
    </w:p>
    <w:p w14:paraId="21948C52">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10、协助处理辖区内突发公共卫生事件。</w:t>
      </w:r>
    </w:p>
    <w:p w14:paraId="10A29D1C">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p>
    <w:p w14:paraId="4AA07378">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snapToGrid w:val="0"/>
          <w:color w:val="000000"/>
          <w:spacing w:val="20"/>
          <w:kern w:val="0"/>
          <w:sz w:val="32"/>
          <w:szCs w:val="32"/>
          <w:lang w:val="en-US" w:eastAsia="zh-CN" w:bidi="ar-SA"/>
        </w:rPr>
        <w:t>（</w:t>
      </w:r>
      <w:r>
        <w:rPr>
          <w:rFonts w:hint="eastAsia" w:ascii="微软雅黑" w:hAnsi="微软雅黑" w:eastAsia="微软雅黑" w:cs="微软雅黑"/>
          <w:snapToGrid w:val="0"/>
          <w:color w:val="000000"/>
          <w:spacing w:val="20"/>
          <w:kern w:val="0"/>
          <w:sz w:val="32"/>
          <w:szCs w:val="32"/>
          <w:lang w:val="en-US" w:eastAsia="zh-CN" w:bidi="ar-SA"/>
        </w:rPr>
        <w:t>Ⅱ</w:t>
      </w:r>
      <w:r>
        <w:rPr>
          <w:rFonts w:hint="eastAsia" w:ascii="宋体" w:hAnsi="宋体" w:eastAsia="宋体" w:cs="宋体"/>
          <w:snapToGrid w:val="0"/>
          <w:color w:val="000000"/>
          <w:spacing w:val="20"/>
          <w:kern w:val="0"/>
          <w:sz w:val="32"/>
          <w:szCs w:val="32"/>
          <w:lang w:val="en-US" w:eastAsia="zh-CN" w:bidi="ar-SA"/>
        </w:rPr>
        <w:t>）接受县疾控中心和县卫健局委托，对辖区内传染病防治、学校卫生、食品卫生、饮水卫生、职业卫生、以及村级预防保健工作进行指导、培训、考核与监督。</w:t>
      </w:r>
    </w:p>
    <w:p w14:paraId="39D104D3">
      <w:pPr>
        <w:keepNext w:val="0"/>
        <w:keepLines w:val="0"/>
        <w:pageBreakBefore w:val="0"/>
        <w:widowControl/>
        <w:kinsoku/>
        <w:wordWrap/>
        <w:overflowPunct/>
        <w:topLinePunct w:val="0"/>
        <w:autoSpaceDE/>
        <w:autoSpaceDN/>
        <w:bidi w:val="0"/>
        <w:adjustRightInd/>
        <w:snapToGrid/>
        <w:spacing w:line="560" w:lineRule="exact"/>
        <w:ind w:firstLine="720" w:firstLineChars="200"/>
        <w:jc w:val="both"/>
        <w:textAlignment w:val="baseline"/>
        <w:rPr>
          <w:rFonts w:hint="eastAsia" w:ascii="宋体" w:hAnsi="宋体" w:eastAsia="宋体" w:cs="宋体"/>
          <w:snapToGrid w:val="0"/>
          <w:color w:val="000000"/>
          <w:spacing w:val="20"/>
          <w:kern w:val="0"/>
          <w:sz w:val="32"/>
          <w:szCs w:val="32"/>
          <w:lang w:val="en-US" w:eastAsia="zh-CN" w:bidi="ar-SA"/>
        </w:rPr>
      </w:pPr>
    </w:p>
    <w:p w14:paraId="005D452B">
      <w:pPr>
        <w:pStyle w:val="10"/>
        <w:ind w:left="0" w:leftChars="0" w:firstLine="0" w:firstLineChars="0"/>
        <w:rPr>
          <w:rFonts w:hint="eastAsia" w:ascii="宋体" w:hAnsi="宋体" w:eastAsia="宋体" w:cs="宋体"/>
          <w:snapToGrid w:val="0"/>
          <w:color w:val="000000"/>
          <w:spacing w:val="20"/>
          <w:kern w:val="0"/>
          <w:sz w:val="32"/>
          <w:szCs w:val="32"/>
          <w:lang w:val="en-US" w:eastAsia="zh-CN" w:bidi="ar-SA"/>
        </w:rPr>
      </w:pPr>
    </w:p>
    <w:p w14:paraId="4A0038A9">
      <w:pPr>
        <w:numPr>
          <w:ilvl w:val="0"/>
          <w:numId w:val="0"/>
        </w:numPr>
        <w:spacing w:before="101" w:line="221" w:lineRule="auto"/>
        <w:ind w:firstLine="623" w:firstLineChars="200"/>
        <w:outlineLvl w:val="0"/>
        <w:rPr>
          <w:rFonts w:hint="eastAsia"/>
          <w:lang w:val="en-US" w:eastAsia="zh-CN"/>
        </w:rPr>
      </w:pPr>
      <w:r>
        <w:rPr>
          <w:rFonts w:hint="eastAsia" w:ascii="宋体" w:hAnsi="宋体" w:eastAsia="宋体" w:cs="宋体"/>
          <w:b/>
          <w:bCs/>
          <w:spacing w:val="-5"/>
          <w:sz w:val="32"/>
          <w:szCs w:val="32"/>
          <w:lang w:val="en-US" w:eastAsia="zh-CN"/>
        </w:rPr>
        <w:t>（三）年度总体工作和重点工作任务</w:t>
      </w:r>
    </w:p>
    <w:p w14:paraId="7914810C">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1</w:t>
      </w:r>
      <w:r>
        <w:rPr>
          <w:rFonts w:hint="eastAsia" w:ascii="宋体" w:hAnsi="宋体" w:eastAsia="宋体" w:cs="宋体"/>
          <w:b/>
          <w:bCs/>
          <w:color w:val="000000"/>
          <w:kern w:val="0"/>
          <w:sz w:val="32"/>
          <w:szCs w:val="32"/>
          <w:lang w:val="en" w:eastAsia="zh-CN" w:bidi="ar-SA"/>
        </w:rPr>
        <w:t>）</w:t>
      </w:r>
      <w:r>
        <w:rPr>
          <w:rFonts w:hint="eastAsia" w:ascii="黑体" w:hAnsi="黑体" w:eastAsia="黑体" w:cs="黑体"/>
          <w:b w:val="0"/>
          <w:bCs/>
          <w:kern w:val="2"/>
          <w:sz w:val="32"/>
          <w:szCs w:val="32"/>
        </w:rPr>
        <w:t>狠抓政治思想工作，落实党风廉政建设</w:t>
      </w:r>
    </w:p>
    <w:p w14:paraId="539CA2E6">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宋体" w:hAnsi="宋体" w:eastAsia="宋体" w:cs="宋体"/>
          <w:b/>
          <w:bCs/>
          <w:snapToGrid w:val="0"/>
          <w:color w:val="000000"/>
          <w:spacing w:val="20"/>
          <w:kern w:val="0"/>
          <w:sz w:val="32"/>
          <w:szCs w:val="32"/>
          <w:lang w:val="en-US" w:eastAsia="zh-CN" w:bidi="ar-SA"/>
        </w:rPr>
      </w:pPr>
      <w:r>
        <w:rPr>
          <w:rFonts w:hint="eastAsia" w:ascii="黑体" w:hAnsi="黑体" w:eastAsia="黑体" w:cs="黑体"/>
          <w:b w:val="0"/>
          <w:bCs/>
          <w:kern w:val="2"/>
          <w:sz w:val="32"/>
          <w:szCs w:val="32"/>
          <w:lang w:eastAsia="zh-CN"/>
        </w:rPr>
        <w:t>（</w:t>
      </w:r>
      <w:r>
        <w:rPr>
          <w:rFonts w:hint="eastAsia" w:ascii="黑体" w:hAnsi="黑体" w:eastAsia="黑体" w:cs="黑体"/>
          <w:b w:val="0"/>
          <w:bCs/>
          <w:kern w:val="2"/>
          <w:sz w:val="32"/>
          <w:szCs w:val="32"/>
          <w:lang w:val="en-US" w:eastAsia="zh-CN"/>
        </w:rPr>
        <w:t>2</w:t>
      </w:r>
      <w:r>
        <w:rPr>
          <w:rFonts w:hint="eastAsia" w:ascii="黑体" w:hAnsi="黑体" w:eastAsia="黑体" w:cs="黑体"/>
          <w:b w:val="0"/>
          <w:bCs/>
          <w:kern w:val="2"/>
          <w:sz w:val="32"/>
          <w:szCs w:val="32"/>
          <w:lang w:eastAsia="zh-CN"/>
        </w:rPr>
        <w:t>）</w:t>
      </w:r>
      <w:r>
        <w:rPr>
          <w:rFonts w:hint="eastAsia" w:ascii="黑体" w:hAnsi="黑体" w:eastAsia="黑体" w:cs="黑体"/>
          <w:b w:val="0"/>
          <w:bCs/>
          <w:kern w:val="2"/>
          <w:sz w:val="32"/>
          <w:szCs w:val="32"/>
        </w:rPr>
        <w:t>严抓安全生产，推动各项工作稳定发展</w:t>
      </w:r>
    </w:p>
    <w:p w14:paraId="303C79FF">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3</w:t>
      </w:r>
      <w:r>
        <w:rPr>
          <w:rFonts w:hint="eastAsia" w:ascii="宋体" w:hAnsi="宋体" w:eastAsia="宋体" w:cs="宋体"/>
          <w:b/>
          <w:bCs/>
          <w:color w:val="000000"/>
          <w:kern w:val="0"/>
          <w:sz w:val="32"/>
          <w:szCs w:val="32"/>
          <w:lang w:val="en" w:eastAsia="zh-CN" w:bidi="ar-SA"/>
        </w:rPr>
        <w:t>）</w:t>
      </w:r>
      <w:r>
        <w:rPr>
          <w:rFonts w:hint="eastAsia" w:ascii="黑体" w:hAnsi="黑体" w:eastAsia="黑体" w:cs="黑体"/>
          <w:b w:val="0"/>
          <w:bCs/>
          <w:sz w:val="32"/>
          <w:szCs w:val="32"/>
        </w:rPr>
        <w:t>重抓公共卫生服务，落实各项惠民政策</w:t>
      </w:r>
    </w:p>
    <w:p w14:paraId="1C60BEAD">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w:t>
      </w:r>
      <w:r>
        <w:rPr>
          <w:rFonts w:hint="eastAsia" w:ascii="黑体" w:hAnsi="黑体" w:eastAsia="黑体" w:cs="黑体"/>
          <w:b w:val="0"/>
          <w:bCs/>
          <w:sz w:val="32"/>
          <w:szCs w:val="32"/>
          <w:lang w:val="en-US" w:eastAsia="zh-CN"/>
        </w:rPr>
        <w:t>4</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常抓医疗服务质量，完善医疗服务水平</w:t>
      </w:r>
    </w:p>
    <w:p w14:paraId="217B0F3F">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宋体" w:hAnsi="宋体" w:eastAsia="宋体" w:cs="宋体"/>
          <w:b/>
          <w:bCs/>
          <w:color w:val="000000"/>
          <w:kern w:val="0"/>
          <w:sz w:val="32"/>
          <w:szCs w:val="32"/>
          <w:lang w:val="en" w:eastAsia="zh-CN" w:bidi="ar-SA"/>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5</w:t>
      </w:r>
      <w:r>
        <w:rPr>
          <w:rFonts w:hint="eastAsia" w:ascii="宋体" w:hAnsi="宋体" w:eastAsia="宋体" w:cs="宋体"/>
          <w:b/>
          <w:bCs/>
          <w:color w:val="000000"/>
          <w:kern w:val="0"/>
          <w:sz w:val="32"/>
          <w:szCs w:val="32"/>
          <w:lang w:val="en" w:eastAsia="zh-CN" w:bidi="ar-SA"/>
        </w:rPr>
        <w:t>）</w:t>
      </w:r>
      <w:r>
        <w:rPr>
          <w:rFonts w:hint="eastAsia" w:ascii="黑体" w:hAnsi="黑体" w:eastAsia="黑体" w:cs="黑体"/>
          <w:b w:val="0"/>
          <w:bCs/>
          <w:sz w:val="32"/>
          <w:szCs w:val="32"/>
        </w:rPr>
        <w:t>细抓医药卫生体制改革，稳步推进医改政策实施</w:t>
      </w:r>
    </w:p>
    <w:p w14:paraId="3AAAEC45">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黑体" w:hAnsi="黑体" w:eastAsia="黑体" w:cs="黑体"/>
          <w:b w:val="0"/>
          <w:bCs/>
          <w:kern w:val="2"/>
          <w:sz w:val="32"/>
          <w:szCs w:val="32"/>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6</w:t>
      </w:r>
      <w:r>
        <w:rPr>
          <w:rFonts w:hint="eastAsia" w:ascii="宋体" w:hAnsi="宋体" w:eastAsia="宋体" w:cs="宋体"/>
          <w:b/>
          <w:bCs/>
          <w:color w:val="000000"/>
          <w:kern w:val="0"/>
          <w:sz w:val="32"/>
          <w:szCs w:val="32"/>
          <w:lang w:val="en" w:eastAsia="zh-CN" w:bidi="ar-SA"/>
        </w:rPr>
        <w:t>）</w:t>
      </w:r>
      <w:r>
        <w:rPr>
          <w:rFonts w:hint="eastAsia" w:ascii="黑体" w:hAnsi="黑体" w:eastAsia="黑体" w:cs="黑体"/>
          <w:b w:val="0"/>
          <w:bCs/>
          <w:kern w:val="2"/>
          <w:sz w:val="32"/>
          <w:szCs w:val="32"/>
        </w:rPr>
        <w:t>紧抓合作医疗工作，开通</w:t>
      </w:r>
      <w:r>
        <w:rPr>
          <w:rFonts w:hint="eastAsia" w:ascii="黑体" w:hAnsi="黑体" w:eastAsia="黑体" w:cs="黑体"/>
          <w:b w:val="0"/>
          <w:bCs/>
          <w:kern w:val="2"/>
          <w:sz w:val="32"/>
          <w:szCs w:val="32"/>
          <w:lang w:eastAsia="zh-CN"/>
        </w:rPr>
        <w:t>困难</w:t>
      </w:r>
      <w:r>
        <w:rPr>
          <w:rFonts w:hint="eastAsia" w:ascii="黑体" w:hAnsi="黑体" w:eastAsia="黑体" w:cs="黑体"/>
          <w:b w:val="0"/>
          <w:bCs/>
          <w:kern w:val="2"/>
          <w:sz w:val="32"/>
          <w:szCs w:val="32"/>
        </w:rPr>
        <w:t>人员就医“绿色通道”</w:t>
      </w:r>
    </w:p>
    <w:p w14:paraId="581C8B5C">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val="0"/>
          <w:bCs/>
          <w:sz w:val="32"/>
          <w:szCs w:val="32"/>
        </w:rPr>
      </w:pPr>
      <w:r>
        <w:rPr>
          <w:rFonts w:hint="eastAsia" w:ascii="宋体" w:hAnsi="宋体" w:eastAsia="宋体" w:cs="宋体"/>
          <w:b/>
          <w:bCs/>
          <w:color w:val="000000"/>
          <w:kern w:val="0"/>
          <w:sz w:val="32"/>
          <w:szCs w:val="32"/>
          <w:lang w:val="en" w:eastAsia="zh-CN" w:bidi="ar-SA"/>
        </w:rPr>
        <w:t>（</w:t>
      </w:r>
      <w:r>
        <w:rPr>
          <w:rFonts w:hint="eastAsia" w:ascii="宋体" w:hAnsi="宋体" w:eastAsia="宋体" w:cs="宋体"/>
          <w:b/>
          <w:bCs/>
          <w:color w:val="000000"/>
          <w:kern w:val="0"/>
          <w:sz w:val="32"/>
          <w:szCs w:val="32"/>
          <w:lang w:val="en-US" w:eastAsia="zh-CN" w:bidi="ar-SA"/>
        </w:rPr>
        <w:t>7</w:t>
      </w:r>
      <w:r>
        <w:rPr>
          <w:rFonts w:hint="eastAsia" w:ascii="宋体" w:hAnsi="宋体" w:eastAsia="宋体" w:cs="宋体"/>
          <w:b/>
          <w:bCs/>
          <w:color w:val="000000"/>
          <w:kern w:val="0"/>
          <w:sz w:val="32"/>
          <w:szCs w:val="32"/>
          <w:lang w:val="en" w:eastAsia="zh-CN" w:bidi="ar-SA"/>
        </w:rPr>
        <w:t>）</w:t>
      </w:r>
      <w:r>
        <w:rPr>
          <w:rFonts w:hint="eastAsia" w:ascii="黑体" w:hAnsi="黑体" w:eastAsia="黑体" w:cs="黑体"/>
          <w:b w:val="0"/>
          <w:bCs/>
          <w:sz w:val="32"/>
          <w:szCs w:val="32"/>
        </w:rPr>
        <w:t>实抓健康扶贫工程，配合打好脱贫攻坚战</w:t>
      </w:r>
    </w:p>
    <w:p w14:paraId="54627667">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黑体" w:hAnsi="黑体" w:eastAsia="黑体" w:cs="黑体"/>
          <w:b w:val="0"/>
          <w:bCs/>
          <w:kern w:val="2"/>
          <w:sz w:val="32"/>
          <w:szCs w:val="32"/>
          <w:lang w:val="en" w:eastAsia="zh-CN"/>
        </w:rPr>
      </w:pPr>
    </w:p>
    <w:p w14:paraId="73CC96FB">
      <w:pPr>
        <w:pStyle w:val="10"/>
        <w:ind w:left="0" w:leftChars="0" w:firstLine="0" w:firstLineChars="0"/>
        <w:rPr>
          <w:sz w:val="31"/>
          <w:szCs w:val="31"/>
        </w:rPr>
      </w:pPr>
    </w:p>
    <w:p w14:paraId="10AF3E68">
      <w:pPr>
        <w:spacing w:before="194" w:line="221" w:lineRule="auto"/>
        <w:ind w:left="694"/>
        <w:outlineLvl w:val="0"/>
        <w:rPr>
          <w:rFonts w:hint="eastAsia" w:ascii="宋体" w:hAnsi="宋体" w:eastAsia="宋体" w:cs="宋体"/>
          <w:sz w:val="36"/>
          <w:szCs w:val="36"/>
        </w:rPr>
      </w:pPr>
      <w:r>
        <w:rPr>
          <w:rFonts w:hint="eastAsia" w:ascii="宋体" w:hAnsi="宋体" w:eastAsia="宋体" w:cs="宋体"/>
          <w:b/>
          <w:bCs/>
          <w:spacing w:val="-2"/>
          <w:sz w:val="36"/>
          <w:szCs w:val="36"/>
        </w:rPr>
        <w:t>二、</w:t>
      </w:r>
      <w:r>
        <w:rPr>
          <w:rFonts w:hint="eastAsia" w:ascii="宋体" w:hAnsi="宋体" w:eastAsia="宋体" w:cs="宋体"/>
          <w:spacing w:val="-68"/>
          <w:sz w:val="36"/>
          <w:szCs w:val="36"/>
        </w:rPr>
        <w:t xml:space="preserve"> </w:t>
      </w:r>
      <w:r>
        <w:rPr>
          <w:rFonts w:hint="eastAsia" w:ascii="宋体" w:hAnsi="宋体" w:eastAsia="宋体" w:cs="宋体"/>
          <w:b/>
          <w:bCs/>
          <w:spacing w:val="-2"/>
          <w:sz w:val="36"/>
          <w:szCs w:val="36"/>
        </w:rPr>
        <w:t>一般公共预算支出情况</w:t>
      </w:r>
    </w:p>
    <w:p w14:paraId="6FB2FE0D">
      <w:pPr>
        <w:spacing w:before="194" w:line="221" w:lineRule="auto"/>
        <w:ind w:left="694"/>
        <w:outlineLvl w:val="0"/>
        <w:rPr>
          <w:rFonts w:hint="eastAsia" w:ascii="宋体" w:hAnsi="宋体" w:eastAsia="宋体" w:cs="宋体"/>
          <w:b/>
          <w:bCs/>
          <w:spacing w:val="-2"/>
          <w:sz w:val="32"/>
          <w:szCs w:val="32"/>
          <w:lang w:val="en-US" w:eastAsia="zh-CN"/>
        </w:rPr>
      </w:pPr>
      <w:r>
        <w:rPr>
          <w:rFonts w:hint="eastAsia" w:ascii="宋体" w:hAnsi="宋体" w:eastAsia="宋体" w:cs="宋体"/>
          <w:b/>
          <w:bCs/>
          <w:spacing w:val="-2"/>
          <w:sz w:val="32"/>
          <w:szCs w:val="32"/>
          <w:lang w:val="en-US" w:eastAsia="zh-CN"/>
        </w:rPr>
        <w:t>(一）基本支出安排及使用情况</w:t>
      </w:r>
    </w:p>
    <w:p w14:paraId="6DA7D5AB">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我院2023年度基本支出整体状况良好，总支出1148.76万元（其中：财政拨款支出538.13万元），全部根据预算制度规范执行。其中人员经费400.97万元，主要用于人员的基本工资、津补贴、绩效工资、基本养老保险缴费、职业年金缴费、其他社会保障缴费、住房公积金、其他工资福利支出、其他对个人和家庭的补助支出等。日常公用经费747.78万元，主要用于单位办公费、印刷费、邮电费、水费、电费、物业管理费、差旅费、维护费、会议费、培训费、专用材料费、工会经费、福利费、其他交通费、其他商品和服务支出、设备购置等支出。</w:t>
      </w:r>
    </w:p>
    <w:p w14:paraId="191E316D">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val="en-US" w:eastAsia="zh-CN"/>
        </w:rPr>
      </w:pPr>
    </w:p>
    <w:p w14:paraId="531F43FB">
      <w:pPr>
        <w:numPr>
          <w:ilvl w:val="0"/>
          <w:numId w:val="2"/>
        </w:numPr>
        <w:spacing w:before="194" w:line="221" w:lineRule="auto"/>
        <w:ind w:left="694"/>
        <w:outlineLvl w:val="0"/>
        <w:rPr>
          <w:rFonts w:hint="eastAsia" w:ascii="宋体" w:hAnsi="宋体" w:eastAsia="宋体" w:cs="宋体"/>
          <w:b/>
          <w:bCs/>
          <w:color w:val="auto"/>
          <w:spacing w:val="-2"/>
          <w:sz w:val="32"/>
          <w:szCs w:val="32"/>
          <w:lang w:val="en-US" w:eastAsia="zh-CN"/>
        </w:rPr>
      </w:pPr>
      <w:r>
        <w:rPr>
          <w:rFonts w:hint="eastAsia" w:ascii="宋体" w:hAnsi="宋体" w:eastAsia="宋体" w:cs="宋体"/>
          <w:b/>
          <w:bCs/>
          <w:color w:val="auto"/>
          <w:spacing w:val="-2"/>
          <w:sz w:val="32"/>
          <w:szCs w:val="32"/>
          <w:lang w:val="en-US" w:eastAsia="zh-CN"/>
        </w:rPr>
        <w:t>项目支出安排及使用情况</w:t>
      </w:r>
    </w:p>
    <w:p w14:paraId="6DDDEDE3">
      <w:pPr>
        <w:keepNext w:val="0"/>
        <w:keepLines w:val="0"/>
        <w:pageBreakBefore w:val="0"/>
        <w:widowControl/>
        <w:kinsoku/>
        <w:wordWrap/>
        <w:overflowPunct/>
        <w:topLinePunct w:val="0"/>
        <w:autoSpaceDE/>
        <w:autoSpaceDN/>
        <w:bidi w:val="0"/>
        <w:adjustRightInd/>
        <w:snapToGrid/>
        <w:spacing w:line="560" w:lineRule="exact"/>
        <w:ind w:firstLine="645"/>
        <w:jc w:val="left"/>
        <w:rPr>
          <w:rFonts w:hint="default"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我院2023年度无项目支出。</w:t>
      </w:r>
    </w:p>
    <w:p w14:paraId="1FE2F277">
      <w:pPr>
        <w:pStyle w:val="10"/>
        <w:numPr>
          <w:ilvl w:val="0"/>
          <w:numId w:val="0"/>
        </w:numPr>
        <w:rPr>
          <w:rFonts w:hint="eastAsia"/>
          <w:lang w:val="en-US" w:eastAsia="zh-CN"/>
        </w:rPr>
      </w:pPr>
    </w:p>
    <w:p w14:paraId="32FBD6E9">
      <w:pPr>
        <w:pStyle w:val="10"/>
        <w:numPr>
          <w:ilvl w:val="0"/>
          <w:numId w:val="0"/>
        </w:numPr>
        <w:rPr>
          <w:rFonts w:hint="eastAsia"/>
          <w:lang w:val="en-US" w:eastAsia="zh-CN"/>
        </w:rPr>
      </w:pPr>
    </w:p>
    <w:p w14:paraId="252CC528">
      <w:pPr>
        <w:spacing w:before="194" w:line="221" w:lineRule="auto"/>
        <w:ind w:left="694"/>
        <w:outlineLvl w:val="0"/>
        <w:rPr>
          <w:rFonts w:hint="eastAsia" w:ascii="宋体" w:hAnsi="宋体" w:eastAsia="宋体" w:cs="宋体"/>
          <w:b/>
          <w:bCs/>
          <w:spacing w:val="-2"/>
          <w:sz w:val="36"/>
          <w:szCs w:val="36"/>
        </w:rPr>
      </w:pPr>
      <w:r>
        <w:rPr>
          <w:rFonts w:hint="eastAsia" w:ascii="宋体" w:hAnsi="宋体" w:eastAsia="宋体" w:cs="宋体"/>
          <w:b/>
          <w:bCs/>
          <w:spacing w:val="-2"/>
          <w:sz w:val="36"/>
          <w:szCs w:val="36"/>
          <w:lang w:val="en-US" w:eastAsia="zh-CN"/>
        </w:rPr>
        <w:t>三、</w:t>
      </w:r>
      <w:r>
        <w:rPr>
          <w:rFonts w:hint="eastAsia" w:ascii="宋体" w:hAnsi="宋体" w:eastAsia="宋体" w:cs="宋体"/>
          <w:b/>
          <w:bCs/>
          <w:spacing w:val="-2"/>
          <w:sz w:val="36"/>
          <w:szCs w:val="36"/>
        </w:rPr>
        <w:t>部门整体支出绩效情况</w:t>
      </w:r>
    </w:p>
    <w:p w14:paraId="7C1E59BB">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71AFEABB">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黑体" w:hAnsi="黑体" w:eastAsia="黑体" w:cs="黑体"/>
          <w:b/>
          <w:bCs w:val="0"/>
          <w:kern w:val="2"/>
          <w:sz w:val="32"/>
          <w:szCs w:val="32"/>
        </w:rPr>
      </w:pP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lang w:val="en-US" w:eastAsia="zh-CN"/>
        </w:rPr>
        <w:t>一</w:t>
      </w: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rPr>
        <w:t>狠抓政治思想工作，落实党风廉政建设</w:t>
      </w:r>
    </w:p>
    <w:p w14:paraId="13179CDF">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按照县卫健局党组和乐安镇党委的工作部署，以深入学习贯彻党的</w:t>
      </w:r>
      <w:r>
        <w:rPr>
          <w:rFonts w:hint="eastAsia" w:ascii="宋体" w:hAnsi="宋体" w:eastAsia="宋体" w:cs="宋体"/>
          <w:color w:val="000000"/>
          <w:sz w:val="32"/>
          <w:szCs w:val="32"/>
          <w:lang w:val="en-US" w:eastAsia="zh-CN"/>
        </w:rPr>
        <w:t>二十大</w:t>
      </w:r>
      <w:r>
        <w:rPr>
          <w:rFonts w:hint="eastAsia" w:ascii="宋体" w:hAnsi="宋体" w:eastAsia="宋体" w:cs="宋体"/>
          <w:color w:val="000000"/>
          <w:sz w:val="32"/>
          <w:szCs w:val="32"/>
          <w:lang w:eastAsia="zh-CN"/>
        </w:rPr>
        <w:t>大精神为主线，以开展“不忘初心、牢记使命主题教育”、“五化建设”、“三会一课”、 “纪律处分条例”及“两学一做”学习常态化制度化等活动为重点，认真加强党的思想建设、组织建设、作风建设和制度建设，以“病人利益第一，提高服务质量”为宗旨，在医疗改革中，锐意改革，开拓进取，勇于实践，充分发挥了党支部的战斗堡垒作用和共产党员的先锋模范作用，确保了我院工作的顺利开展。</w:t>
      </w:r>
    </w:p>
    <w:p w14:paraId="09CEE91D">
      <w:pPr>
        <w:pStyle w:val="9"/>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宋体" w:hAnsi="宋体" w:eastAsia="宋体" w:cs="宋体"/>
          <w:snapToGrid w:val="0"/>
          <w:color w:val="000000"/>
          <w:kern w:val="0"/>
          <w:sz w:val="32"/>
          <w:szCs w:val="32"/>
          <w:lang w:val="en-US" w:eastAsia="zh-CN" w:bidi="ar-SA"/>
        </w:rPr>
      </w:pPr>
      <w:r>
        <w:rPr>
          <w:rFonts w:hint="eastAsia" w:ascii="黑体" w:hAnsi="黑体" w:eastAsia="黑体" w:cs="黑体"/>
          <w:color w:val="auto"/>
          <w:sz w:val="32"/>
          <w:szCs w:val="32"/>
          <w:shd w:val="clear" w:color="auto" w:fill="FFFFFF"/>
          <w:lang w:eastAsia="zh-CN"/>
        </w:rPr>
        <w:t>一是</w:t>
      </w:r>
      <w:r>
        <w:rPr>
          <w:rFonts w:hint="eastAsia" w:ascii="黑体" w:hAnsi="黑体" w:eastAsia="黑体" w:cs="黑体"/>
          <w:color w:val="auto"/>
          <w:sz w:val="32"/>
          <w:szCs w:val="32"/>
          <w:shd w:val="clear" w:color="auto" w:fill="FFFFFF"/>
        </w:rPr>
        <w:t>加强理论学习</w:t>
      </w:r>
      <w:r>
        <w:rPr>
          <w:rFonts w:hint="eastAsia" w:ascii="黑体" w:hAnsi="黑体" w:eastAsia="黑体" w:cs="黑体"/>
          <w:color w:val="auto"/>
          <w:sz w:val="32"/>
          <w:szCs w:val="32"/>
          <w:shd w:val="clear" w:color="auto" w:fill="FFFFFF"/>
          <w:lang w:eastAsia="zh-CN"/>
        </w:rPr>
        <w:t>，提高思想认识</w:t>
      </w:r>
      <w:r>
        <w:rPr>
          <w:rFonts w:hint="eastAsia" w:ascii="黑体" w:hAnsi="黑体" w:eastAsia="黑体" w:cs="黑体"/>
          <w:color w:val="auto"/>
          <w:sz w:val="32"/>
          <w:szCs w:val="32"/>
          <w:shd w:val="clear" w:color="auto" w:fill="FFFFFF"/>
        </w:rPr>
        <w:t>。</w:t>
      </w:r>
      <w:r>
        <w:rPr>
          <w:rFonts w:hint="eastAsia" w:ascii="宋体" w:hAnsi="宋体" w:eastAsia="宋体" w:cs="宋体"/>
          <w:snapToGrid w:val="0"/>
          <w:color w:val="000000"/>
          <w:kern w:val="0"/>
          <w:sz w:val="32"/>
          <w:szCs w:val="32"/>
          <w:lang w:val="en-US" w:eastAsia="zh-CN" w:bidi="ar-SA"/>
        </w:rPr>
        <w:t>坚持每季度一次的党员干部学习制度，按照年度学习计划安排，结合实际认真落实。强化党员干部个人自学，要求将政治学习和业务及管理工作认真结合，积极撰写心得体会，促进思想和工作理念创新。通过全面加强政治理论学习，使党员干部的思想认识明显提高，队伍创造力</w:t>
      </w:r>
      <w:r>
        <w:rPr>
          <w:rFonts w:hint="eastAsia" w:ascii="仿宋_GB2312" w:hAnsi="仿宋_GB2312" w:eastAsia="仿宋_GB2312" w:cs="仿宋_GB2312"/>
          <w:color w:val="auto"/>
          <w:sz w:val="32"/>
          <w:szCs w:val="32"/>
          <w:shd w:val="clear" w:color="auto" w:fill="FFFFFF"/>
        </w:rPr>
        <w:t>、</w:t>
      </w:r>
      <w:r>
        <w:rPr>
          <w:rFonts w:hint="eastAsia" w:ascii="宋体" w:hAnsi="宋体" w:eastAsia="宋体" w:cs="宋体"/>
          <w:snapToGrid w:val="0"/>
          <w:color w:val="000000"/>
          <w:kern w:val="0"/>
          <w:sz w:val="32"/>
          <w:szCs w:val="32"/>
          <w:lang w:val="en-US" w:eastAsia="zh-CN" w:bidi="ar-SA"/>
        </w:rPr>
        <w:t>凝聚力、战斗力不断增强，核心作用更加突出。“抓党建促脱贫”主题党日活动开展以来，全体党员和积极分子为医院健康扶贫工作任务的顺利完成提供了强劲动力。</w:t>
      </w:r>
      <w:r>
        <w:rPr>
          <w:rFonts w:hint="eastAsia" w:ascii="宋体" w:hAnsi="宋体" w:eastAsia="宋体" w:cs="宋体"/>
          <w:b/>
          <w:bCs/>
          <w:snapToGrid w:val="0"/>
          <w:color w:val="000000"/>
          <w:kern w:val="0"/>
          <w:sz w:val="32"/>
          <w:szCs w:val="32"/>
          <w:lang w:val="en-US" w:eastAsia="zh-CN" w:bidi="ar-SA"/>
        </w:rPr>
        <w:t>二是坚持民主集中制，提升科学决策能力。</w:t>
      </w:r>
      <w:r>
        <w:rPr>
          <w:rFonts w:hint="eastAsia" w:ascii="宋体" w:hAnsi="宋体" w:eastAsia="宋体" w:cs="宋体"/>
          <w:snapToGrid w:val="0"/>
          <w:color w:val="000000"/>
          <w:kern w:val="0"/>
          <w:sz w:val="32"/>
          <w:szCs w:val="32"/>
          <w:lang w:val="en-US" w:eastAsia="zh-CN" w:bidi="ar-SA"/>
        </w:rPr>
        <w:t>班子成员之间维护团结，顾全大局，密切配合，认真履行分管岗位职责，在各项工作中能协同完成工作任务。对涉及重大问题决策、重要干部任免、重大项目安排、大额资金使用等事项，严格执行集体决策，召开支部班子成员会议集体研究决定。坚持各项例会制度，定期研究、通报各项工作。</w:t>
      </w:r>
      <w:r>
        <w:rPr>
          <w:rFonts w:hint="eastAsia" w:ascii="宋体" w:hAnsi="宋体" w:eastAsia="宋体" w:cs="宋体"/>
          <w:b/>
          <w:bCs/>
          <w:snapToGrid w:val="0"/>
          <w:color w:val="000000"/>
          <w:kern w:val="0"/>
          <w:sz w:val="32"/>
          <w:szCs w:val="32"/>
          <w:lang w:val="en-US" w:eastAsia="zh-CN" w:bidi="ar-SA"/>
        </w:rPr>
        <w:t>三是开好民主生活会，改善工作促团结。</w:t>
      </w:r>
      <w:r>
        <w:rPr>
          <w:rFonts w:hint="eastAsia" w:ascii="宋体" w:hAnsi="宋体" w:eastAsia="宋体" w:cs="宋体"/>
          <w:snapToGrid w:val="0"/>
          <w:color w:val="000000"/>
          <w:kern w:val="0"/>
          <w:sz w:val="32"/>
          <w:szCs w:val="32"/>
          <w:lang w:val="en-US" w:eastAsia="zh-CN" w:bidi="ar-SA"/>
        </w:rPr>
        <w:t>在年初召开民主生活会，认真做好会前准备工作，广泛征求职工意见和建议，生活会上，院班子成员之间联系思想和工作实际，开展批评和自我批评。会后，院党支部专题研究收集到的意见和建议，逐条进行讨论、分析、提出整改意见和措施。通过召开民主生活会使领导班子思想更明确，凝聚力进一步加强，班子更加团结。</w:t>
      </w:r>
    </w:p>
    <w:p w14:paraId="45AE9822">
      <w:pPr>
        <w:pStyle w:val="9"/>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宋体" w:hAnsi="宋体" w:eastAsia="宋体" w:cs="宋体"/>
          <w:snapToGrid w:val="0"/>
          <w:color w:val="000000"/>
          <w:kern w:val="0"/>
          <w:sz w:val="32"/>
          <w:szCs w:val="32"/>
          <w:lang w:val="en-US" w:eastAsia="zh-CN" w:bidi="ar-SA"/>
        </w:rPr>
      </w:pPr>
    </w:p>
    <w:p w14:paraId="10CB8727">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黑体" w:hAnsi="黑体" w:eastAsia="黑体" w:cs="黑体"/>
          <w:b/>
          <w:bCs w:val="0"/>
          <w:kern w:val="2"/>
          <w:sz w:val="32"/>
          <w:szCs w:val="32"/>
        </w:rPr>
      </w:pP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lang w:val="en-US" w:eastAsia="zh-CN"/>
        </w:rPr>
        <w:t>二</w:t>
      </w: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rPr>
        <w:t>严抓安全生产，推动各项工作稳定发展</w:t>
      </w:r>
    </w:p>
    <w:p w14:paraId="49B81724">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_GB2312" w:hAnsi="Times New Roman" w:eastAsia="仿宋_GB2312" w:cs="Times New Roman"/>
          <w:kern w:val="2"/>
          <w:sz w:val="32"/>
          <w:szCs w:val="32"/>
        </w:rPr>
      </w:pPr>
      <w:r>
        <w:rPr>
          <w:rFonts w:hint="eastAsia" w:ascii="宋体" w:hAnsi="宋体" w:eastAsia="宋体" w:cs="宋体"/>
          <w:snapToGrid w:val="0"/>
          <w:color w:val="000000"/>
          <w:kern w:val="0"/>
          <w:sz w:val="32"/>
          <w:szCs w:val="32"/>
          <w:lang w:val="en-US" w:eastAsia="zh-CN" w:bidi="ar-SA"/>
        </w:rPr>
        <w:t>安全生产是一项长期的、不可忽视的工作，关系到人民群众生命和国家财产安全，是摆在我院工作的重中之中。</w:t>
      </w:r>
    </w:p>
    <w:p w14:paraId="18822311">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一是院领导高度重视，亲自负责。</w:t>
      </w:r>
      <w:r>
        <w:rPr>
          <w:rFonts w:hint="eastAsia" w:ascii="宋体" w:hAnsi="宋体" w:eastAsia="宋体" w:cs="宋体"/>
          <w:snapToGrid w:val="0"/>
          <w:color w:val="000000"/>
          <w:kern w:val="0"/>
          <w:sz w:val="32"/>
          <w:szCs w:val="32"/>
          <w:lang w:val="en-US" w:eastAsia="zh-CN" w:bidi="ar-SA"/>
        </w:rPr>
        <w:t>成立了安全生产领导小组，责任到人，狠抓安全生产。并与各科室签订了安全生产目标管理责任书，确保医疗服务安全，继续深入开展以病人为中心，以提高医疗质量。</w:t>
      </w:r>
    </w:p>
    <w:p w14:paraId="0ABCF0D2">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二是努力创建平安医院。</w:t>
      </w:r>
      <w:r>
        <w:rPr>
          <w:rFonts w:hint="eastAsia" w:ascii="宋体" w:hAnsi="宋体" w:eastAsia="宋体" w:cs="宋体"/>
          <w:snapToGrid w:val="0"/>
          <w:color w:val="000000"/>
          <w:kern w:val="0"/>
          <w:sz w:val="32"/>
          <w:szCs w:val="32"/>
          <w:lang w:val="en-US" w:eastAsia="zh-CN" w:bidi="ar-SA"/>
        </w:rPr>
        <w:t>结合卫健局、镇综治办提出创建平安医院的创建工作，我院积极准备、精心部署，通过经常性检查、自查、抽查，加强医院消防、治安隐患排查与治理，杜绝安全生产事故，进一步提高医疗质量，保证诊疗秩序正常运行。同时做到目标明确、责任到人、强化检查监督，防范事件的发生。</w:t>
      </w:r>
    </w:p>
    <w:p w14:paraId="5B6CB2FB">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三是定期开展安全大检查。</w:t>
      </w:r>
      <w:r>
        <w:rPr>
          <w:rFonts w:hint="eastAsia" w:ascii="宋体" w:hAnsi="宋体" w:eastAsia="宋体" w:cs="宋体"/>
          <w:snapToGrid w:val="0"/>
          <w:color w:val="000000"/>
          <w:kern w:val="0"/>
          <w:sz w:val="32"/>
          <w:szCs w:val="32"/>
          <w:lang w:val="en-US" w:eastAsia="zh-CN" w:bidi="ar-SA"/>
        </w:rPr>
        <w:t>为使各项制度有效落实，坚持每季一次安全大检查，加大对重点科室的巡查力度，对检查出的问题及时提出整改意见，加强落实打击"两非"工作。一年来，医院的安全生产和治安状况良好，为医院的改革和发展营造了和谐稳定的社会环境。</w:t>
      </w:r>
    </w:p>
    <w:p w14:paraId="3CD8A76E">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宋体" w:hAnsi="宋体" w:eastAsia="宋体" w:cs="宋体"/>
          <w:snapToGrid w:val="0"/>
          <w:color w:val="000000"/>
          <w:kern w:val="0"/>
          <w:sz w:val="32"/>
          <w:szCs w:val="32"/>
          <w:lang w:val="en-US" w:eastAsia="zh-CN" w:bidi="ar-SA"/>
        </w:rPr>
      </w:pPr>
    </w:p>
    <w:p w14:paraId="40166B94">
      <w:pPr>
        <w:keepNext w:val="0"/>
        <w:keepLines w:val="0"/>
        <w:pageBreakBefore w:val="0"/>
        <w:kinsoku/>
        <w:wordWrap/>
        <w:overflowPunct/>
        <w:topLinePunct w:val="0"/>
        <w:autoSpaceDE/>
        <w:autoSpaceDN/>
        <w:bidi w:val="0"/>
        <w:adjustRightInd/>
        <w:snapToGrid/>
        <w:spacing w:line="580" w:lineRule="exact"/>
        <w:ind w:firstLine="472" w:firstLineChars="147"/>
        <w:textAlignment w:val="auto"/>
        <w:rPr>
          <w:rFonts w:hint="eastAsia" w:ascii="黑体" w:hAnsi="黑体" w:eastAsia="黑体" w:cs="黑体"/>
          <w:b/>
          <w:bCs w:val="0"/>
          <w:sz w:val="32"/>
          <w:szCs w:val="32"/>
        </w:rPr>
      </w:pPr>
      <w:r>
        <w:rPr>
          <w:rFonts w:hint="eastAsia" w:ascii="黑体" w:hAnsi="黑体" w:eastAsia="黑体" w:cs="黑体"/>
          <w:b/>
          <w:bCs w:val="0"/>
          <w:sz w:val="32"/>
          <w:szCs w:val="32"/>
          <w:lang w:eastAsia="zh-CN"/>
        </w:rPr>
        <w:t>（</w:t>
      </w:r>
      <w:r>
        <w:rPr>
          <w:rFonts w:hint="eastAsia" w:ascii="黑体" w:hAnsi="黑体" w:eastAsia="黑体" w:cs="黑体"/>
          <w:b/>
          <w:bCs w:val="0"/>
          <w:sz w:val="32"/>
          <w:szCs w:val="32"/>
          <w:lang w:val="en-US" w:eastAsia="zh-CN"/>
        </w:rPr>
        <w:t>三</w:t>
      </w:r>
      <w:r>
        <w:rPr>
          <w:rFonts w:hint="eastAsia" w:ascii="黑体" w:hAnsi="黑体" w:eastAsia="黑体" w:cs="黑体"/>
          <w:b/>
          <w:bCs w:val="0"/>
          <w:sz w:val="32"/>
          <w:szCs w:val="32"/>
          <w:lang w:eastAsia="zh-CN"/>
        </w:rPr>
        <w:t>）</w:t>
      </w:r>
      <w:r>
        <w:rPr>
          <w:rFonts w:hint="eastAsia" w:ascii="黑体" w:hAnsi="黑体" w:eastAsia="黑体" w:cs="黑体"/>
          <w:b/>
          <w:bCs w:val="0"/>
          <w:sz w:val="32"/>
          <w:szCs w:val="32"/>
        </w:rPr>
        <w:t>重抓公共卫生服务，落实各项惠民政策</w:t>
      </w:r>
    </w:p>
    <w:p w14:paraId="28E6610B">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一是建立健康档案</w:t>
      </w:r>
      <w:r>
        <w:rPr>
          <w:rFonts w:hint="eastAsia" w:ascii="宋体" w:hAnsi="宋体" w:eastAsia="宋体" w:cs="宋体"/>
          <w:snapToGrid w:val="0"/>
          <w:color w:val="000000"/>
          <w:kern w:val="0"/>
          <w:sz w:val="32"/>
          <w:szCs w:val="32"/>
          <w:lang w:val="en-US" w:eastAsia="zh-CN" w:bidi="ar-SA"/>
        </w:rPr>
        <w:t>。2023年累计建立健康档案46539人，电子录入46539人，建档率达到100%，其中65岁以上老年人7260人，糖尿病病825例，高血压2456例，重症精神病274例。全年组织正规的健康体检，全镇65岁以上老年人共体检5148人，，糖尿病管理人员体检663人，高血压管理人员体检2102人，基本达到上级要求。</w:t>
      </w:r>
    </w:p>
    <w:p w14:paraId="282FEE10">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二是扎实开展妇幼保健工作。</w:t>
      </w:r>
      <w:bookmarkStart w:id="0" w:name="OLE_LINK1"/>
      <w:r>
        <w:rPr>
          <w:rFonts w:hint="eastAsia" w:ascii="宋体" w:hAnsi="宋体" w:eastAsia="宋体" w:cs="宋体"/>
          <w:snapToGrid w:val="0"/>
          <w:color w:val="000000"/>
          <w:kern w:val="0"/>
          <w:sz w:val="32"/>
          <w:szCs w:val="32"/>
          <w:lang w:val="en-US" w:eastAsia="zh-CN" w:bidi="ar-SA"/>
        </w:rPr>
        <w:t xml:space="preserve">全镇产妇总数389人，新生儿出生数为393人（双胞胎4对），产前检查389人，检查率为100%，产后访视数389人，长期在外167人，访视率为100%，产妇系统管理数为370人，管理率为95%，住院分娩数为389人，非住院分娩0人，住院分娩率达100%。  </w:t>
      </w:r>
    </w:p>
    <w:bookmarkEnd w:id="0"/>
    <w:p w14:paraId="4EF4DFBD">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snapToGrid w:val="0"/>
          <w:color w:val="000000"/>
          <w:kern w:val="0"/>
          <w:sz w:val="32"/>
          <w:szCs w:val="32"/>
          <w:lang w:val="en-US" w:eastAsia="zh-CN" w:bidi="ar-SA"/>
        </w:rPr>
        <w:t>7岁以下儿童3815人，建档 3774人，建档率98.9 %，5岁以下儿童死亡1例，其中新生儿死亡0例，发放营养包783人，发放营养包5509盒。</w:t>
      </w:r>
    </w:p>
    <w:p w14:paraId="22D1F4E4">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三是计免工作常抓不懈。</w:t>
      </w:r>
      <w:r>
        <w:rPr>
          <w:rFonts w:hint="eastAsia" w:ascii="宋体" w:hAnsi="宋体" w:eastAsia="宋体" w:cs="宋体"/>
          <w:snapToGrid w:val="0"/>
          <w:color w:val="000000"/>
          <w:kern w:val="0"/>
          <w:sz w:val="32"/>
          <w:szCs w:val="32"/>
          <w:lang w:val="en-US" w:eastAsia="zh-CN" w:bidi="ar-SA"/>
        </w:rPr>
        <w:t>按程序规范接种各种疫苗5071次，其中接种乙肝疫苗542人次。认真落实疫情报告和肠道门诊规范管理工作，1-12月份直报传染病13例，并及时给与了治疗和正确的指导了用药，无迟报、漏报现象。并对全镇4位结核病人和 39位癫痫病人进行系统管理。狠抓健康教育工作，结合全镇实际，制作了针对新冠肺炎疫情防控、常见病、慢性病、传染病防治和健康生活的宣教展板110余块。今年未发生接种失误和事故。</w:t>
      </w:r>
    </w:p>
    <w:p w14:paraId="1113B79F">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四是乡村一体化管理稳步推进。</w:t>
      </w:r>
      <w:r>
        <w:rPr>
          <w:rFonts w:hint="eastAsia" w:ascii="宋体" w:hAnsi="宋体" w:eastAsia="宋体" w:cs="宋体"/>
          <w:snapToGrid w:val="0"/>
          <w:color w:val="000000"/>
          <w:kern w:val="0"/>
          <w:sz w:val="32"/>
          <w:szCs w:val="32"/>
          <w:lang w:val="en-US" w:eastAsia="zh-CN" w:bidi="ar-SA"/>
        </w:rPr>
        <w:t>每季度召开一次乡村医生例会，并以会代培方式加强公共卫生服务知识的培训。年初与乡村医生签订各项责任状（包括基药制度及公卫服务的各项指标），将公卫任务完成质量与数量直接与各项下拨经费挂勾，平时定期对乡村医生进行督导检查，为乡村医生制订了统一的病人登记本及医疗垃圾处置登记本，发放了医疗废物周转箱，统一回收医疗废物。并组织公卫办全体人员对乡村医生进行正规的年终考核排名打分，评选出优胜村卫生室及单项工作先进分子，使乡村医生管理逐步走上正规。</w:t>
      </w:r>
    </w:p>
    <w:p w14:paraId="37DD3923">
      <w:pPr>
        <w:pStyle w:val="2"/>
        <w:rPr>
          <w:rFonts w:hint="eastAsia"/>
          <w:lang w:val="en-US" w:eastAsia="zh-CN"/>
        </w:rPr>
      </w:pPr>
    </w:p>
    <w:p w14:paraId="09FEA549">
      <w:pPr>
        <w:pStyle w:val="2"/>
        <w:rPr>
          <w:rFonts w:hint="eastAsia"/>
          <w:lang w:val="en-US" w:eastAsia="zh-CN"/>
        </w:rPr>
      </w:pPr>
    </w:p>
    <w:p w14:paraId="67AC1EE1">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黑体" w:hAnsi="黑体" w:eastAsia="黑体" w:cs="黑体"/>
          <w:b/>
          <w:bCs w:val="0"/>
          <w:sz w:val="32"/>
          <w:szCs w:val="32"/>
        </w:rPr>
      </w:pPr>
      <w:r>
        <w:rPr>
          <w:rFonts w:hint="eastAsia" w:ascii="黑体" w:hAnsi="黑体" w:eastAsia="黑体" w:cs="黑体"/>
          <w:b/>
          <w:bCs w:val="0"/>
          <w:sz w:val="32"/>
          <w:szCs w:val="32"/>
          <w:lang w:eastAsia="zh-CN"/>
        </w:rPr>
        <w:t>（</w:t>
      </w:r>
      <w:r>
        <w:rPr>
          <w:rFonts w:hint="eastAsia" w:ascii="黑体" w:hAnsi="黑体" w:eastAsia="黑体" w:cs="黑体"/>
          <w:b/>
          <w:bCs w:val="0"/>
          <w:sz w:val="32"/>
          <w:szCs w:val="32"/>
          <w:lang w:val="en-US" w:eastAsia="zh-CN"/>
        </w:rPr>
        <w:t>四</w:t>
      </w:r>
      <w:r>
        <w:rPr>
          <w:rFonts w:hint="eastAsia" w:ascii="黑体" w:hAnsi="黑体" w:eastAsia="黑体" w:cs="黑体"/>
          <w:b/>
          <w:bCs w:val="0"/>
          <w:sz w:val="32"/>
          <w:szCs w:val="32"/>
          <w:lang w:eastAsia="zh-CN"/>
        </w:rPr>
        <w:t>）</w:t>
      </w:r>
      <w:r>
        <w:rPr>
          <w:rFonts w:hint="eastAsia" w:ascii="黑体" w:hAnsi="黑体" w:eastAsia="黑体" w:cs="黑体"/>
          <w:b/>
          <w:bCs w:val="0"/>
          <w:sz w:val="32"/>
          <w:szCs w:val="32"/>
        </w:rPr>
        <w:t>常抓医疗服务质量，完善医疗服务水平</w:t>
      </w:r>
    </w:p>
    <w:p w14:paraId="0872F480">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z w:val="32"/>
          <w:szCs w:val="32"/>
          <w:lang w:val="en-US" w:eastAsia="zh-CN"/>
        </w:rPr>
        <w:t>一是</w:t>
      </w:r>
      <w:r>
        <w:rPr>
          <w:rFonts w:hint="eastAsia" w:ascii="宋体" w:hAnsi="宋体" w:eastAsia="宋体" w:cs="宋体"/>
          <w:b/>
          <w:bCs/>
          <w:sz w:val="32"/>
          <w:szCs w:val="32"/>
        </w:rPr>
        <w:t>院领导积极参与。</w:t>
      </w:r>
      <w:r>
        <w:rPr>
          <w:rFonts w:hint="eastAsia" w:ascii="宋体" w:hAnsi="宋体" w:eastAsia="宋体" w:cs="宋体"/>
          <w:snapToGrid w:val="0"/>
          <w:color w:val="000000"/>
          <w:kern w:val="0"/>
          <w:sz w:val="32"/>
          <w:szCs w:val="32"/>
          <w:lang w:val="en-US" w:eastAsia="zh-CN" w:bidi="ar-SA"/>
        </w:rPr>
        <w:t>为加强医疗安全医疗质量管理，狠抓医疗核心制度落实。院长参加每周星期一的晨间交班听取工作汇报，解决实际困难已成为工作常态。并且组织医护人员对出院病人进行回访，收到病患好评。</w:t>
      </w:r>
    </w:p>
    <w:p w14:paraId="4FC1D18C">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z w:val="32"/>
          <w:szCs w:val="32"/>
          <w:lang w:val="en-US" w:eastAsia="zh-CN"/>
        </w:rPr>
        <w:t>二是培训学习常态化。</w:t>
      </w:r>
      <w:r>
        <w:rPr>
          <w:rFonts w:hint="eastAsia" w:ascii="宋体" w:hAnsi="宋体" w:eastAsia="宋体" w:cs="宋体"/>
          <w:snapToGrid w:val="0"/>
          <w:color w:val="000000"/>
          <w:kern w:val="0"/>
          <w:sz w:val="32"/>
          <w:szCs w:val="32"/>
          <w:lang w:val="en-US" w:eastAsia="zh-CN" w:bidi="ar-SA"/>
        </w:rPr>
        <w:t>定期组织“三基”考试，对表现优秀的医护人员进行奖励，邀请二医院专家来院上课，派骨干医生参加上级组织的培训等。</w:t>
      </w:r>
    </w:p>
    <w:p w14:paraId="2ABD9CA7">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z w:val="32"/>
          <w:szCs w:val="32"/>
          <w:lang w:val="en-US" w:eastAsia="zh-CN"/>
        </w:rPr>
        <w:t>三是加强中医药建设。</w:t>
      </w:r>
      <w:r>
        <w:rPr>
          <w:rFonts w:hint="eastAsia" w:ascii="宋体" w:hAnsi="宋体" w:eastAsia="宋体" w:cs="宋体"/>
          <w:snapToGrid w:val="0"/>
          <w:color w:val="000000"/>
          <w:kern w:val="0"/>
          <w:sz w:val="32"/>
          <w:szCs w:val="32"/>
          <w:lang w:val="en-US" w:eastAsia="zh-CN" w:bidi="ar-SA"/>
        </w:rPr>
        <w:t>成立中医馆，开展中医药、针灸、推拿、火罐、刮痧、中频治理、红外线治疗等中医药适宜技术服务。</w:t>
      </w:r>
    </w:p>
    <w:p w14:paraId="140FF02A">
      <w:pPr>
        <w:pStyle w:val="2"/>
        <w:rPr>
          <w:rFonts w:hint="eastAsia"/>
          <w:lang w:val="en-US" w:eastAsia="zh-CN"/>
        </w:rPr>
      </w:pPr>
    </w:p>
    <w:p w14:paraId="0B4613C0">
      <w:pPr>
        <w:pStyle w:val="2"/>
        <w:rPr>
          <w:rFonts w:hint="eastAsia"/>
          <w:lang w:val="en-US" w:eastAsia="zh-CN"/>
        </w:rPr>
      </w:pPr>
    </w:p>
    <w:p w14:paraId="0CE947FC">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黑体" w:hAnsi="黑体" w:eastAsia="黑体" w:cs="黑体"/>
          <w:b/>
          <w:bCs w:val="0"/>
          <w:sz w:val="32"/>
          <w:szCs w:val="32"/>
          <w:lang w:eastAsia="zh-CN"/>
        </w:rPr>
      </w:pPr>
      <w:r>
        <w:rPr>
          <w:rFonts w:hint="eastAsia" w:ascii="黑体" w:hAnsi="黑体" w:eastAsia="黑体" w:cs="黑体"/>
          <w:b/>
          <w:bCs w:val="0"/>
          <w:sz w:val="32"/>
          <w:szCs w:val="32"/>
          <w:lang w:eastAsia="zh-CN"/>
        </w:rPr>
        <w:t>（</w:t>
      </w:r>
      <w:r>
        <w:rPr>
          <w:rFonts w:hint="eastAsia" w:ascii="黑体" w:hAnsi="黑体" w:eastAsia="黑体" w:cs="黑体"/>
          <w:b/>
          <w:bCs w:val="0"/>
          <w:sz w:val="32"/>
          <w:szCs w:val="32"/>
          <w:lang w:val="en-US" w:eastAsia="zh-CN"/>
        </w:rPr>
        <w:t>五</w:t>
      </w:r>
      <w:r>
        <w:rPr>
          <w:rFonts w:hint="eastAsia" w:ascii="黑体" w:hAnsi="黑体" w:eastAsia="黑体" w:cs="黑体"/>
          <w:b/>
          <w:bCs w:val="0"/>
          <w:sz w:val="32"/>
          <w:szCs w:val="32"/>
          <w:lang w:eastAsia="zh-CN"/>
        </w:rPr>
        <w:t>）细抓医药卫生体制改革，稳步推进医改政策实施</w:t>
      </w:r>
    </w:p>
    <w:p w14:paraId="24390CB1">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一是急群众之所急。</w:t>
      </w:r>
      <w:r>
        <w:rPr>
          <w:rFonts w:hint="eastAsia" w:ascii="宋体" w:hAnsi="宋体" w:eastAsia="宋体" w:cs="宋体"/>
          <w:snapToGrid w:val="0"/>
          <w:color w:val="000000"/>
          <w:kern w:val="0"/>
          <w:sz w:val="32"/>
          <w:szCs w:val="32"/>
          <w:lang w:val="en-US" w:eastAsia="zh-CN" w:bidi="ar-SA"/>
        </w:rPr>
        <w:t>我院全部实行新的基药目录和《湖南省增补药物目录》，为保障急救药品和儿童用药及临床必须药品，采购了少量非基药，但总量控制在10%以内。所有药品严格执行网上采购，药品零差价销售。</w:t>
      </w:r>
    </w:p>
    <w:p w14:paraId="66C719ED">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二是想群众之所需。</w:t>
      </w:r>
      <w:r>
        <w:rPr>
          <w:rFonts w:hint="eastAsia" w:ascii="宋体" w:hAnsi="宋体" w:eastAsia="宋体" w:cs="宋体"/>
          <w:snapToGrid w:val="0"/>
          <w:color w:val="000000"/>
          <w:kern w:val="0"/>
          <w:sz w:val="32"/>
          <w:szCs w:val="32"/>
          <w:lang w:val="en-US" w:eastAsia="zh-CN" w:bidi="ar-SA"/>
        </w:rPr>
        <w:t>联合湖南省脑科医院、安化县第二人民医院医生开展义诊，发放免费药品，受到群众一致好评。</w:t>
      </w:r>
    </w:p>
    <w:p w14:paraId="7F928914">
      <w:pPr>
        <w:pStyle w:val="2"/>
        <w:rPr>
          <w:rFonts w:hint="eastAsia"/>
          <w:lang w:val="en-US" w:eastAsia="zh-CN"/>
        </w:rPr>
      </w:pPr>
    </w:p>
    <w:p w14:paraId="78FA8078">
      <w:pPr>
        <w:pStyle w:val="2"/>
        <w:rPr>
          <w:rFonts w:hint="eastAsia"/>
          <w:lang w:val="en-US" w:eastAsia="zh-CN"/>
        </w:rPr>
      </w:pPr>
    </w:p>
    <w:p w14:paraId="15060148">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textAlignment w:val="auto"/>
        <w:rPr>
          <w:rFonts w:hint="eastAsia" w:ascii="黑体" w:hAnsi="黑体" w:eastAsia="黑体" w:cs="黑体"/>
          <w:b/>
          <w:bCs w:val="0"/>
          <w:kern w:val="2"/>
          <w:sz w:val="32"/>
          <w:szCs w:val="32"/>
        </w:rPr>
      </w:pP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lang w:val="en-US" w:eastAsia="zh-CN"/>
        </w:rPr>
        <w:t>六</w:t>
      </w:r>
      <w:r>
        <w:rPr>
          <w:rFonts w:hint="eastAsia" w:ascii="黑体" w:hAnsi="黑体" w:eastAsia="黑体" w:cs="黑体"/>
          <w:b/>
          <w:bCs w:val="0"/>
          <w:kern w:val="2"/>
          <w:sz w:val="32"/>
          <w:szCs w:val="32"/>
          <w:lang w:eastAsia="zh-CN"/>
        </w:rPr>
        <w:t>）</w:t>
      </w:r>
      <w:r>
        <w:rPr>
          <w:rFonts w:hint="eastAsia" w:ascii="黑体" w:hAnsi="黑体" w:eastAsia="黑体" w:cs="黑体"/>
          <w:b/>
          <w:bCs w:val="0"/>
          <w:kern w:val="2"/>
          <w:sz w:val="32"/>
          <w:szCs w:val="32"/>
        </w:rPr>
        <w:t>紧抓合作医疗工作，开通</w:t>
      </w:r>
      <w:r>
        <w:rPr>
          <w:rFonts w:hint="eastAsia" w:ascii="黑体" w:hAnsi="黑体" w:eastAsia="黑体" w:cs="黑体"/>
          <w:b/>
          <w:bCs w:val="0"/>
          <w:kern w:val="2"/>
          <w:sz w:val="32"/>
          <w:szCs w:val="32"/>
          <w:lang w:eastAsia="zh-CN"/>
        </w:rPr>
        <w:t>困难</w:t>
      </w:r>
      <w:r>
        <w:rPr>
          <w:rFonts w:hint="eastAsia" w:ascii="黑体" w:hAnsi="黑体" w:eastAsia="黑体" w:cs="黑体"/>
          <w:b/>
          <w:bCs w:val="0"/>
          <w:kern w:val="2"/>
          <w:sz w:val="32"/>
          <w:szCs w:val="32"/>
        </w:rPr>
        <w:t>人员就医“绿色通道”</w:t>
      </w:r>
    </w:p>
    <w:p w14:paraId="0A7E16F7">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napToGrid w:val="0"/>
          <w:color w:val="000000"/>
          <w:kern w:val="0"/>
          <w:sz w:val="32"/>
          <w:szCs w:val="32"/>
          <w:lang w:val="en-US" w:eastAsia="zh-CN" w:bidi="ar-SA"/>
        </w:rPr>
      </w:pPr>
      <w:r>
        <w:rPr>
          <w:rFonts w:hint="eastAsia" w:ascii="宋体" w:hAnsi="宋体" w:eastAsia="宋体" w:cs="宋体"/>
          <w:b/>
          <w:bCs/>
          <w:snapToGrid w:val="0"/>
          <w:color w:val="000000"/>
          <w:kern w:val="0"/>
          <w:sz w:val="32"/>
          <w:szCs w:val="32"/>
          <w:lang w:val="en-US" w:eastAsia="zh-CN" w:bidi="ar-SA"/>
        </w:rPr>
        <w:t>一是圆满完成合作医疗任务。</w:t>
      </w:r>
      <w:r>
        <w:rPr>
          <w:rFonts w:hint="eastAsia" w:ascii="宋体" w:hAnsi="宋体" w:eastAsia="宋体" w:cs="宋体"/>
          <w:snapToGrid w:val="0"/>
          <w:color w:val="000000"/>
          <w:kern w:val="0"/>
          <w:sz w:val="32"/>
          <w:szCs w:val="32"/>
          <w:lang w:val="en-US" w:eastAsia="zh-CN" w:bidi="ar-SA"/>
        </w:rPr>
        <w:t>新型农村合作医疗这一惠民政策实施以来，我们各村广泛宣传新农合政策，组织定点乡村医生积极配合村干部做好筹资工作，联系外出务工人员参合，为2023参合任务的完成打下了坚实的基础。各村筹资结束后立即进行参合信息的录入与整合，及时建立了2023年参合信息档案。2023年全镇有42582人参加新型农村合作医疗保险。今年1-11月共为1558人次住院参合患者办理报销，住院总费用257.5万元，次均费用1652.9元。</w:t>
      </w:r>
    </w:p>
    <w:p w14:paraId="7C11A1F3">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宋体" w:hAnsi="宋体" w:eastAsia="宋体" w:cs="宋体"/>
          <w:sz w:val="32"/>
          <w:szCs w:val="32"/>
        </w:rPr>
      </w:pPr>
      <w:r>
        <w:rPr>
          <w:rFonts w:hint="eastAsia" w:ascii="宋体" w:hAnsi="宋体" w:eastAsia="宋体" w:cs="宋体"/>
          <w:b/>
          <w:bCs/>
          <w:sz w:val="32"/>
          <w:szCs w:val="32"/>
        </w:rPr>
        <w:t>二是有序开展合作医疗政策学习</w:t>
      </w:r>
      <w:r>
        <w:rPr>
          <w:rFonts w:hint="eastAsia" w:ascii="宋体" w:hAnsi="宋体" w:eastAsia="宋体" w:cs="宋体"/>
          <w:b/>
          <w:bCs/>
          <w:sz w:val="32"/>
          <w:szCs w:val="32"/>
          <w:lang w:eastAsia="zh-CN"/>
        </w:rPr>
        <w:t>，积极推进“反骗保”工作。</w:t>
      </w:r>
      <w:r>
        <w:rPr>
          <w:rFonts w:hint="eastAsia" w:ascii="宋体" w:hAnsi="宋体" w:eastAsia="宋体" w:cs="宋体"/>
          <w:sz w:val="32"/>
          <w:szCs w:val="32"/>
        </w:rPr>
        <w:t>对全院医护人员进行了合作医疗政策学习，定期召开了院务会议研究医保工作，按要求设置了医保政策宣传栏，签订了责任状，每月10日前公示上月医保补偿有关资料。医保工作领导小组人员定期深入病房、科室进行检查。</w:t>
      </w:r>
      <w:r>
        <w:rPr>
          <w:rFonts w:hint="eastAsia" w:ascii="宋体" w:hAnsi="宋体" w:eastAsia="宋体" w:cs="宋体"/>
          <w:sz w:val="32"/>
          <w:szCs w:val="32"/>
          <w:lang w:eastAsia="zh-CN"/>
        </w:rPr>
        <w:t>至“反骗保”工作开展以来，召开专题工作推进会议，开展自纠自查，</w:t>
      </w:r>
      <w:r>
        <w:rPr>
          <w:rFonts w:hint="eastAsia" w:ascii="宋体" w:hAnsi="宋体" w:eastAsia="宋体" w:cs="宋体"/>
          <w:sz w:val="32"/>
          <w:szCs w:val="32"/>
        </w:rPr>
        <w:t>全年无套取合作医疗基金行为发生。</w:t>
      </w:r>
    </w:p>
    <w:p w14:paraId="670390DF">
      <w:pPr>
        <w:pStyle w:val="2"/>
        <w:keepNext w:val="0"/>
        <w:keepLines w:val="0"/>
        <w:pageBreakBefore w:val="0"/>
        <w:numPr>
          <w:ilvl w:val="0"/>
          <w:numId w:val="0"/>
        </w:numPr>
        <w:kinsoku/>
        <w:wordWrap/>
        <w:overflowPunct/>
        <w:topLinePunct w:val="0"/>
        <w:autoSpaceDE/>
        <w:autoSpaceDN/>
        <w:bidi w:val="0"/>
        <w:adjustRightInd/>
        <w:snapToGrid/>
        <w:spacing w:line="580" w:lineRule="exact"/>
        <w:ind w:leftChars="0" w:firstLine="643" w:firstLineChars="200"/>
        <w:textAlignment w:val="auto"/>
        <w:rPr>
          <w:rFonts w:hint="eastAsia" w:ascii="宋体" w:hAnsi="宋体" w:eastAsia="宋体" w:cs="宋体"/>
          <w:kern w:val="2"/>
          <w:sz w:val="32"/>
          <w:szCs w:val="32"/>
          <w:lang w:val="en-US" w:eastAsia="zh-CN" w:bidi="ar-SA"/>
        </w:rPr>
      </w:pPr>
      <w:r>
        <w:rPr>
          <w:rFonts w:hint="eastAsia" w:ascii="宋体" w:hAnsi="宋体" w:eastAsia="宋体" w:cs="宋体"/>
          <w:b/>
          <w:bCs/>
          <w:sz w:val="32"/>
          <w:szCs w:val="32"/>
        </w:rPr>
        <w:t>三是积极落实</w:t>
      </w:r>
      <w:r>
        <w:rPr>
          <w:rFonts w:hint="eastAsia" w:ascii="宋体" w:hAnsi="宋体" w:eastAsia="宋体" w:cs="宋体"/>
          <w:b/>
          <w:bCs/>
          <w:sz w:val="32"/>
          <w:szCs w:val="32"/>
          <w:lang w:eastAsia="zh-CN"/>
        </w:rPr>
        <w:t>困难</w:t>
      </w:r>
      <w:r>
        <w:rPr>
          <w:rFonts w:hint="eastAsia" w:ascii="宋体" w:hAnsi="宋体" w:eastAsia="宋体" w:cs="宋体"/>
          <w:b/>
          <w:bCs/>
          <w:sz w:val="32"/>
          <w:szCs w:val="32"/>
        </w:rPr>
        <w:t>人员就医各项惠民政策。</w:t>
      </w:r>
      <w:r>
        <w:rPr>
          <w:rFonts w:hint="eastAsia" w:ascii="宋体" w:hAnsi="宋体" w:eastAsia="宋体" w:cs="宋体"/>
          <w:sz w:val="32"/>
          <w:szCs w:val="32"/>
          <w:lang w:eastAsia="zh-CN"/>
        </w:rPr>
        <w:t>困难</w:t>
      </w:r>
      <w:r>
        <w:rPr>
          <w:rFonts w:hint="eastAsia" w:ascii="宋体" w:hAnsi="宋体" w:eastAsia="宋体" w:cs="宋体"/>
          <w:sz w:val="32"/>
          <w:szCs w:val="32"/>
        </w:rPr>
        <w:t>患者在我院住院实行先诊疗后付费，设立“绿色通道”服务窗口，实现基本医疗保险、大病保险、疾病应急救助、医疗救助“一站式”信息交换和即时结算</w:t>
      </w:r>
      <w:r>
        <w:rPr>
          <w:rFonts w:hint="eastAsia" w:ascii="宋体" w:hAnsi="宋体" w:eastAsia="宋体" w:cs="宋体"/>
          <w:kern w:val="2"/>
          <w:sz w:val="32"/>
          <w:szCs w:val="32"/>
          <w:lang w:val="en-US" w:eastAsia="zh-CN" w:bidi="ar-SA"/>
        </w:rPr>
        <w:t>，困难患者只需在出院时支付自负医疗费用。根据医保中心要求，每一位在本院住院的建档立卡困难户的报销比例达到85%以上，并对以前住院的困难户进行追补，此项工作在12月初全部完成。</w:t>
      </w:r>
    </w:p>
    <w:p w14:paraId="0AACB65C">
      <w:pPr>
        <w:rPr>
          <w:rFonts w:hint="eastAsia"/>
        </w:rPr>
      </w:pPr>
    </w:p>
    <w:p w14:paraId="3BE1F19A">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lang w:eastAsia="zh-CN"/>
        </w:rPr>
        <w:t>（</w:t>
      </w:r>
      <w:r>
        <w:rPr>
          <w:rFonts w:hint="eastAsia" w:ascii="黑体" w:hAnsi="黑体" w:eastAsia="黑体" w:cs="黑体"/>
          <w:b/>
          <w:bCs w:val="0"/>
          <w:sz w:val="32"/>
          <w:szCs w:val="32"/>
          <w:lang w:val="en-US" w:eastAsia="zh-CN"/>
        </w:rPr>
        <w:t>七</w:t>
      </w:r>
      <w:r>
        <w:rPr>
          <w:rFonts w:hint="eastAsia" w:ascii="黑体" w:hAnsi="黑体" w:eastAsia="黑体" w:cs="黑体"/>
          <w:b/>
          <w:bCs w:val="0"/>
          <w:sz w:val="32"/>
          <w:szCs w:val="32"/>
          <w:lang w:eastAsia="zh-CN"/>
        </w:rPr>
        <w:t>）</w:t>
      </w:r>
      <w:r>
        <w:rPr>
          <w:rFonts w:hint="eastAsia" w:ascii="黑体" w:hAnsi="黑体" w:eastAsia="黑体" w:cs="黑体"/>
          <w:b/>
          <w:bCs w:val="0"/>
          <w:sz w:val="32"/>
          <w:szCs w:val="32"/>
        </w:rPr>
        <w:t>实抓健康扶贫工程，配合打好脱贫攻坚战</w:t>
      </w:r>
    </w:p>
    <w:p w14:paraId="33DB60EB">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宋体" w:cs="宋体"/>
          <w:kern w:val="0"/>
          <w:sz w:val="32"/>
          <w:szCs w:val="32"/>
          <w:lang w:val="en-US" w:eastAsia="zh-CN"/>
        </w:rPr>
      </w:pPr>
      <w:r>
        <w:rPr>
          <w:rFonts w:hint="eastAsia" w:ascii="宋体" w:hAnsi="宋体" w:eastAsia="宋体" w:cs="宋体"/>
          <w:sz w:val="32"/>
          <w:szCs w:val="32"/>
          <w:lang w:val="en-US" w:eastAsia="zh-CN"/>
        </w:rPr>
        <w:t>2023年以来，</w:t>
      </w:r>
      <w:r>
        <w:rPr>
          <w:rFonts w:hint="eastAsia" w:ascii="宋体" w:hAnsi="宋体" w:eastAsia="宋体" w:cs="宋体"/>
          <w:sz w:val="32"/>
          <w:szCs w:val="32"/>
        </w:rPr>
        <w:t>对</w:t>
      </w:r>
      <w:r>
        <w:rPr>
          <w:rFonts w:hint="eastAsia" w:ascii="宋体" w:hAnsi="宋体" w:eastAsia="宋体" w:cs="宋体"/>
          <w:sz w:val="32"/>
          <w:szCs w:val="32"/>
          <w:lang w:eastAsia="zh-CN"/>
        </w:rPr>
        <w:t>困难</w:t>
      </w:r>
      <w:r>
        <w:rPr>
          <w:rFonts w:hint="eastAsia" w:ascii="宋体" w:hAnsi="宋体" w:eastAsia="宋体" w:cs="宋体"/>
          <w:sz w:val="32"/>
          <w:szCs w:val="32"/>
        </w:rPr>
        <w:t>人口中“大病、慢病、重病”实施“三个一批”方案，建好“因病致贫、因病返贫”</w:t>
      </w:r>
      <w:r>
        <w:rPr>
          <w:rFonts w:hint="eastAsia" w:ascii="宋体" w:hAnsi="宋体" w:eastAsia="宋体" w:cs="宋体"/>
          <w:sz w:val="32"/>
          <w:szCs w:val="32"/>
          <w:lang w:eastAsia="zh-CN"/>
        </w:rPr>
        <w:t>困难</w:t>
      </w:r>
      <w:r>
        <w:rPr>
          <w:rFonts w:hint="eastAsia" w:ascii="宋体" w:hAnsi="宋体" w:eastAsia="宋体" w:cs="宋体"/>
          <w:sz w:val="32"/>
          <w:szCs w:val="32"/>
        </w:rPr>
        <w:t>人口数据库，实行常态化管理、动态跟踪、适时服务。所有农村</w:t>
      </w:r>
      <w:r>
        <w:rPr>
          <w:rFonts w:hint="eastAsia" w:ascii="宋体" w:hAnsi="宋体" w:eastAsia="宋体" w:cs="宋体"/>
          <w:sz w:val="32"/>
          <w:szCs w:val="32"/>
          <w:lang w:eastAsia="zh-CN"/>
        </w:rPr>
        <w:t>困难</w:t>
      </w:r>
      <w:r>
        <w:rPr>
          <w:rFonts w:hint="eastAsia" w:ascii="宋体" w:hAnsi="宋体" w:eastAsia="宋体" w:cs="宋体"/>
          <w:sz w:val="32"/>
          <w:szCs w:val="32"/>
        </w:rPr>
        <w:t>人口纳入家庭医生签约服务范围，</w:t>
      </w:r>
      <w:r>
        <w:rPr>
          <w:rFonts w:hint="eastAsia" w:ascii="宋体" w:hAnsi="宋体" w:eastAsia="宋体" w:cs="宋体"/>
          <w:snapToGrid w:val="0"/>
          <w:sz w:val="32"/>
          <w:szCs w:val="32"/>
        </w:rPr>
        <w:t>做到每人建1份动态管理的电子健康档案、每个家庭有1名签约的家庭医生。</w:t>
      </w:r>
      <w:r>
        <w:rPr>
          <w:rFonts w:hint="eastAsia" w:ascii="宋体" w:hAnsi="宋体" w:eastAsia="宋体" w:cs="宋体"/>
          <w:sz w:val="32"/>
          <w:szCs w:val="32"/>
        </w:rPr>
        <w:t>按照高危人群和普通慢病患者分类管理，为</w:t>
      </w:r>
      <w:r>
        <w:rPr>
          <w:rFonts w:hint="eastAsia" w:ascii="宋体" w:hAnsi="宋体" w:eastAsia="宋体" w:cs="宋体"/>
          <w:sz w:val="32"/>
          <w:szCs w:val="32"/>
          <w:lang w:eastAsia="zh-CN"/>
        </w:rPr>
        <w:t>困难</w:t>
      </w:r>
      <w:r>
        <w:rPr>
          <w:rFonts w:hint="eastAsia" w:ascii="宋体" w:hAnsi="宋体" w:eastAsia="宋体" w:cs="宋体"/>
          <w:sz w:val="32"/>
          <w:szCs w:val="32"/>
        </w:rPr>
        <w:t>人口提供公共卫生、慢病管理、健康咨询和中医干预等综合服务。对已经核准的慢性疾病患者，签约医生或医生团队负责制订个性化健康管理方案，提供签约服务</w:t>
      </w:r>
      <w:r>
        <w:rPr>
          <w:rFonts w:hint="eastAsia" w:ascii="宋体" w:hAnsi="宋体" w:eastAsia="宋体" w:cs="宋体"/>
          <w:sz w:val="32"/>
          <w:szCs w:val="32"/>
          <w:lang w:eastAsia="zh-CN"/>
        </w:rPr>
        <w:t>，</w:t>
      </w:r>
      <w:r>
        <w:rPr>
          <w:rFonts w:hint="eastAsia" w:ascii="宋体" w:hAnsi="宋体" w:eastAsia="宋体" w:cs="宋体"/>
          <w:kern w:val="0"/>
          <w:sz w:val="32"/>
          <w:szCs w:val="32"/>
          <w:lang w:eastAsia="zh-CN"/>
        </w:rPr>
        <w:t>至</w:t>
      </w:r>
      <w:r>
        <w:rPr>
          <w:rFonts w:hint="eastAsia" w:ascii="宋体" w:hAnsi="宋体" w:eastAsia="宋体" w:cs="宋体"/>
          <w:kern w:val="0"/>
          <w:sz w:val="32"/>
          <w:szCs w:val="32"/>
          <w:lang w:val="en-US" w:eastAsia="zh-CN"/>
        </w:rPr>
        <w:t>12月底，全部完成了四季度的上门随访。</w:t>
      </w:r>
    </w:p>
    <w:p w14:paraId="3B44D66E">
      <w:pPr>
        <w:rPr>
          <w:rFonts w:hint="eastAsia"/>
        </w:rPr>
      </w:pPr>
    </w:p>
    <w:p w14:paraId="056BC847">
      <w:pPr>
        <w:pStyle w:val="10"/>
        <w:keepNext w:val="0"/>
        <w:keepLines w:val="0"/>
        <w:pageBreakBefore w:val="0"/>
        <w:wordWrap/>
        <w:overflowPunct/>
        <w:topLinePunct w:val="0"/>
        <w:bidi w:val="0"/>
        <w:ind w:left="0" w:leftChars="0" w:firstLine="702" w:firstLineChars="200"/>
        <w:rPr>
          <w:rFonts w:hint="eastAsia" w:ascii="仿宋" w:hAnsi="仿宋" w:eastAsia="仿宋" w:cs="仿宋"/>
          <w:b/>
          <w:bCs/>
          <w:snapToGrid w:val="0"/>
          <w:color w:val="000000"/>
          <w:spacing w:val="20"/>
          <w:kern w:val="0"/>
          <w:sz w:val="31"/>
          <w:szCs w:val="31"/>
          <w:lang w:val="en-US" w:eastAsia="zh-CN" w:bidi="ar-SA"/>
        </w:rPr>
      </w:pPr>
    </w:p>
    <w:p w14:paraId="664899AE">
      <w:pPr>
        <w:pStyle w:val="10"/>
        <w:numPr>
          <w:ilvl w:val="0"/>
          <w:numId w:val="0"/>
        </w:numPr>
        <w:kinsoku w:val="0"/>
        <w:autoSpaceDE w:val="0"/>
        <w:autoSpaceDN w:val="0"/>
        <w:adjustRightInd w:val="0"/>
        <w:snapToGrid w:val="0"/>
        <w:spacing w:line="240" w:lineRule="auto"/>
        <w:jc w:val="left"/>
        <w:textAlignment w:val="baseline"/>
      </w:pPr>
    </w:p>
    <w:p w14:paraId="175B461B">
      <w:pPr>
        <w:spacing w:before="196" w:line="222" w:lineRule="auto"/>
        <w:ind w:left="794"/>
        <w:outlineLvl w:val="0"/>
        <w:rPr>
          <w:rFonts w:hint="eastAsia" w:ascii="宋体" w:hAnsi="宋体" w:eastAsia="宋体" w:cs="宋体"/>
          <w:b/>
          <w:bCs/>
          <w:spacing w:val="-3"/>
          <w:sz w:val="36"/>
          <w:szCs w:val="36"/>
        </w:rPr>
      </w:pPr>
      <w:r>
        <w:rPr>
          <w:rFonts w:hint="eastAsia" w:ascii="宋体" w:hAnsi="宋体" w:eastAsia="宋体" w:cs="宋体"/>
          <w:b/>
          <w:bCs/>
          <w:spacing w:val="-3"/>
          <w:sz w:val="36"/>
          <w:szCs w:val="36"/>
        </w:rPr>
        <w:t>四</w:t>
      </w:r>
      <w:r>
        <w:rPr>
          <w:rFonts w:hint="eastAsia" w:ascii="宋体" w:hAnsi="宋体" w:eastAsia="宋体" w:cs="宋体"/>
          <w:spacing w:val="-46"/>
          <w:sz w:val="36"/>
          <w:szCs w:val="36"/>
        </w:rPr>
        <w:t xml:space="preserve"> </w:t>
      </w:r>
      <w:r>
        <w:rPr>
          <w:rFonts w:hint="eastAsia" w:ascii="宋体" w:hAnsi="宋体" w:eastAsia="宋体" w:cs="宋体"/>
          <w:b/>
          <w:bCs/>
          <w:spacing w:val="-3"/>
          <w:sz w:val="36"/>
          <w:szCs w:val="36"/>
        </w:rPr>
        <w:t>、总体评价和自评得分情况</w:t>
      </w:r>
    </w:p>
    <w:p w14:paraId="32B3DA8F">
      <w:pPr>
        <w:pStyle w:val="8"/>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通过对部门整体支出情况的概述和实际支出情况的分析，2023年度</w:t>
      </w:r>
      <w:r>
        <w:rPr>
          <w:rFonts w:hint="eastAsia" w:cs="宋体"/>
          <w:b w:val="0"/>
          <w:bCs w:val="0"/>
          <w:snapToGrid w:val="0"/>
          <w:color w:val="000000"/>
          <w:spacing w:val="20"/>
          <w:kern w:val="0"/>
          <w:sz w:val="32"/>
          <w:szCs w:val="32"/>
          <w:lang w:val="en-US" w:eastAsia="zh-CN" w:bidi="ar-SA"/>
        </w:rPr>
        <w:t>我院</w:t>
      </w:r>
      <w:r>
        <w:rPr>
          <w:rFonts w:hint="eastAsia" w:ascii="宋体" w:hAnsi="宋体" w:eastAsia="宋体" w:cs="宋体"/>
          <w:b w:val="0"/>
          <w:bCs w:val="0"/>
          <w:snapToGrid w:val="0"/>
          <w:color w:val="000000"/>
          <w:spacing w:val="20"/>
          <w:kern w:val="0"/>
          <w:sz w:val="32"/>
          <w:szCs w:val="32"/>
          <w:lang w:val="en-US" w:eastAsia="zh-CN" w:bidi="ar-SA"/>
        </w:rPr>
        <w:t>部门整体支出绩效自评分值为99分，自评结论为“优”。具体评价如下：</w:t>
      </w:r>
    </w:p>
    <w:p w14:paraId="65C9BF20">
      <w:pPr>
        <w:pStyle w:val="8"/>
        <w:keepNext w:val="0"/>
        <w:keepLines w:val="0"/>
        <w:pageBreakBefore w:val="0"/>
        <w:widowControl w:val="0"/>
        <w:numPr>
          <w:ilvl w:val="0"/>
          <w:numId w:val="3"/>
        </w:numPr>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3" w:firstLineChars="200"/>
        <w:jc w:val="both"/>
        <w:textAlignment w:val="auto"/>
        <w:rPr>
          <w:rFonts w:hint="eastAsia" w:cs="宋体"/>
          <w:b w:val="0"/>
          <w:bCs w:val="0"/>
          <w:snapToGrid w:val="0"/>
          <w:color w:val="000000"/>
          <w:spacing w:val="20"/>
          <w:kern w:val="0"/>
          <w:sz w:val="32"/>
          <w:szCs w:val="32"/>
          <w:lang w:val="en-US" w:eastAsia="zh-CN" w:bidi="ar-SA"/>
        </w:rPr>
      </w:pPr>
      <w:r>
        <w:rPr>
          <w:rFonts w:hint="eastAsia" w:cs="宋体"/>
          <w:b/>
          <w:bCs/>
          <w:snapToGrid w:val="0"/>
          <w:color w:val="000000"/>
          <w:spacing w:val="20"/>
          <w:kern w:val="0"/>
          <w:sz w:val="32"/>
          <w:szCs w:val="32"/>
          <w:lang w:val="en-US" w:eastAsia="zh-CN" w:bidi="ar-SA"/>
        </w:rPr>
        <w:t>经济性评价 预算配置方面：</w:t>
      </w:r>
      <w:r>
        <w:rPr>
          <w:rFonts w:hint="eastAsia" w:cs="宋体"/>
          <w:b w:val="0"/>
          <w:bCs w:val="0"/>
          <w:snapToGrid w:val="0"/>
          <w:color w:val="000000"/>
          <w:spacing w:val="20"/>
          <w:kern w:val="0"/>
          <w:sz w:val="32"/>
          <w:szCs w:val="32"/>
          <w:lang w:val="en-US" w:eastAsia="zh-CN" w:bidi="ar-SA"/>
        </w:rPr>
        <w:t>我院2023年“三公经费”预算总额为0，同时，财政供养人员控制在预算编制以内，从源头严格控制和降低了行政成本。</w:t>
      </w:r>
      <w:r>
        <w:rPr>
          <w:rFonts w:hint="eastAsia" w:cs="宋体"/>
          <w:b/>
          <w:bCs/>
          <w:snapToGrid w:val="0"/>
          <w:color w:val="000000"/>
          <w:spacing w:val="20"/>
          <w:kern w:val="0"/>
          <w:sz w:val="32"/>
          <w:szCs w:val="32"/>
          <w:lang w:val="en-US" w:eastAsia="zh-CN" w:bidi="ar-SA"/>
        </w:rPr>
        <w:t>预算执行方面：</w:t>
      </w:r>
      <w:r>
        <w:rPr>
          <w:rFonts w:hint="eastAsia" w:cs="宋体"/>
          <w:b w:val="0"/>
          <w:bCs w:val="0"/>
          <w:snapToGrid w:val="0"/>
          <w:color w:val="000000"/>
          <w:spacing w:val="20"/>
          <w:kern w:val="0"/>
          <w:sz w:val="32"/>
          <w:szCs w:val="32"/>
          <w:lang w:val="en-US" w:eastAsia="zh-CN" w:bidi="ar-SA"/>
        </w:rPr>
        <w:t>严格落实《预算法》和预算管理相关规定，各项支出按照批准的预算审核列支，严格控制在预算额度内使用，支出的范围和标准符合相关规定。支出主要用于保障单位正常运转、完成日常工作任务而发生的支出。</w:t>
      </w:r>
      <w:r>
        <w:rPr>
          <w:rFonts w:hint="eastAsia" w:cs="宋体"/>
          <w:b/>
          <w:bCs/>
          <w:snapToGrid w:val="0"/>
          <w:color w:val="000000"/>
          <w:spacing w:val="20"/>
          <w:kern w:val="0"/>
          <w:sz w:val="32"/>
          <w:szCs w:val="32"/>
          <w:lang w:val="en-US" w:eastAsia="zh-CN" w:bidi="ar-SA"/>
        </w:rPr>
        <w:t>预算管理方面：</w:t>
      </w:r>
      <w:r>
        <w:rPr>
          <w:rFonts w:hint="eastAsia" w:cs="宋体"/>
          <w:b w:val="0"/>
          <w:bCs w:val="0"/>
          <w:snapToGrid w:val="0"/>
          <w:color w:val="000000"/>
          <w:spacing w:val="20"/>
          <w:kern w:val="0"/>
          <w:sz w:val="32"/>
          <w:szCs w:val="32"/>
          <w:lang w:val="en-US" w:eastAsia="zh-CN" w:bidi="ar-SA"/>
        </w:rPr>
        <w:t>部门整体支出能有效按照预算要求基本执行，预算支出范围合理，预算支出项目细化，资金使用方向明确，管理合规，且决算工作精细到位，基本体现了部门整体支出情况的数据统筹性和宏观性。</w:t>
      </w:r>
      <w:r>
        <w:rPr>
          <w:rFonts w:hint="eastAsia" w:cs="宋体"/>
          <w:b/>
          <w:bCs/>
          <w:snapToGrid w:val="0"/>
          <w:color w:val="000000"/>
          <w:spacing w:val="20"/>
          <w:kern w:val="0"/>
          <w:sz w:val="32"/>
          <w:szCs w:val="32"/>
          <w:lang w:val="en-US" w:eastAsia="zh-CN" w:bidi="ar-SA"/>
        </w:rPr>
        <w:t>资产管理方面：</w:t>
      </w:r>
      <w:r>
        <w:rPr>
          <w:rFonts w:hint="eastAsia" w:cs="宋体"/>
          <w:b w:val="0"/>
          <w:bCs w:val="0"/>
          <w:snapToGrid w:val="0"/>
          <w:color w:val="000000"/>
          <w:spacing w:val="20"/>
          <w:kern w:val="0"/>
          <w:sz w:val="32"/>
          <w:szCs w:val="32"/>
          <w:lang w:val="en-US" w:eastAsia="zh-CN" w:bidi="ar-SA"/>
        </w:rPr>
        <w:t>我们进一步加强资产的管理，明确了具体责任人，完善了固定资产档案，严格报批、销审等手续，做好资产统计工作，单位无固定资产流失现象。</w:t>
      </w:r>
    </w:p>
    <w:p w14:paraId="3690DF02">
      <w:pPr>
        <w:pStyle w:val="8"/>
        <w:keepNext w:val="0"/>
        <w:keepLines w:val="0"/>
        <w:pageBreakBefore w:val="0"/>
        <w:widowControl w:val="0"/>
        <w:numPr>
          <w:ilvl w:val="0"/>
          <w:numId w:val="1"/>
        </w:numPr>
        <w:suppressLineNumbers w:val="0"/>
        <w:shd w:val="clear" w:color="auto" w:fill="auto"/>
        <w:kinsoku/>
        <w:wordWrap/>
        <w:overflowPunct/>
        <w:topLinePunct w:val="0"/>
        <w:autoSpaceDE/>
        <w:autoSpaceDN/>
        <w:bidi w:val="0"/>
        <w:adjustRightInd/>
        <w:snapToGrid/>
        <w:spacing w:before="0" w:beforeAutospacing="0" w:afterAutospacing="0" w:line="560" w:lineRule="exact"/>
        <w:ind w:left="0" w:leftChars="0" w:right="0" w:rightChars="0" w:firstLine="723" w:firstLineChars="200"/>
        <w:jc w:val="both"/>
        <w:textAlignment w:val="auto"/>
        <w:rPr>
          <w:rFonts w:hint="eastAsia" w:cs="宋体"/>
          <w:b w:val="0"/>
          <w:bCs w:val="0"/>
          <w:snapToGrid w:val="0"/>
          <w:color w:val="000000"/>
          <w:spacing w:val="20"/>
          <w:kern w:val="0"/>
          <w:sz w:val="32"/>
          <w:szCs w:val="32"/>
          <w:lang w:val="en-US" w:eastAsia="zh-CN" w:bidi="ar-SA"/>
        </w:rPr>
      </w:pPr>
      <w:r>
        <w:rPr>
          <w:rFonts w:hint="eastAsia" w:cs="宋体"/>
          <w:b/>
          <w:bCs/>
          <w:snapToGrid w:val="0"/>
          <w:color w:val="000000"/>
          <w:spacing w:val="20"/>
          <w:kern w:val="0"/>
          <w:sz w:val="32"/>
          <w:szCs w:val="32"/>
          <w:lang w:val="en-US" w:eastAsia="zh-CN" w:bidi="ar-SA"/>
        </w:rPr>
        <w:t xml:space="preserve">效率性评价和有效性评价 </w:t>
      </w:r>
      <w:r>
        <w:rPr>
          <w:rFonts w:hint="eastAsia" w:cs="宋体"/>
          <w:b w:val="0"/>
          <w:bCs w:val="0"/>
          <w:snapToGrid w:val="0"/>
          <w:color w:val="000000"/>
          <w:spacing w:val="20"/>
          <w:kern w:val="0"/>
          <w:sz w:val="32"/>
          <w:szCs w:val="32"/>
          <w:lang w:val="en-US" w:eastAsia="zh-CN" w:bidi="ar-SA"/>
        </w:rPr>
        <w:t xml:space="preserve">我院整体支出重点用于基本支出，完成了当年度基本公卫、妇幼保健、疫苗接种、乡村医生签约、困难人员就医各项惠民政策、医保改革等工作，有效对其实行了监管，确保了资金的合规性；对于基本支出能遵守各项规章制度，人员经费安排基本得当，业务工作经费、人员经费安排配比率良好。  </w:t>
      </w:r>
    </w:p>
    <w:p w14:paraId="2471465D">
      <w:pPr>
        <w:pStyle w:val="8"/>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cs="宋体"/>
          <w:b w:val="0"/>
          <w:bCs w:val="0"/>
          <w:snapToGrid w:val="0"/>
          <w:color w:val="FF0000"/>
          <w:spacing w:val="20"/>
          <w:kern w:val="0"/>
          <w:sz w:val="32"/>
          <w:szCs w:val="32"/>
          <w:lang w:val="en-US" w:eastAsia="zh-CN" w:bidi="ar-SA"/>
        </w:rPr>
      </w:pPr>
    </w:p>
    <w:p w14:paraId="0BF5A598">
      <w:pPr>
        <w:pStyle w:val="8"/>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jc w:val="both"/>
        <w:textAlignment w:val="auto"/>
        <w:rPr>
          <w:rFonts w:hint="eastAsia" w:ascii="宋体" w:hAnsi="宋体" w:eastAsia="宋体" w:cs="宋体"/>
          <w:snapToGrid w:val="0"/>
          <w:color w:val="000000"/>
          <w:spacing w:val="20"/>
          <w:kern w:val="0"/>
          <w:sz w:val="32"/>
          <w:szCs w:val="32"/>
          <w:lang w:val="en-US" w:eastAsia="zh-CN" w:bidi="ar-SA"/>
        </w:rPr>
      </w:pPr>
    </w:p>
    <w:p w14:paraId="543CE709">
      <w:pPr>
        <w:spacing w:before="196" w:line="222" w:lineRule="auto"/>
        <w:ind w:left="794"/>
        <w:outlineLvl w:val="0"/>
        <w:rPr>
          <w:rFonts w:hint="eastAsia" w:ascii="黑体" w:hAnsi="黑体" w:eastAsia="黑体" w:cs="黑体"/>
          <w:b/>
          <w:bCs/>
          <w:spacing w:val="-3"/>
          <w:sz w:val="36"/>
          <w:szCs w:val="36"/>
          <w:lang w:val="en-US" w:eastAsia="zh-CN"/>
        </w:rPr>
      </w:pPr>
      <w:r>
        <w:rPr>
          <w:rFonts w:ascii="黑体" w:hAnsi="黑体" w:eastAsia="黑体" w:cs="黑体"/>
          <w:b/>
          <w:bCs/>
          <w:spacing w:val="-3"/>
          <w:sz w:val="36"/>
          <w:szCs w:val="36"/>
        </w:rPr>
        <w:t>五、 存在的问题及原因分析</w:t>
      </w:r>
    </w:p>
    <w:p w14:paraId="22E420D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（一）绩效目标及绩效指标填报质量有待加强。</w:t>
      </w:r>
      <w:r>
        <w:rPr>
          <w:rFonts w:hint="eastAsia" w:ascii="宋体" w:hAnsi="宋体" w:eastAsia="宋体" w:cs="宋体"/>
          <w:snapToGrid w:val="0"/>
          <w:color w:val="000000"/>
          <w:spacing w:val="20"/>
          <w:kern w:val="0"/>
          <w:sz w:val="32"/>
          <w:szCs w:val="32"/>
          <w:lang w:val="en-US" w:eastAsia="zh-CN" w:bidi="ar-SA"/>
        </w:rPr>
        <w:t>绩效指标编制不完整，提炼不出绩效指标，体现不出工作实现效果。主要原因是科室预算绩效管理理念还未深入，预算绩效管理主体意识不强，部门未将预算绩效管理作为加强预算管理，提升资金使用绩效的有效管理模式，绩效管理工作大都为被动应付，存在被财政推着走的情况。</w:t>
      </w:r>
    </w:p>
    <w:p w14:paraId="688120B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（二）编制绩效目标的不确定因素较多，绩效指标设置难以全面涵盖。</w:t>
      </w:r>
      <w:r>
        <w:rPr>
          <w:rFonts w:hint="eastAsia" w:ascii="宋体" w:hAnsi="宋体" w:eastAsia="宋体" w:cs="宋体"/>
          <w:snapToGrid w:val="0"/>
          <w:color w:val="000000"/>
          <w:spacing w:val="20"/>
          <w:kern w:val="0"/>
          <w:sz w:val="32"/>
          <w:szCs w:val="32"/>
          <w:lang w:val="en-US" w:eastAsia="zh-CN" w:bidi="ar-SA"/>
        </w:rPr>
        <w:t>由于预算编制绩效目标时间（上年底）与每年工作重点、改革任务变化大、安排时间（当年初）有偏差，绩效目标设置出现漏项、过时项，不能反映当年绩效目标任务。</w:t>
      </w:r>
    </w:p>
    <w:p w14:paraId="3F3C3DD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7CFC3465">
      <w:pPr>
        <w:numPr>
          <w:ilvl w:val="0"/>
          <w:numId w:val="0"/>
        </w:numPr>
        <w:spacing w:before="250" w:line="222" w:lineRule="auto"/>
        <w:ind w:left="624" w:leftChars="0"/>
        <w:rPr>
          <w:rFonts w:ascii="黑体" w:hAnsi="黑体" w:eastAsia="黑体" w:cs="黑体"/>
          <w:b/>
          <w:bCs/>
          <w:spacing w:val="8"/>
          <w:sz w:val="36"/>
          <w:szCs w:val="36"/>
        </w:rPr>
      </w:pPr>
      <w:r>
        <w:rPr>
          <w:rFonts w:hint="eastAsia" w:ascii="黑体" w:hAnsi="黑体" w:eastAsia="黑体" w:cs="黑体"/>
          <w:b/>
          <w:bCs/>
          <w:spacing w:val="8"/>
          <w:sz w:val="36"/>
          <w:szCs w:val="36"/>
          <w:lang w:val="en-US" w:eastAsia="zh-CN"/>
        </w:rPr>
        <w:t>六、</w:t>
      </w:r>
      <w:r>
        <w:rPr>
          <w:rFonts w:ascii="黑体" w:hAnsi="黑体" w:eastAsia="黑体" w:cs="黑体"/>
          <w:b/>
          <w:bCs/>
          <w:spacing w:val="8"/>
          <w:sz w:val="36"/>
          <w:szCs w:val="36"/>
        </w:rPr>
        <w:t>下一步改进措施</w:t>
      </w:r>
    </w:p>
    <w:p w14:paraId="29CB476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（一）高度重视绩效管理工作。</w:t>
      </w:r>
      <w:r>
        <w:rPr>
          <w:rFonts w:hint="eastAsia" w:ascii="宋体" w:hAnsi="宋体" w:eastAsia="宋体" w:cs="宋体"/>
          <w:b w:val="0"/>
          <w:bCs w:val="0"/>
          <w:snapToGrid w:val="0"/>
          <w:color w:val="000000"/>
          <w:spacing w:val="20"/>
          <w:kern w:val="0"/>
          <w:sz w:val="32"/>
          <w:szCs w:val="32"/>
          <w:lang w:val="en-US" w:eastAsia="zh-CN" w:bidi="ar-SA"/>
        </w:rPr>
        <w:t>财政预算绩效管理工作是提高行政效能和财务管理水平的重要举措，树立绩效意识，将预算绩效管理渗透到各项内部管理和业务工作中提高部门绩效管理质量和水平。</w:t>
      </w:r>
    </w:p>
    <w:p w14:paraId="32E16C0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（二）筑牢制度基础。</w:t>
      </w:r>
      <w:r>
        <w:rPr>
          <w:rFonts w:hint="eastAsia" w:ascii="宋体" w:hAnsi="宋体" w:eastAsia="宋体" w:cs="宋体"/>
          <w:b w:val="0"/>
          <w:bCs w:val="0"/>
          <w:snapToGrid w:val="0"/>
          <w:color w:val="000000"/>
          <w:spacing w:val="20"/>
          <w:kern w:val="0"/>
          <w:sz w:val="32"/>
          <w:szCs w:val="32"/>
          <w:lang w:val="en-US" w:eastAsia="zh-CN" w:bidi="ar-SA"/>
        </w:rPr>
        <w:t>强化各项预算绩效指标收集整理和分析，形成具有行业特点的评价标准，不断完善绩效指标体系，进一步规范预算编制、预算执行、绩效监督、绩效评价结果运用和绩效问责等全过程管理。</w:t>
      </w:r>
    </w:p>
    <w:p w14:paraId="77D467A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（三）探索绩效评价结果运用长效机制。</w:t>
      </w:r>
      <w:r>
        <w:rPr>
          <w:rFonts w:hint="eastAsia" w:ascii="宋体" w:hAnsi="宋体" w:eastAsia="宋体" w:cs="宋体"/>
          <w:b w:val="0"/>
          <w:bCs w:val="0"/>
          <w:snapToGrid w:val="0"/>
          <w:color w:val="000000"/>
          <w:spacing w:val="20"/>
          <w:kern w:val="0"/>
          <w:sz w:val="32"/>
          <w:szCs w:val="32"/>
          <w:lang w:val="en-US" w:eastAsia="zh-CN" w:bidi="ar-SA"/>
        </w:rPr>
        <w:t>绩效评价结果运用是优化财政支出结构，提高资金管理水平和使用效益的重要手段。我院将加强部门间沟通协调，提高预算绩效管理参与度。</w:t>
      </w:r>
    </w:p>
    <w:p w14:paraId="0B1ADB93">
      <w:pPr>
        <w:pStyle w:val="10"/>
        <w:rPr>
          <w:rFonts w:hint="default"/>
          <w:lang w:val="en-US" w:eastAsia="zh-CN"/>
        </w:rPr>
      </w:pPr>
      <w:r>
        <w:rPr>
          <w:rFonts w:hint="eastAsia" w:ascii="宋体" w:hAnsi="宋体" w:cs="宋体"/>
          <w:b w:val="0"/>
          <w:bCs w:val="0"/>
          <w:snapToGrid w:val="0"/>
          <w:color w:val="000000"/>
          <w:spacing w:val="20"/>
          <w:kern w:val="0"/>
          <w:sz w:val="32"/>
          <w:szCs w:val="32"/>
          <w:lang w:val="en-US" w:eastAsia="zh-CN" w:bidi="ar-SA"/>
        </w:rPr>
        <w:t xml:space="preserve"> </w:t>
      </w:r>
    </w:p>
    <w:p w14:paraId="790514A8">
      <w:pPr>
        <w:spacing w:before="196" w:line="222" w:lineRule="auto"/>
        <w:ind w:left="794"/>
        <w:outlineLvl w:val="0"/>
        <w:rPr>
          <w:rFonts w:hint="eastAsia" w:ascii="宋体" w:hAnsi="宋体" w:eastAsia="宋体" w:cs="宋体"/>
          <w:b/>
          <w:bCs/>
          <w:snapToGrid w:val="0"/>
          <w:color w:val="000000"/>
          <w:spacing w:val="20"/>
          <w:kern w:val="0"/>
          <w:sz w:val="32"/>
          <w:szCs w:val="32"/>
          <w:lang w:val="en-US" w:eastAsia="zh-CN" w:bidi="ar-SA"/>
        </w:rPr>
      </w:pPr>
      <w:r>
        <w:rPr>
          <w:rFonts w:ascii="黑体" w:hAnsi="黑体" w:eastAsia="黑体" w:cs="黑体"/>
          <w:b/>
          <w:bCs/>
          <w:spacing w:val="-3"/>
          <w:sz w:val="36"/>
          <w:szCs w:val="36"/>
        </w:rPr>
        <w:t>七、整体支出绩效自评结果拟应用和公开情况。</w:t>
      </w:r>
    </w:p>
    <w:p w14:paraId="475E8D0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 xml:space="preserve">（一）绩效自评结果拟应用 </w:t>
      </w:r>
      <w:r>
        <w:rPr>
          <w:rFonts w:hint="eastAsia" w:ascii="宋体" w:hAnsi="宋体" w:eastAsia="宋体" w:cs="宋体"/>
          <w:b w:val="0"/>
          <w:bCs w:val="0"/>
          <w:snapToGrid w:val="0"/>
          <w:color w:val="000000"/>
          <w:spacing w:val="20"/>
          <w:kern w:val="0"/>
          <w:sz w:val="32"/>
          <w:szCs w:val="32"/>
          <w:lang w:val="en-US" w:eastAsia="zh-CN" w:bidi="ar-SA"/>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43DDBCCF">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right="0" w:rightChars="0" w:firstLine="723" w:firstLineChars="200"/>
        <w:jc w:val="both"/>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bCs/>
          <w:snapToGrid w:val="0"/>
          <w:color w:val="000000"/>
          <w:spacing w:val="20"/>
          <w:kern w:val="0"/>
          <w:sz w:val="32"/>
          <w:szCs w:val="32"/>
          <w:lang w:val="en-US" w:eastAsia="zh-CN" w:bidi="ar-SA"/>
        </w:rPr>
        <w:t>(二)绩效自评结果公开情况</w:t>
      </w:r>
      <w:r>
        <w:rPr>
          <w:rFonts w:hint="eastAsia" w:ascii="宋体" w:hAnsi="宋体" w:eastAsia="宋体" w:cs="宋体"/>
          <w:b w:val="0"/>
          <w:bCs w:val="0"/>
          <w:snapToGrid w:val="0"/>
          <w:color w:val="000000"/>
          <w:spacing w:val="20"/>
          <w:kern w:val="0"/>
          <w:sz w:val="32"/>
          <w:szCs w:val="32"/>
          <w:lang w:val="en-US" w:eastAsia="zh-CN" w:bidi="ar-SA"/>
        </w:rPr>
        <w:t xml:space="preserve"> 按照统一部署，在安化县门户网站公开我单位2023年度部门整体支出绩效自评报告，向社会公开，广泛接受群众监督。   </w:t>
      </w:r>
    </w:p>
    <w:p w14:paraId="25DDB44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16F1616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16315A4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723" w:firstLineChars="200"/>
        <w:jc w:val="left"/>
        <w:textAlignment w:val="auto"/>
        <w:rPr>
          <w:rFonts w:hint="eastAsia" w:ascii="宋体" w:hAnsi="宋体" w:eastAsia="宋体" w:cs="宋体"/>
          <w:b/>
          <w:bCs/>
          <w:snapToGrid w:val="0"/>
          <w:color w:val="000000"/>
          <w:spacing w:val="20"/>
          <w:kern w:val="0"/>
          <w:sz w:val="32"/>
          <w:szCs w:val="32"/>
          <w:lang w:val="en-US" w:eastAsia="zh-CN" w:bidi="ar-SA"/>
        </w:rPr>
      </w:pPr>
    </w:p>
    <w:p w14:paraId="57F22610">
      <w:pPr>
        <w:pStyle w:val="10"/>
        <w:rPr>
          <w:rFonts w:ascii="黑体" w:hAnsi="黑体" w:eastAsia="黑体" w:cs="黑体"/>
          <w:spacing w:val="6"/>
          <w:sz w:val="31"/>
          <w:szCs w:val="31"/>
        </w:rPr>
      </w:pPr>
    </w:p>
    <w:p w14:paraId="0B615975">
      <w:pPr>
        <w:pStyle w:val="10"/>
        <w:rPr>
          <w:rFonts w:ascii="黑体" w:hAnsi="黑体" w:eastAsia="黑体" w:cs="黑体"/>
          <w:spacing w:val="6"/>
          <w:sz w:val="31"/>
          <w:szCs w:val="31"/>
        </w:rPr>
      </w:pPr>
    </w:p>
    <w:p w14:paraId="7C5C11F0">
      <w:pPr>
        <w:pStyle w:val="10"/>
        <w:rPr>
          <w:rFonts w:ascii="黑体" w:hAnsi="黑体" w:eastAsia="黑体" w:cs="黑体"/>
          <w:spacing w:val="6"/>
          <w:sz w:val="31"/>
          <w:szCs w:val="31"/>
        </w:rPr>
      </w:pPr>
    </w:p>
    <w:p w14:paraId="4BE19B9A">
      <w:pPr>
        <w:pStyle w:val="10"/>
        <w:rPr>
          <w:rFonts w:ascii="黑体" w:hAnsi="黑体" w:eastAsia="黑体" w:cs="黑体"/>
          <w:spacing w:val="6"/>
          <w:sz w:val="31"/>
          <w:szCs w:val="31"/>
        </w:rPr>
      </w:pPr>
    </w:p>
    <w:p w14:paraId="78040E68">
      <w:pPr>
        <w:pStyle w:val="10"/>
        <w:ind w:left="0" w:leftChars="0" w:firstLine="0" w:firstLineChars="0"/>
        <w:rPr>
          <w:rFonts w:ascii="黑体" w:hAnsi="黑体" w:eastAsia="黑体" w:cs="黑体"/>
          <w:spacing w:val="6"/>
          <w:sz w:val="31"/>
          <w:szCs w:val="31"/>
        </w:rPr>
      </w:pPr>
    </w:p>
    <w:p w14:paraId="3D1DF89A">
      <w:pPr>
        <w:pStyle w:val="10"/>
        <w:ind w:left="0" w:leftChars="0" w:firstLine="0" w:firstLineChars="0"/>
        <w:rPr>
          <w:rFonts w:ascii="黑体" w:hAnsi="黑体" w:eastAsia="黑体" w:cs="黑体"/>
          <w:spacing w:val="6"/>
          <w:sz w:val="31"/>
          <w:szCs w:val="31"/>
        </w:rPr>
      </w:pPr>
    </w:p>
    <w:p w14:paraId="71093D03">
      <w:pPr>
        <w:spacing w:line="243" w:lineRule="auto"/>
        <w:jc w:val="center"/>
        <w:rPr>
          <w:rFonts w:hint="eastAsia" w:ascii="宋体" w:hAnsi="宋体" w:eastAsia="宋体" w:cs="宋体"/>
          <w:b/>
          <w:bCs/>
          <w:spacing w:val="9"/>
          <w:sz w:val="30"/>
          <w:szCs w:val="30"/>
          <w:lang w:val="en-US" w:eastAsia="zh-CN"/>
        </w:rPr>
      </w:pPr>
      <w:r>
        <w:rPr>
          <w:rFonts w:ascii="宋体" w:hAnsi="宋体" w:eastAsia="宋体" w:cs="宋体"/>
          <w:b/>
          <w:bCs/>
          <w:spacing w:val="9"/>
          <w:sz w:val="30"/>
          <w:szCs w:val="30"/>
        </w:rPr>
        <w:t>2023年度</w:t>
      </w:r>
      <w:r>
        <w:rPr>
          <w:rFonts w:hint="eastAsia" w:ascii="宋体" w:hAnsi="宋体" w:eastAsia="宋体" w:cs="宋体"/>
          <w:b/>
          <w:bCs/>
          <w:spacing w:val="9"/>
          <w:sz w:val="30"/>
          <w:szCs w:val="30"/>
          <w:lang w:val="en-US" w:eastAsia="zh-CN"/>
        </w:rPr>
        <w:t>益阳市安化县乐安镇卫生院基础数据表</w:t>
      </w:r>
    </w:p>
    <w:p w14:paraId="19545EE2">
      <w:pPr>
        <w:pStyle w:val="10"/>
        <w:jc w:val="right"/>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单位：万元</w:t>
      </w:r>
    </w:p>
    <w:tbl>
      <w:tblPr>
        <w:tblStyle w:val="11"/>
        <w:tblW w:w="98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26"/>
        <w:gridCol w:w="2018"/>
        <w:gridCol w:w="2269"/>
        <w:gridCol w:w="658"/>
        <w:gridCol w:w="1763"/>
      </w:tblGrid>
      <w:tr w14:paraId="06349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3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DF3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财政供养人员情况</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65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编制数</w:t>
            </w:r>
          </w:p>
        </w:tc>
        <w:tc>
          <w:tcPr>
            <w:tcW w:w="2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620B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2023年实际在职人数</w:t>
            </w:r>
          </w:p>
        </w:tc>
        <w:tc>
          <w:tcPr>
            <w:tcW w:w="22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3D9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控制率</w:t>
            </w:r>
          </w:p>
        </w:tc>
      </w:tr>
      <w:tr w14:paraId="10F28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3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79868">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A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E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EC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100%</w:t>
            </w:r>
          </w:p>
        </w:tc>
      </w:tr>
      <w:tr w14:paraId="6A2B1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164C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经费控制情况(万元)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432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2022年决算数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6699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2023年预算数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5C9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2023年决算数</w:t>
            </w:r>
          </w:p>
        </w:tc>
      </w:tr>
      <w:tr w14:paraId="60B7C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F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三公经费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32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6A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62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7AAC8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6E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1、公务用车购置和维护经费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D1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A37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8E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66CC5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DD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其中：公车购置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A12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D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7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72074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1D0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公车运行维护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0C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A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5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3B94F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14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2、出国经费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BB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BB2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4C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6A26F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B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3、公务接待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93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5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8A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3323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82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项目支出：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8C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F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A6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73FA5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97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1、业务工作经费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7C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2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E1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0EF28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95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2、运行维护经费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F43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B4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61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39CD8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89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3、本级专项资金（一个专项一行）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D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8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88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304A3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10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公用经费：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E6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610.91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6D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747.78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E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747.78</w:t>
            </w:r>
          </w:p>
        </w:tc>
      </w:tr>
      <w:tr w14:paraId="3246D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FD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其中：办公经费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5C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9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6.61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6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6.61</w:t>
            </w:r>
          </w:p>
        </w:tc>
      </w:tr>
      <w:tr w14:paraId="65DA5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A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水费、电费、差旅费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6A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A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12.68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03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12.68</w:t>
            </w:r>
          </w:p>
        </w:tc>
      </w:tr>
      <w:tr w14:paraId="3644C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55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会议费、培训费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A4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D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5.25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312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5.25</w:t>
            </w:r>
          </w:p>
        </w:tc>
      </w:tr>
      <w:tr w14:paraId="74C54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36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政府采购金额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25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57.87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D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81.28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2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81.28</w:t>
            </w:r>
          </w:p>
        </w:tc>
      </w:tr>
      <w:tr w14:paraId="0FD50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5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 xml:space="preserve">部门基本支出预算调整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0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8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F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0</w:t>
            </w:r>
          </w:p>
        </w:tc>
      </w:tr>
      <w:tr w14:paraId="4CFBC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905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 xml:space="preserve">楼堂馆所控制情况 </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（2023年完工项目）</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A66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 xml:space="preserve">批复规模 </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709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规模控制率</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23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实际投资</w:t>
            </w:r>
            <w:r>
              <w:rPr>
                <w:rFonts w:hint="eastAsia" w:ascii="宋体" w:hAnsi="宋体" w:eastAsia="宋体" w:cs="宋体"/>
                <w:b/>
                <w:bCs/>
                <w:i w:val="0"/>
                <w:iCs w:val="0"/>
                <w:snapToGrid w:val="0"/>
                <w:color w:val="000000"/>
                <w:kern w:val="0"/>
                <w:sz w:val="22"/>
                <w:szCs w:val="22"/>
                <w:u w:val="none"/>
                <w:lang w:val="en-US" w:eastAsia="zh-CN" w:bidi="ar"/>
              </w:rPr>
              <w:br w:type="textWrapping"/>
            </w:r>
            <w:r>
              <w:rPr>
                <w:rFonts w:hint="eastAsia" w:ascii="宋体" w:hAnsi="宋体" w:eastAsia="宋体" w:cs="宋体"/>
                <w:b/>
                <w:bCs/>
                <w:i w:val="0"/>
                <w:iCs w:val="0"/>
                <w:snapToGrid w:val="0"/>
                <w:color w:val="000000"/>
                <w:kern w:val="0"/>
                <w:sz w:val="22"/>
                <w:szCs w:val="22"/>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DBE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投资概算控制率</w:t>
            </w:r>
          </w:p>
        </w:tc>
      </w:tr>
      <w:tr w14:paraId="17A8C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 w:hRule="atLeast"/>
        </w:trPr>
        <w:tc>
          <w:tcPr>
            <w:tcW w:w="3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3E265">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FC18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4AB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DAF4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89D2">
            <w:pPr>
              <w:jc w:val="center"/>
              <w:rPr>
                <w:rFonts w:hint="eastAsia" w:ascii="宋体" w:hAnsi="宋体" w:eastAsia="宋体" w:cs="宋体"/>
                <w:i w:val="0"/>
                <w:iCs w:val="0"/>
                <w:color w:val="000000"/>
                <w:sz w:val="22"/>
                <w:szCs w:val="22"/>
                <w:u w:val="none"/>
              </w:rPr>
            </w:pPr>
          </w:p>
        </w:tc>
      </w:tr>
      <w:tr w14:paraId="54BB0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9A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厉行节约保障措施</w:t>
            </w:r>
          </w:p>
        </w:tc>
        <w:tc>
          <w:tcPr>
            <w:tcW w:w="65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D0A4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加强单位对厉行节俭的督促检查，定期公布各项费用支出情况，对浪费现象严重的及时予以通报批评;2、认真落实上级提出的有关费用实行零增长的要求，严格预算支出管理，降低行政运行成本;3、狠抓各项制度和措施的贯彻落实，对违反规定的，要依据党纪政纪和有关法律法规，严肃追究责任。</w:t>
            </w:r>
          </w:p>
        </w:tc>
      </w:tr>
    </w:tbl>
    <w:p w14:paraId="6BCA7FDD">
      <w:pPr>
        <w:pStyle w:val="10"/>
        <w:rPr>
          <w:rFonts w:ascii="黑体" w:hAnsi="黑体" w:eastAsia="黑体" w:cs="黑体"/>
          <w:spacing w:val="6"/>
          <w:sz w:val="31"/>
          <w:szCs w:val="31"/>
        </w:rPr>
      </w:pPr>
    </w:p>
    <w:p w14:paraId="0100C44B">
      <w:pPr>
        <w:pStyle w:val="10"/>
        <w:rPr>
          <w:rFonts w:ascii="黑体" w:hAnsi="黑体" w:eastAsia="黑体" w:cs="黑体"/>
          <w:spacing w:val="6"/>
          <w:sz w:val="31"/>
          <w:szCs w:val="31"/>
        </w:rPr>
      </w:pPr>
    </w:p>
    <w:p w14:paraId="701515FF">
      <w:pPr>
        <w:pStyle w:val="10"/>
        <w:rPr>
          <w:rFonts w:ascii="黑体" w:hAnsi="黑体" w:eastAsia="黑体" w:cs="黑体"/>
          <w:spacing w:val="6"/>
          <w:sz w:val="31"/>
          <w:szCs w:val="31"/>
        </w:rPr>
      </w:pPr>
    </w:p>
    <w:p w14:paraId="034F293D">
      <w:pPr>
        <w:pStyle w:val="10"/>
        <w:rPr>
          <w:rFonts w:ascii="黑体" w:hAnsi="黑体" w:eastAsia="黑体" w:cs="黑体"/>
          <w:spacing w:val="6"/>
          <w:sz w:val="31"/>
          <w:szCs w:val="31"/>
        </w:rPr>
      </w:pPr>
    </w:p>
    <w:p w14:paraId="322D91D7">
      <w:pPr>
        <w:pStyle w:val="10"/>
        <w:rPr>
          <w:rFonts w:ascii="黑体" w:hAnsi="黑体" w:eastAsia="黑体" w:cs="黑体"/>
          <w:spacing w:val="6"/>
          <w:sz w:val="31"/>
          <w:szCs w:val="31"/>
        </w:rPr>
      </w:pPr>
    </w:p>
    <w:p w14:paraId="38D533F3">
      <w:pPr>
        <w:pStyle w:val="10"/>
        <w:rPr>
          <w:rFonts w:ascii="黑体" w:hAnsi="黑体" w:eastAsia="黑体" w:cs="黑体"/>
          <w:spacing w:val="6"/>
          <w:sz w:val="31"/>
          <w:szCs w:val="31"/>
        </w:rPr>
      </w:pPr>
    </w:p>
    <w:p w14:paraId="3C7D22FB">
      <w:pPr>
        <w:pStyle w:val="10"/>
        <w:rPr>
          <w:rFonts w:ascii="黑体" w:hAnsi="黑体" w:eastAsia="黑体" w:cs="黑体"/>
          <w:spacing w:val="6"/>
          <w:sz w:val="31"/>
          <w:szCs w:val="31"/>
        </w:rPr>
      </w:pPr>
    </w:p>
    <w:p w14:paraId="4A59E704">
      <w:pPr>
        <w:pStyle w:val="10"/>
        <w:rPr>
          <w:rFonts w:ascii="黑体" w:hAnsi="黑体" w:eastAsia="黑体" w:cs="黑体"/>
          <w:spacing w:val="6"/>
          <w:sz w:val="31"/>
          <w:szCs w:val="31"/>
        </w:rPr>
      </w:pPr>
    </w:p>
    <w:p w14:paraId="28B7BF56">
      <w:pPr>
        <w:pStyle w:val="10"/>
        <w:rPr>
          <w:rFonts w:ascii="黑体" w:hAnsi="黑体" w:eastAsia="黑体" w:cs="黑体"/>
          <w:spacing w:val="6"/>
          <w:sz w:val="31"/>
          <w:szCs w:val="31"/>
        </w:rPr>
      </w:pPr>
    </w:p>
    <w:p w14:paraId="72BC008F">
      <w:pPr>
        <w:pStyle w:val="10"/>
        <w:rPr>
          <w:rFonts w:ascii="黑体" w:hAnsi="黑体" w:eastAsia="黑体" w:cs="黑体"/>
          <w:spacing w:val="6"/>
          <w:sz w:val="31"/>
          <w:szCs w:val="31"/>
        </w:rPr>
      </w:pPr>
    </w:p>
    <w:p w14:paraId="79C0A6D2">
      <w:pPr>
        <w:pStyle w:val="10"/>
        <w:rPr>
          <w:rFonts w:ascii="黑体" w:hAnsi="黑体" w:eastAsia="黑体" w:cs="黑体"/>
          <w:spacing w:val="6"/>
          <w:sz w:val="31"/>
          <w:szCs w:val="31"/>
        </w:rPr>
      </w:pPr>
    </w:p>
    <w:p w14:paraId="6ADB196A">
      <w:pPr>
        <w:spacing w:line="243" w:lineRule="auto"/>
        <w:jc w:val="center"/>
        <w:rPr>
          <w:rFonts w:hint="eastAsia" w:ascii="宋体" w:hAnsi="宋体" w:eastAsia="宋体" w:cs="宋体"/>
          <w:b/>
          <w:bCs/>
          <w:spacing w:val="9"/>
          <w:sz w:val="30"/>
          <w:szCs w:val="30"/>
          <w:lang w:val="en-US" w:eastAsia="zh-CN"/>
        </w:rPr>
      </w:pPr>
      <w:r>
        <w:rPr>
          <w:rFonts w:ascii="宋体" w:hAnsi="宋体" w:eastAsia="宋体" w:cs="宋体"/>
          <w:b/>
          <w:bCs/>
          <w:spacing w:val="9"/>
          <w:sz w:val="30"/>
          <w:szCs w:val="30"/>
        </w:rPr>
        <w:t>2023年度</w:t>
      </w:r>
      <w:r>
        <w:rPr>
          <w:rFonts w:hint="eastAsia" w:ascii="宋体" w:hAnsi="宋体" w:eastAsia="宋体" w:cs="宋体"/>
          <w:b/>
          <w:bCs/>
          <w:spacing w:val="9"/>
          <w:sz w:val="30"/>
          <w:szCs w:val="30"/>
          <w:lang w:val="en-US" w:eastAsia="zh-CN"/>
        </w:rPr>
        <w:t>益阳市安化县乐安镇卫生院自评表</w:t>
      </w:r>
    </w:p>
    <w:p w14:paraId="0B4BCB7C">
      <w:pPr>
        <w:pStyle w:val="10"/>
        <w:jc w:val="right"/>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单位：万元</w:t>
      </w:r>
    </w:p>
    <w:tbl>
      <w:tblPr>
        <w:tblStyle w:val="11"/>
        <w:tblW w:w="95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8"/>
        <w:gridCol w:w="522"/>
        <w:gridCol w:w="771"/>
        <w:gridCol w:w="492"/>
        <w:gridCol w:w="691"/>
        <w:gridCol w:w="711"/>
        <w:gridCol w:w="1038"/>
        <w:gridCol w:w="53"/>
        <w:gridCol w:w="759"/>
        <w:gridCol w:w="1044"/>
        <w:gridCol w:w="761"/>
        <w:gridCol w:w="699"/>
        <w:gridCol w:w="1498"/>
      </w:tblGrid>
      <w:tr w14:paraId="0CF0A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10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455D0D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预算部门名称</w:t>
            </w:r>
          </w:p>
        </w:tc>
        <w:tc>
          <w:tcPr>
            <w:tcW w:w="8517"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431212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益阳市安化县乐安镇卫生院</w:t>
            </w:r>
          </w:p>
        </w:tc>
      </w:tr>
      <w:tr w14:paraId="03AA8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trPr>
        <w:tc>
          <w:tcPr>
            <w:tcW w:w="10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BCD4C4">
            <w:pPr>
              <w:keepNext w:val="0"/>
              <w:keepLines w:val="0"/>
              <w:widowControl/>
              <w:suppressLineNumbers w:val="0"/>
              <w:jc w:val="center"/>
              <w:textAlignment w:val="center"/>
              <w:rPr>
                <w:rFonts w:ascii="Microsoft YaHei UI" w:hAnsi="Microsoft YaHei UI" w:eastAsia="Microsoft YaHei UI" w:cs="Microsoft YaHei UI"/>
                <w:i w:val="0"/>
                <w:iCs w:val="0"/>
                <w:color w:val="000000"/>
                <w:sz w:val="20"/>
                <w:szCs w:val="20"/>
                <w:u w:val="none"/>
              </w:rPr>
            </w:pPr>
            <w:r>
              <w:rPr>
                <w:rFonts w:hint="default" w:ascii="Microsoft YaHei UI" w:hAnsi="Microsoft YaHei UI" w:eastAsia="Microsoft YaHei UI" w:cs="Microsoft YaHei UI"/>
                <w:i w:val="0"/>
                <w:iCs w:val="0"/>
                <w:snapToGrid w:val="0"/>
                <w:color w:val="000000"/>
                <w:kern w:val="0"/>
                <w:sz w:val="20"/>
                <w:szCs w:val="20"/>
                <w:u w:val="none"/>
                <w:lang w:val="en-US" w:eastAsia="zh-CN" w:bidi="ar"/>
              </w:rPr>
              <w:t>年度预算申请</w:t>
            </w:r>
            <w:r>
              <w:rPr>
                <w:rFonts w:hint="default" w:ascii="Microsoft YaHei UI" w:hAnsi="Microsoft YaHei UI" w:eastAsia="Microsoft YaHei UI" w:cs="Microsoft YaHei UI"/>
                <w:i w:val="0"/>
                <w:iCs w:val="0"/>
                <w:snapToGrid w:val="0"/>
                <w:color w:val="000000"/>
                <w:kern w:val="0"/>
                <w:sz w:val="20"/>
                <w:szCs w:val="20"/>
                <w:u w:val="none"/>
                <w:lang w:val="en-US" w:eastAsia="zh-CN" w:bidi="ar"/>
              </w:rPr>
              <w:br w:type="textWrapping"/>
            </w:r>
            <w:r>
              <w:rPr>
                <w:rFonts w:hint="default" w:ascii="Microsoft YaHei UI" w:hAnsi="Microsoft YaHei UI" w:eastAsia="Microsoft YaHei UI" w:cs="Microsoft YaHei UI"/>
                <w:i w:val="0"/>
                <w:iCs w:val="0"/>
                <w:snapToGrid w:val="0"/>
                <w:color w:val="000000"/>
                <w:kern w:val="0"/>
                <w:sz w:val="20"/>
                <w:szCs w:val="20"/>
                <w:u w:val="none"/>
                <w:lang w:val="en-US" w:eastAsia="zh-CN" w:bidi="ar"/>
              </w:rPr>
              <w:t>(万元)</w:t>
            </w:r>
          </w:p>
        </w:tc>
        <w:tc>
          <w:tcPr>
            <w:tcW w:w="12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E4D3E1">
            <w:pPr>
              <w:jc w:val="center"/>
              <w:rPr>
                <w:rFonts w:hint="eastAsia" w:ascii="宋体" w:hAnsi="宋体" w:eastAsia="宋体" w:cs="宋体"/>
                <w:i w:val="0"/>
                <w:iCs w:val="0"/>
                <w:color w:val="000000"/>
                <w:sz w:val="20"/>
                <w:szCs w:val="20"/>
                <w:u w:val="none"/>
              </w:rPr>
            </w:pPr>
          </w:p>
        </w:tc>
        <w:tc>
          <w:tcPr>
            <w:tcW w:w="691" w:type="dxa"/>
            <w:tcBorders>
              <w:top w:val="single" w:color="000000" w:sz="4" w:space="0"/>
              <w:left w:val="single" w:color="auto" w:sz="4" w:space="0"/>
              <w:bottom w:val="nil"/>
              <w:right w:val="single" w:color="000000" w:sz="4" w:space="0"/>
            </w:tcBorders>
            <w:shd w:val="clear" w:color="auto" w:fill="auto"/>
            <w:vAlign w:val="center"/>
          </w:tcPr>
          <w:p w14:paraId="1F35689C">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年初预算数(万元)</w:t>
            </w:r>
          </w:p>
        </w:tc>
        <w:tc>
          <w:tcPr>
            <w:tcW w:w="180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7113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全年预算数（万元）</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0B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全年执行数（万元）</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D3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分值</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B0D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执行率</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85AC">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r>
      <w:tr w14:paraId="1A7AE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1000"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6F677858">
            <w:pPr>
              <w:jc w:val="center"/>
              <w:rPr>
                <w:rFonts w:hint="default" w:ascii="Microsoft YaHei UI" w:hAnsi="Microsoft YaHei UI" w:eastAsia="Microsoft YaHei UI" w:cs="Microsoft YaHei UI"/>
                <w:i w:val="0"/>
                <w:iCs w:val="0"/>
                <w:color w:val="000000"/>
                <w:sz w:val="20"/>
                <w:szCs w:val="20"/>
                <w:u w:val="none"/>
              </w:rPr>
            </w:pPr>
          </w:p>
        </w:tc>
        <w:tc>
          <w:tcPr>
            <w:tcW w:w="1263"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09815B6E">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年度资金总额：</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D7CE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43.86</w:t>
            </w:r>
          </w:p>
        </w:tc>
        <w:tc>
          <w:tcPr>
            <w:tcW w:w="1802" w:type="dxa"/>
            <w:gridSpan w:val="3"/>
            <w:tcBorders>
              <w:top w:val="single" w:color="000000" w:sz="4" w:space="0"/>
              <w:left w:val="single" w:color="000000" w:sz="4" w:space="0"/>
              <w:bottom w:val="single" w:color="000000" w:sz="4" w:space="0"/>
              <w:right w:val="nil"/>
            </w:tcBorders>
            <w:shd w:val="clear" w:color="auto" w:fill="auto"/>
            <w:vAlign w:val="center"/>
          </w:tcPr>
          <w:p w14:paraId="0386D92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1148.76</w:t>
            </w:r>
          </w:p>
        </w:tc>
        <w:tc>
          <w:tcPr>
            <w:tcW w:w="1803" w:type="dxa"/>
            <w:gridSpan w:val="2"/>
            <w:tcBorders>
              <w:top w:val="single" w:color="000000" w:sz="4" w:space="0"/>
              <w:left w:val="nil"/>
              <w:bottom w:val="single" w:color="000000" w:sz="4" w:space="0"/>
              <w:right w:val="nil"/>
            </w:tcBorders>
            <w:shd w:val="clear" w:color="auto" w:fill="auto"/>
            <w:vAlign w:val="center"/>
          </w:tcPr>
          <w:p w14:paraId="1B77E51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1148.76</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8CD7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2EA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100.00%</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585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10.00</w:t>
            </w:r>
          </w:p>
        </w:tc>
      </w:tr>
      <w:tr w14:paraId="0120F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trPr>
        <w:tc>
          <w:tcPr>
            <w:tcW w:w="10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CA48879">
            <w:pPr>
              <w:jc w:val="center"/>
              <w:rPr>
                <w:rFonts w:hint="default" w:ascii="Microsoft YaHei UI" w:hAnsi="Microsoft YaHei UI" w:eastAsia="Microsoft YaHei UI" w:cs="Microsoft YaHei UI"/>
                <w:i w:val="0"/>
                <w:iCs w:val="0"/>
                <w:color w:val="000000"/>
                <w:sz w:val="20"/>
                <w:szCs w:val="20"/>
                <w:u w:val="none"/>
              </w:rPr>
            </w:pPr>
          </w:p>
        </w:tc>
        <w:tc>
          <w:tcPr>
            <w:tcW w:w="555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1912C11">
            <w:pPr>
              <w:keepNext w:val="0"/>
              <w:keepLines w:val="0"/>
              <w:widowControl/>
              <w:suppressLineNumbers w:val="0"/>
              <w:jc w:val="left"/>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按收入性质分：</w:t>
            </w:r>
          </w:p>
        </w:tc>
        <w:tc>
          <w:tcPr>
            <w:tcW w:w="2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2569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按支出性质分：</w:t>
            </w:r>
          </w:p>
        </w:tc>
      </w:tr>
      <w:tr w14:paraId="70839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10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7D6CF9F">
            <w:pPr>
              <w:jc w:val="center"/>
              <w:rPr>
                <w:rFonts w:hint="default" w:ascii="Microsoft YaHei UI" w:hAnsi="Microsoft YaHei UI" w:eastAsia="Microsoft YaHei UI" w:cs="Microsoft YaHei UI"/>
                <w:i w:val="0"/>
                <w:iCs w:val="0"/>
                <w:color w:val="000000"/>
                <w:sz w:val="20"/>
                <w:szCs w:val="20"/>
                <w:u w:val="none"/>
              </w:rPr>
            </w:pP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C24A8">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一般公共预算：</w:t>
            </w:r>
          </w:p>
        </w:tc>
        <w:tc>
          <w:tcPr>
            <w:tcW w:w="42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84F26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538.13</w:t>
            </w:r>
          </w:p>
        </w:tc>
        <w:tc>
          <w:tcPr>
            <w:tcW w:w="761" w:type="dxa"/>
            <w:vMerge w:val="restart"/>
            <w:tcBorders>
              <w:top w:val="single" w:color="000000" w:sz="4" w:space="0"/>
              <w:left w:val="single" w:color="000000" w:sz="4" w:space="0"/>
              <w:bottom w:val="nil"/>
              <w:right w:val="single" w:color="000000" w:sz="4" w:space="0"/>
            </w:tcBorders>
            <w:shd w:val="clear" w:color="auto" w:fill="auto"/>
            <w:vAlign w:val="center"/>
          </w:tcPr>
          <w:p w14:paraId="0C2C6D8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其中:基本支出：</w:t>
            </w:r>
          </w:p>
        </w:tc>
        <w:tc>
          <w:tcPr>
            <w:tcW w:w="2197" w:type="dxa"/>
            <w:gridSpan w:val="2"/>
            <w:vMerge w:val="restart"/>
            <w:tcBorders>
              <w:top w:val="single" w:color="000000" w:sz="4" w:space="0"/>
              <w:left w:val="nil"/>
              <w:bottom w:val="nil"/>
              <w:right w:val="single" w:color="000000" w:sz="4" w:space="0"/>
            </w:tcBorders>
            <w:shd w:val="clear" w:color="auto" w:fill="auto"/>
            <w:vAlign w:val="center"/>
          </w:tcPr>
          <w:p w14:paraId="096FA00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1148.76</w:t>
            </w:r>
          </w:p>
        </w:tc>
      </w:tr>
      <w:tr w14:paraId="67AAD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7" w:hRule="atLeast"/>
        </w:trPr>
        <w:tc>
          <w:tcPr>
            <w:tcW w:w="10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2726BDE">
            <w:pPr>
              <w:jc w:val="center"/>
              <w:rPr>
                <w:rFonts w:hint="default" w:ascii="Microsoft YaHei UI" w:hAnsi="Microsoft YaHei UI" w:eastAsia="Microsoft YaHei UI" w:cs="Microsoft YaHei UI"/>
                <w:i w:val="0"/>
                <w:iCs w:val="0"/>
                <w:color w:val="000000"/>
                <w:sz w:val="20"/>
                <w:szCs w:val="20"/>
                <w:u w:val="none"/>
              </w:rPr>
            </w:pP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A1FE3">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政府性基金拨款：</w:t>
            </w:r>
          </w:p>
        </w:tc>
        <w:tc>
          <w:tcPr>
            <w:tcW w:w="42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18E564">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0.00</w:t>
            </w:r>
          </w:p>
        </w:tc>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1EAF8CC3">
            <w:pPr>
              <w:jc w:val="center"/>
              <w:rPr>
                <w:rFonts w:hint="eastAsia" w:ascii="宋体" w:hAnsi="宋体" w:eastAsia="宋体" w:cs="宋体"/>
                <w:b/>
                <w:bCs/>
                <w:i w:val="0"/>
                <w:iCs w:val="0"/>
                <w:color w:val="000000"/>
                <w:sz w:val="20"/>
                <w:szCs w:val="20"/>
                <w:u w:val="none"/>
              </w:rPr>
            </w:pPr>
          </w:p>
        </w:tc>
        <w:tc>
          <w:tcPr>
            <w:tcW w:w="2197" w:type="dxa"/>
            <w:gridSpan w:val="2"/>
            <w:vMerge w:val="continue"/>
            <w:tcBorders>
              <w:top w:val="single" w:color="000000" w:sz="4" w:space="0"/>
              <w:left w:val="nil"/>
              <w:bottom w:val="nil"/>
              <w:right w:val="single" w:color="000000" w:sz="4" w:space="0"/>
            </w:tcBorders>
            <w:shd w:val="clear" w:color="auto" w:fill="auto"/>
            <w:vAlign w:val="center"/>
          </w:tcPr>
          <w:p w14:paraId="10FD8701">
            <w:pPr>
              <w:jc w:val="center"/>
              <w:rPr>
                <w:rFonts w:hint="default" w:ascii="Times New Roman" w:hAnsi="Times New Roman" w:eastAsia="宋体" w:cs="Times New Roman"/>
                <w:i w:val="0"/>
                <w:iCs w:val="0"/>
                <w:color w:val="000000"/>
                <w:sz w:val="20"/>
                <w:szCs w:val="20"/>
                <w:u w:val="none"/>
              </w:rPr>
            </w:pPr>
          </w:p>
        </w:tc>
      </w:tr>
      <w:tr w14:paraId="46BE0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10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3136244">
            <w:pPr>
              <w:jc w:val="center"/>
              <w:rPr>
                <w:rFonts w:hint="default" w:ascii="Microsoft YaHei UI" w:hAnsi="Microsoft YaHei UI" w:eastAsia="Microsoft YaHei UI" w:cs="Microsoft YaHei UI"/>
                <w:i w:val="0"/>
                <w:iCs w:val="0"/>
                <w:color w:val="000000"/>
                <w:sz w:val="20"/>
                <w:szCs w:val="20"/>
                <w:u w:val="none"/>
              </w:rPr>
            </w:pP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D58F6">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纳入专户管理的非税收入拨款：</w:t>
            </w:r>
          </w:p>
        </w:tc>
        <w:tc>
          <w:tcPr>
            <w:tcW w:w="42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DFBF2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0.00</w:t>
            </w:r>
          </w:p>
        </w:tc>
        <w:tc>
          <w:tcPr>
            <w:tcW w:w="761" w:type="dxa"/>
            <w:vMerge w:val="restart"/>
            <w:tcBorders>
              <w:top w:val="single" w:color="000000" w:sz="4" w:space="0"/>
              <w:left w:val="single" w:color="000000" w:sz="4" w:space="0"/>
              <w:bottom w:val="nil"/>
              <w:right w:val="single" w:color="000000" w:sz="4" w:space="0"/>
            </w:tcBorders>
            <w:shd w:val="clear" w:color="auto" w:fill="auto"/>
            <w:vAlign w:val="center"/>
          </w:tcPr>
          <w:p w14:paraId="2317CA8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项目支出：</w:t>
            </w:r>
          </w:p>
        </w:tc>
        <w:tc>
          <w:tcPr>
            <w:tcW w:w="2197" w:type="dxa"/>
            <w:gridSpan w:val="2"/>
            <w:vMerge w:val="restart"/>
            <w:tcBorders>
              <w:top w:val="single" w:color="000000" w:sz="4" w:space="0"/>
              <w:left w:val="nil"/>
              <w:bottom w:val="nil"/>
              <w:right w:val="single" w:color="000000" w:sz="4" w:space="0"/>
            </w:tcBorders>
            <w:shd w:val="clear" w:color="auto" w:fill="auto"/>
            <w:vAlign w:val="center"/>
          </w:tcPr>
          <w:p w14:paraId="5D674CDD">
            <w:pPr>
              <w:jc w:val="center"/>
              <w:rPr>
                <w:rFonts w:hint="default" w:ascii="Times New Roman" w:hAnsi="Times New Roman" w:eastAsia="宋体" w:cs="Times New Roman"/>
                <w:i w:val="0"/>
                <w:iCs w:val="0"/>
                <w:color w:val="000000"/>
                <w:sz w:val="20"/>
                <w:szCs w:val="20"/>
                <w:u w:val="none"/>
              </w:rPr>
            </w:pPr>
          </w:p>
        </w:tc>
      </w:tr>
      <w:tr w14:paraId="5E106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0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70703F1">
            <w:pPr>
              <w:jc w:val="center"/>
              <w:rPr>
                <w:rFonts w:hint="default" w:ascii="Microsoft YaHei UI" w:hAnsi="Microsoft YaHei UI" w:eastAsia="Microsoft YaHei UI" w:cs="Microsoft YaHei UI"/>
                <w:i w:val="0"/>
                <w:iCs w:val="0"/>
                <w:color w:val="000000"/>
                <w:sz w:val="20"/>
                <w:szCs w:val="20"/>
                <w:u w:val="none"/>
              </w:rPr>
            </w:pPr>
          </w:p>
        </w:tc>
        <w:tc>
          <w:tcPr>
            <w:tcW w:w="1263" w:type="dxa"/>
            <w:gridSpan w:val="2"/>
            <w:tcBorders>
              <w:top w:val="single" w:color="000000" w:sz="4" w:space="0"/>
              <w:left w:val="single" w:color="000000" w:sz="4" w:space="0"/>
              <w:bottom w:val="nil"/>
              <w:right w:val="single" w:color="000000" w:sz="4" w:space="0"/>
            </w:tcBorders>
            <w:shd w:val="clear" w:color="auto" w:fill="auto"/>
            <w:vAlign w:val="center"/>
          </w:tcPr>
          <w:p w14:paraId="733BA26D">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其他资金</w:t>
            </w:r>
          </w:p>
        </w:tc>
        <w:tc>
          <w:tcPr>
            <w:tcW w:w="4296" w:type="dxa"/>
            <w:gridSpan w:val="6"/>
            <w:tcBorders>
              <w:top w:val="single" w:color="000000" w:sz="4" w:space="0"/>
              <w:left w:val="single" w:color="000000" w:sz="4" w:space="0"/>
              <w:bottom w:val="nil"/>
              <w:right w:val="single" w:color="000000" w:sz="4" w:space="0"/>
            </w:tcBorders>
            <w:shd w:val="clear" w:color="auto" w:fill="auto"/>
            <w:vAlign w:val="center"/>
          </w:tcPr>
          <w:p w14:paraId="1E11EEC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snapToGrid w:val="0"/>
                <w:color w:val="000000"/>
                <w:kern w:val="0"/>
                <w:sz w:val="20"/>
                <w:szCs w:val="20"/>
                <w:u w:val="none"/>
                <w:lang w:val="en-US" w:eastAsia="zh-CN" w:bidi="ar"/>
              </w:rPr>
              <w:t>55.77</w:t>
            </w:r>
          </w:p>
        </w:tc>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2EF05437">
            <w:pPr>
              <w:jc w:val="center"/>
              <w:rPr>
                <w:rFonts w:hint="eastAsia" w:ascii="宋体" w:hAnsi="宋体" w:eastAsia="宋体" w:cs="宋体"/>
                <w:b/>
                <w:bCs/>
                <w:i w:val="0"/>
                <w:iCs w:val="0"/>
                <w:color w:val="000000"/>
                <w:sz w:val="20"/>
                <w:szCs w:val="20"/>
                <w:u w:val="none"/>
              </w:rPr>
            </w:pPr>
          </w:p>
        </w:tc>
        <w:tc>
          <w:tcPr>
            <w:tcW w:w="2197" w:type="dxa"/>
            <w:gridSpan w:val="2"/>
            <w:vMerge w:val="continue"/>
            <w:tcBorders>
              <w:top w:val="single" w:color="000000" w:sz="4" w:space="0"/>
              <w:left w:val="nil"/>
              <w:bottom w:val="nil"/>
              <w:right w:val="single" w:color="000000" w:sz="4" w:space="0"/>
            </w:tcBorders>
            <w:shd w:val="clear" w:color="auto" w:fill="auto"/>
            <w:vAlign w:val="center"/>
          </w:tcPr>
          <w:p w14:paraId="0E39994E">
            <w:pPr>
              <w:jc w:val="center"/>
              <w:rPr>
                <w:rFonts w:hint="default" w:ascii="Times New Roman" w:hAnsi="Times New Roman" w:eastAsia="宋体" w:cs="Times New Roman"/>
                <w:i w:val="0"/>
                <w:iCs w:val="0"/>
                <w:color w:val="000000"/>
                <w:sz w:val="20"/>
                <w:szCs w:val="20"/>
                <w:u w:val="none"/>
              </w:rPr>
            </w:pPr>
          </w:p>
        </w:tc>
      </w:tr>
      <w:tr w14:paraId="27067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trPr>
        <w:tc>
          <w:tcPr>
            <w:tcW w:w="1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AECA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年度总体目标</w:t>
            </w:r>
          </w:p>
        </w:tc>
        <w:tc>
          <w:tcPr>
            <w:tcW w:w="555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D7BF2D6">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预期目标</w:t>
            </w:r>
          </w:p>
        </w:tc>
        <w:tc>
          <w:tcPr>
            <w:tcW w:w="2958" w:type="dxa"/>
            <w:gridSpan w:val="3"/>
            <w:tcBorders>
              <w:top w:val="single" w:color="000000" w:sz="4" w:space="0"/>
              <w:left w:val="nil"/>
              <w:bottom w:val="single" w:color="000000" w:sz="4" w:space="0"/>
              <w:right w:val="single" w:color="000000" w:sz="4" w:space="0"/>
            </w:tcBorders>
            <w:shd w:val="clear" w:color="auto" w:fill="auto"/>
            <w:vAlign w:val="center"/>
          </w:tcPr>
          <w:p w14:paraId="7BE07E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实际完成情况</w:t>
            </w:r>
          </w:p>
        </w:tc>
      </w:tr>
      <w:tr w14:paraId="4E47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2" w:hRule="atLeast"/>
        </w:trPr>
        <w:tc>
          <w:tcPr>
            <w:tcW w:w="10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5BD18">
            <w:pPr>
              <w:jc w:val="center"/>
              <w:rPr>
                <w:rFonts w:hint="default" w:ascii="仿宋_GB2312" w:hAnsi="宋体" w:eastAsia="仿宋_GB2312" w:cs="仿宋_GB2312"/>
                <w:b/>
                <w:bCs/>
                <w:i w:val="0"/>
                <w:iCs w:val="0"/>
                <w:color w:val="000000"/>
                <w:sz w:val="20"/>
                <w:szCs w:val="20"/>
                <w:u w:val="none"/>
              </w:rPr>
            </w:pPr>
          </w:p>
        </w:tc>
        <w:tc>
          <w:tcPr>
            <w:tcW w:w="555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17CF2B6">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（1）狠抓政治思想工作，落实党风廉政建设</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（2）严抓安全生产，推动各项工作稳定发展</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（3）重抓公共卫生服务，落实各项惠民政策</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（4）常抓医疗服务质量，完善医疗服务水平</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（5）细抓医药卫生体制改革，稳步推进医改政策实施</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（6）紧抓合作医疗工作，开通困难人员就医“绿色通道”</w:t>
            </w:r>
            <w:r>
              <w:rPr>
                <w:rFonts w:hint="default" w:ascii="仿宋_GB2312" w:hAnsi="宋体" w:eastAsia="仿宋_GB2312" w:cs="仿宋_GB2312"/>
                <w:i w:val="0"/>
                <w:iCs w:val="0"/>
                <w:snapToGrid w:val="0"/>
                <w:color w:val="000000"/>
                <w:kern w:val="0"/>
                <w:sz w:val="20"/>
                <w:szCs w:val="20"/>
                <w:u w:val="none"/>
                <w:lang w:val="en-US" w:eastAsia="zh-CN" w:bidi="ar"/>
              </w:rPr>
              <w:br w:type="textWrapping"/>
            </w:r>
            <w:r>
              <w:rPr>
                <w:rFonts w:hint="default" w:ascii="仿宋_GB2312" w:hAnsi="宋体" w:eastAsia="仿宋_GB2312" w:cs="仿宋_GB2312"/>
                <w:i w:val="0"/>
                <w:iCs w:val="0"/>
                <w:snapToGrid w:val="0"/>
                <w:color w:val="000000"/>
                <w:kern w:val="0"/>
                <w:sz w:val="20"/>
                <w:szCs w:val="20"/>
                <w:u w:val="none"/>
                <w:lang w:val="en-US" w:eastAsia="zh-CN" w:bidi="ar"/>
              </w:rPr>
              <w:t>（7）实抓健康扶贫工程，配合打好脱贫攻坚战</w:t>
            </w:r>
          </w:p>
        </w:tc>
        <w:tc>
          <w:tcPr>
            <w:tcW w:w="2958" w:type="dxa"/>
            <w:gridSpan w:val="3"/>
            <w:tcBorders>
              <w:top w:val="single" w:color="000000" w:sz="4" w:space="0"/>
              <w:left w:val="nil"/>
              <w:bottom w:val="single" w:color="000000" w:sz="4" w:space="0"/>
              <w:right w:val="single" w:color="000000" w:sz="4" w:space="0"/>
            </w:tcBorders>
            <w:shd w:val="clear" w:color="auto" w:fill="auto"/>
            <w:vAlign w:val="center"/>
          </w:tcPr>
          <w:p w14:paraId="217C4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已完成</w:t>
            </w:r>
          </w:p>
        </w:tc>
      </w:tr>
      <w:tr w14:paraId="03A7C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BAB5E6">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绩效指标</w:t>
            </w:r>
          </w:p>
        </w:tc>
        <w:tc>
          <w:tcPr>
            <w:tcW w:w="522" w:type="dxa"/>
            <w:vMerge w:val="restart"/>
            <w:tcBorders>
              <w:top w:val="single" w:color="000000" w:sz="4" w:space="0"/>
              <w:left w:val="single" w:color="000000" w:sz="4" w:space="0"/>
              <w:bottom w:val="single" w:color="000000" w:sz="4" w:space="0"/>
              <w:right w:val="nil"/>
            </w:tcBorders>
            <w:shd w:val="clear" w:color="auto" w:fill="auto"/>
            <w:vAlign w:val="center"/>
          </w:tcPr>
          <w:p w14:paraId="5CA24A5A">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一级指标</w:t>
            </w:r>
          </w:p>
        </w:tc>
        <w:tc>
          <w:tcPr>
            <w:tcW w:w="771" w:type="dxa"/>
            <w:vMerge w:val="restart"/>
            <w:tcBorders>
              <w:top w:val="single" w:color="000000" w:sz="4" w:space="0"/>
              <w:left w:val="single" w:color="000000" w:sz="4" w:space="0"/>
              <w:bottom w:val="single" w:color="000000" w:sz="4" w:space="0"/>
              <w:right w:val="nil"/>
            </w:tcBorders>
            <w:shd w:val="clear" w:color="auto" w:fill="auto"/>
            <w:vAlign w:val="center"/>
          </w:tcPr>
          <w:p w14:paraId="56771C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二级指标</w:t>
            </w:r>
          </w:p>
        </w:tc>
        <w:tc>
          <w:tcPr>
            <w:tcW w:w="11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AE31BF">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三级指标</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DB880">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年度指标值</w:t>
            </w:r>
          </w:p>
        </w:tc>
        <w:tc>
          <w:tcPr>
            <w:tcW w:w="1038" w:type="dxa"/>
            <w:vMerge w:val="restart"/>
            <w:tcBorders>
              <w:top w:val="single" w:color="000000" w:sz="4" w:space="0"/>
              <w:left w:val="single" w:color="000000" w:sz="4" w:space="0"/>
              <w:bottom w:val="single" w:color="000000" w:sz="4" w:space="0"/>
              <w:right w:val="nil"/>
            </w:tcBorders>
            <w:shd w:val="clear" w:color="auto" w:fill="auto"/>
            <w:vAlign w:val="center"/>
          </w:tcPr>
          <w:p w14:paraId="09259F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实际完成值</w:t>
            </w:r>
          </w:p>
        </w:tc>
        <w:tc>
          <w:tcPr>
            <w:tcW w:w="8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0D970">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分值</w:t>
            </w:r>
          </w:p>
        </w:tc>
        <w:tc>
          <w:tcPr>
            <w:tcW w:w="18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85C224">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c>
          <w:tcPr>
            <w:tcW w:w="2197" w:type="dxa"/>
            <w:gridSpan w:val="2"/>
            <w:vMerge w:val="restart"/>
            <w:tcBorders>
              <w:top w:val="single" w:color="000000" w:sz="4" w:space="0"/>
              <w:left w:val="nil"/>
              <w:bottom w:val="nil"/>
              <w:right w:val="single" w:color="000000" w:sz="4" w:space="0"/>
            </w:tcBorders>
            <w:shd w:val="clear" w:color="auto" w:fill="auto"/>
            <w:noWrap/>
            <w:vAlign w:val="center"/>
          </w:tcPr>
          <w:p w14:paraId="0CCE23D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偏差原因分析及改进措施</w:t>
            </w:r>
          </w:p>
        </w:tc>
      </w:tr>
      <w:tr w14:paraId="15E59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B8EA9">
            <w:pPr>
              <w:jc w:val="center"/>
              <w:rPr>
                <w:rFonts w:hint="default" w:ascii="仿宋_GB2312" w:hAnsi="宋体" w:eastAsia="仿宋_GB2312" w:cs="仿宋_GB2312"/>
                <w:b/>
                <w:bCs/>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vAlign w:val="center"/>
          </w:tcPr>
          <w:p w14:paraId="2CA773F7">
            <w:pPr>
              <w:jc w:val="center"/>
              <w:rPr>
                <w:rFonts w:hint="default" w:ascii="仿宋_GB2312" w:hAnsi="宋体" w:eastAsia="仿宋_GB2312" w:cs="仿宋_GB2312"/>
                <w:b/>
                <w:bCs/>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4D9FCF04">
            <w:pPr>
              <w:jc w:val="center"/>
              <w:rPr>
                <w:rFonts w:hint="eastAsia" w:ascii="宋体" w:hAnsi="宋体" w:eastAsia="宋体" w:cs="宋体"/>
                <w:b/>
                <w:bCs/>
                <w:i w:val="0"/>
                <w:iCs w:val="0"/>
                <w:color w:val="000000"/>
                <w:sz w:val="20"/>
                <w:szCs w:val="20"/>
                <w:u w:val="none"/>
              </w:rPr>
            </w:pPr>
          </w:p>
        </w:tc>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2E5BB">
            <w:pPr>
              <w:jc w:val="center"/>
              <w:rPr>
                <w:rFonts w:hint="default" w:ascii="仿宋_GB2312" w:hAnsi="宋体" w:eastAsia="仿宋_GB2312" w:cs="仿宋_GB2312"/>
                <w:b/>
                <w:bCs/>
                <w:i w:val="0"/>
                <w:iCs w:val="0"/>
                <w:color w:val="000000"/>
                <w:sz w:val="20"/>
                <w:szCs w:val="20"/>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7FC5A">
            <w:pPr>
              <w:jc w:val="center"/>
              <w:rPr>
                <w:rFonts w:hint="default" w:ascii="仿宋_GB2312" w:hAnsi="宋体" w:eastAsia="仿宋_GB2312" w:cs="仿宋_GB2312"/>
                <w:b/>
                <w:bCs/>
                <w:i w:val="0"/>
                <w:iCs w:val="0"/>
                <w:color w:val="000000"/>
                <w:sz w:val="20"/>
                <w:szCs w:val="20"/>
                <w:u w:val="none"/>
              </w:rPr>
            </w:pPr>
          </w:p>
        </w:tc>
        <w:tc>
          <w:tcPr>
            <w:tcW w:w="1038" w:type="dxa"/>
            <w:vMerge w:val="continue"/>
            <w:tcBorders>
              <w:top w:val="single" w:color="000000" w:sz="4" w:space="0"/>
              <w:left w:val="single" w:color="000000" w:sz="4" w:space="0"/>
              <w:bottom w:val="single" w:color="000000" w:sz="4" w:space="0"/>
              <w:right w:val="nil"/>
            </w:tcBorders>
            <w:shd w:val="clear" w:color="auto" w:fill="auto"/>
            <w:vAlign w:val="center"/>
          </w:tcPr>
          <w:p w14:paraId="7593A20D">
            <w:pPr>
              <w:jc w:val="center"/>
              <w:rPr>
                <w:rFonts w:hint="eastAsia" w:ascii="宋体" w:hAnsi="宋体" w:eastAsia="宋体" w:cs="宋体"/>
                <w:b/>
                <w:bCs/>
                <w:i w:val="0"/>
                <w:iCs w:val="0"/>
                <w:color w:val="000000"/>
                <w:sz w:val="20"/>
                <w:szCs w:val="20"/>
                <w:u w:val="none"/>
              </w:rPr>
            </w:pPr>
          </w:p>
        </w:tc>
        <w:tc>
          <w:tcPr>
            <w:tcW w:w="8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D860A">
            <w:pPr>
              <w:jc w:val="center"/>
              <w:rPr>
                <w:rFonts w:hint="default" w:ascii="仿宋_GB2312" w:hAnsi="宋体" w:eastAsia="仿宋_GB2312" w:cs="仿宋_GB2312"/>
                <w:b/>
                <w:bCs/>
                <w:i w:val="0"/>
                <w:iCs w:val="0"/>
                <w:color w:val="000000"/>
                <w:sz w:val="20"/>
                <w:szCs w:val="20"/>
                <w:u w:val="none"/>
              </w:rPr>
            </w:pPr>
          </w:p>
        </w:tc>
        <w:tc>
          <w:tcPr>
            <w:tcW w:w="18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801B4">
            <w:pPr>
              <w:jc w:val="center"/>
              <w:rPr>
                <w:rFonts w:hint="default" w:ascii="仿宋_GB2312" w:hAnsi="宋体" w:eastAsia="仿宋_GB2312" w:cs="仿宋_GB2312"/>
                <w:b/>
                <w:bCs/>
                <w:i w:val="0"/>
                <w:iCs w:val="0"/>
                <w:color w:val="000000"/>
                <w:sz w:val="20"/>
                <w:szCs w:val="20"/>
                <w:u w:val="none"/>
              </w:rPr>
            </w:pPr>
          </w:p>
        </w:tc>
        <w:tc>
          <w:tcPr>
            <w:tcW w:w="2197" w:type="dxa"/>
            <w:gridSpan w:val="2"/>
            <w:vMerge w:val="continue"/>
            <w:tcBorders>
              <w:top w:val="single" w:color="000000" w:sz="4" w:space="0"/>
              <w:left w:val="nil"/>
              <w:bottom w:val="nil"/>
              <w:right w:val="single" w:color="000000" w:sz="4" w:space="0"/>
            </w:tcBorders>
            <w:shd w:val="clear" w:color="auto" w:fill="auto"/>
            <w:noWrap/>
            <w:vAlign w:val="center"/>
          </w:tcPr>
          <w:p w14:paraId="388B9851">
            <w:pPr>
              <w:jc w:val="center"/>
              <w:rPr>
                <w:rFonts w:hint="eastAsia" w:ascii="宋体" w:hAnsi="宋体" w:eastAsia="宋体" w:cs="宋体"/>
                <w:b/>
                <w:bCs/>
                <w:i w:val="0"/>
                <w:iCs w:val="0"/>
                <w:color w:val="000000"/>
                <w:sz w:val="22"/>
                <w:szCs w:val="22"/>
                <w:u w:val="none"/>
              </w:rPr>
            </w:pPr>
          </w:p>
        </w:tc>
      </w:tr>
      <w:tr w14:paraId="14AD7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F1F6DD">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绩效指标</w:t>
            </w:r>
          </w:p>
        </w:tc>
        <w:tc>
          <w:tcPr>
            <w:tcW w:w="522" w:type="dxa"/>
            <w:vMerge w:val="restart"/>
            <w:tcBorders>
              <w:top w:val="single" w:color="000000" w:sz="4" w:space="0"/>
              <w:left w:val="single" w:color="000000" w:sz="4" w:space="0"/>
              <w:bottom w:val="single" w:color="000000" w:sz="4" w:space="0"/>
              <w:right w:val="nil"/>
            </w:tcBorders>
            <w:shd w:val="clear" w:color="auto" w:fill="auto"/>
            <w:noWrap/>
            <w:vAlign w:val="center"/>
          </w:tcPr>
          <w:p w14:paraId="51E3CACC">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产出指标</w:t>
            </w:r>
          </w:p>
        </w:tc>
        <w:tc>
          <w:tcPr>
            <w:tcW w:w="771" w:type="dxa"/>
            <w:vMerge w:val="restart"/>
            <w:tcBorders>
              <w:top w:val="single" w:color="000000" w:sz="4" w:space="0"/>
              <w:left w:val="single" w:color="000000" w:sz="4" w:space="0"/>
              <w:bottom w:val="single" w:color="000000" w:sz="4" w:space="0"/>
              <w:right w:val="nil"/>
            </w:tcBorders>
            <w:shd w:val="clear" w:color="auto" w:fill="auto"/>
            <w:vAlign w:val="center"/>
          </w:tcPr>
          <w:p w14:paraId="45CE9A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数量指标</w:t>
            </w:r>
          </w:p>
        </w:tc>
        <w:tc>
          <w:tcPr>
            <w:tcW w:w="1183" w:type="dxa"/>
            <w:gridSpan w:val="2"/>
            <w:tcBorders>
              <w:top w:val="nil"/>
              <w:left w:val="single" w:color="000000" w:sz="4" w:space="0"/>
              <w:bottom w:val="single" w:color="000000" w:sz="4" w:space="0"/>
              <w:right w:val="nil"/>
            </w:tcBorders>
            <w:shd w:val="clear" w:color="auto" w:fill="auto"/>
            <w:vAlign w:val="center"/>
          </w:tcPr>
          <w:p w14:paraId="6A4FE4F6">
            <w:pPr>
              <w:keepNext w:val="0"/>
              <w:keepLines w:val="0"/>
              <w:widowControl/>
              <w:suppressLineNumbers w:val="0"/>
              <w:jc w:val="center"/>
              <w:textAlignment w:val="center"/>
              <w:rPr>
                <w:rFonts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建立健康档案</w:t>
            </w:r>
          </w:p>
        </w:tc>
        <w:tc>
          <w:tcPr>
            <w:tcW w:w="711" w:type="dxa"/>
            <w:tcBorders>
              <w:top w:val="nil"/>
              <w:left w:val="single" w:color="000000" w:sz="4" w:space="0"/>
              <w:bottom w:val="single" w:color="000000" w:sz="4" w:space="0"/>
              <w:right w:val="nil"/>
            </w:tcBorders>
            <w:shd w:val="clear" w:color="auto" w:fill="auto"/>
            <w:vAlign w:val="center"/>
          </w:tcPr>
          <w:p w14:paraId="11E8787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≥46500</w:t>
            </w:r>
          </w:p>
        </w:tc>
        <w:tc>
          <w:tcPr>
            <w:tcW w:w="1038" w:type="dxa"/>
            <w:tcBorders>
              <w:top w:val="nil"/>
              <w:left w:val="single" w:color="000000" w:sz="4" w:space="0"/>
              <w:bottom w:val="single" w:color="000000" w:sz="4" w:space="0"/>
              <w:right w:val="nil"/>
            </w:tcBorders>
            <w:shd w:val="clear" w:color="auto" w:fill="auto"/>
            <w:vAlign w:val="center"/>
          </w:tcPr>
          <w:p w14:paraId="0994BBD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46539</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EE00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04B5B">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A6F4">
            <w:pPr>
              <w:jc w:val="center"/>
              <w:rPr>
                <w:rFonts w:hint="eastAsia" w:ascii="宋体" w:hAnsi="宋体" w:eastAsia="宋体" w:cs="宋体"/>
                <w:i w:val="0"/>
                <w:iCs w:val="0"/>
                <w:color w:val="000000"/>
                <w:sz w:val="22"/>
                <w:szCs w:val="22"/>
                <w:u w:val="none"/>
              </w:rPr>
            </w:pPr>
          </w:p>
        </w:tc>
      </w:tr>
      <w:tr w14:paraId="30EE4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42839">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4A1E7DA1">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1122A7F8">
            <w:pPr>
              <w:rPr>
                <w:rFonts w:hint="eastAsia" w:ascii="宋体" w:hAnsi="宋体" w:eastAsia="宋体" w:cs="宋体"/>
                <w:i w:val="0"/>
                <w:iCs w:val="0"/>
                <w:color w:val="000000"/>
                <w:sz w:val="20"/>
                <w:szCs w:val="20"/>
                <w:u w:val="none"/>
              </w:rPr>
            </w:pPr>
          </w:p>
        </w:tc>
        <w:tc>
          <w:tcPr>
            <w:tcW w:w="1183" w:type="dxa"/>
            <w:gridSpan w:val="2"/>
            <w:tcBorders>
              <w:top w:val="nil"/>
              <w:left w:val="single" w:color="000000" w:sz="4" w:space="0"/>
              <w:bottom w:val="single" w:color="000000" w:sz="4" w:space="0"/>
              <w:right w:val="nil"/>
            </w:tcBorders>
            <w:shd w:val="clear" w:color="auto" w:fill="auto"/>
            <w:vAlign w:val="center"/>
          </w:tcPr>
          <w:p w14:paraId="49CED2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65岁以上老人健康体检人员</w:t>
            </w:r>
          </w:p>
        </w:tc>
        <w:tc>
          <w:tcPr>
            <w:tcW w:w="711" w:type="dxa"/>
            <w:tcBorders>
              <w:top w:val="nil"/>
              <w:left w:val="single" w:color="000000" w:sz="4" w:space="0"/>
              <w:bottom w:val="single" w:color="000000" w:sz="4" w:space="0"/>
              <w:right w:val="nil"/>
            </w:tcBorders>
            <w:shd w:val="clear" w:color="auto" w:fill="auto"/>
            <w:vAlign w:val="center"/>
          </w:tcPr>
          <w:p w14:paraId="723A7D5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≥5000</w:t>
            </w:r>
          </w:p>
        </w:tc>
        <w:tc>
          <w:tcPr>
            <w:tcW w:w="1038" w:type="dxa"/>
            <w:tcBorders>
              <w:top w:val="nil"/>
              <w:left w:val="single" w:color="000000" w:sz="4" w:space="0"/>
              <w:bottom w:val="single" w:color="000000" w:sz="4" w:space="0"/>
              <w:right w:val="nil"/>
            </w:tcBorders>
            <w:shd w:val="clear" w:color="auto" w:fill="auto"/>
            <w:vAlign w:val="center"/>
          </w:tcPr>
          <w:p w14:paraId="4597D38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5148</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B4CC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1D69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F3B4">
            <w:pPr>
              <w:jc w:val="center"/>
              <w:rPr>
                <w:rFonts w:hint="eastAsia" w:ascii="宋体" w:hAnsi="宋体" w:eastAsia="宋体" w:cs="宋体"/>
                <w:i w:val="0"/>
                <w:iCs w:val="0"/>
                <w:color w:val="000000"/>
                <w:sz w:val="22"/>
                <w:szCs w:val="22"/>
                <w:u w:val="none"/>
              </w:rPr>
            </w:pPr>
          </w:p>
        </w:tc>
      </w:tr>
      <w:tr w14:paraId="23AE9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1BEA4">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43D92EEA">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7B72074B">
            <w:pPr>
              <w:rPr>
                <w:rFonts w:hint="eastAsia" w:ascii="宋体" w:hAnsi="宋体" w:eastAsia="宋体" w:cs="宋体"/>
                <w:i w:val="0"/>
                <w:iCs w:val="0"/>
                <w:color w:val="000000"/>
                <w:sz w:val="20"/>
                <w:szCs w:val="20"/>
                <w:u w:val="none"/>
              </w:rPr>
            </w:pPr>
          </w:p>
        </w:tc>
        <w:tc>
          <w:tcPr>
            <w:tcW w:w="1183" w:type="dxa"/>
            <w:gridSpan w:val="2"/>
            <w:tcBorders>
              <w:top w:val="nil"/>
              <w:left w:val="single" w:color="000000" w:sz="4" w:space="0"/>
              <w:bottom w:val="single" w:color="000000" w:sz="4" w:space="0"/>
              <w:right w:val="nil"/>
            </w:tcBorders>
            <w:shd w:val="clear" w:color="auto" w:fill="auto"/>
            <w:vAlign w:val="center"/>
          </w:tcPr>
          <w:p w14:paraId="760AE6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疫苗接种次数</w:t>
            </w:r>
          </w:p>
        </w:tc>
        <w:tc>
          <w:tcPr>
            <w:tcW w:w="711" w:type="dxa"/>
            <w:tcBorders>
              <w:top w:val="nil"/>
              <w:left w:val="single" w:color="000000" w:sz="4" w:space="0"/>
              <w:bottom w:val="single" w:color="000000" w:sz="4" w:space="0"/>
              <w:right w:val="nil"/>
            </w:tcBorders>
            <w:shd w:val="clear" w:color="auto" w:fill="auto"/>
            <w:vAlign w:val="center"/>
          </w:tcPr>
          <w:p w14:paraId="07AD4BD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≥5000</w:t>
            </w:r>
          </w:p>
        </w:tc>
        <w:tc>
          <w:tcPr>
            <w:tcW w:w="1038" w:type="dxa"/>
            <w:tcBorders>
              <w:top w:val="nil"/>
              <w:left w:val="single" w:color="000000" w:sz="4" w:space="0"/>
              <w:bottom w:val="single" w:color="000000" w:sz="4" w:space="0"/>
              <w:right w:val="nil"/>
            </w:tcBorders>
            <w:shd w:val="clear" w:color="auto" w:fill="auto"/>
            <w:vAlign w:val="center"/>
          </w:tcPr>
          <w:p w14:paraId="7CBE603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5071</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9CB68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49BF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9AA76">
            <w:pPr>
              <w:jc w:val="center"/>
              <w:rPr>
                <w:rFonts w:hint="eastAsia" w:ascii="宋体" w:hAnsi="宋体" w:eastAsia="宋体" w:cs="宋体"/>
                <w:i w:val="0"/>
                <w:iCs w:val="0"/>
                <w:color w:val="000000"/>
                <w:sz w:val="22"/>
                <w:szCs w:val="22"/>
                <w:u w:val="none"/>
              </w:rPr>
            </w:pPr>
          </w:p>
        </w:tc>
      </w:tr>
      <w:tr w14:paraId="64B63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7B21C">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73B6FF5">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260916FC">
            <w:pPr>
              <w:rPr>
                <w:rFonts w:hint="eastAsia" w:ascii="宋体" w:hAnsi="宋体" w:eastAsia="宋体" w:cs="宋体"/>
                <w:i w:val="0"/>
                <w:iCs w:val="0"/>
                <w:color w:val="000000"/>
                <w:sz w:val="20"/>
                <w:szCs w:val="20"/>
                <w:u w:val="none"/>
              </w:rPr>
            </w:pPr>
          </w:p>
        </w:tc>
        <w:tc>
          <w:tcPr>
            <w:tcW w:w="1183" w:type="dxa"/>
            <w:gridSpan w:val="2"/>
            <w:tcBorders>
              <w:top w:val="nil"/>
              <w:left w:val="single" w:color="000000" w:sz="4" w:space="0"/>
              <w:bottom w:val="single" w:color="000000" w:sz="4" w:space="0"/>
              <w:right w:val="nil"/>
            </w:tcBorders>
            <w:shd w:val="clear" w:color="auto" w:fill="auto"/>
            <w:vAlign w:val="center"/>
          </w:tcPr>
          <w:p w14:paraId="2914AF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儿童营养包发放</w:t>
            </w:r>
          </w:p>
        </w:tc>
        <w:tc>
          <w:tcPr>
            <w:tcW w:w="711" w:type="dxa"/>
            <w:tcBorders>
              <w:top w:val="nil"/>
              <w:left w:val="single" w:color="000000" w:sz="4" w:space="0"/>
              <w:bottom w:val="single" w:color="000000" w:sz="4" w:space="0"/>
              <w:right w:val="nil"/>
            </w:tcBorders>
            <w:shd w:val="clear" w:color="auto" w:fill="auto"/>
            <w:vAlign w:val="center"/>
          </w:tcPr>
          <w:p w14:paraId="4D45C55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≥5000</w:t>
            </w:r>
          </w:p>
        </w:tc>
        <w:tc>
          <w:tcPr>
            <w:tcW w:w="1038" w:type="dxa"/>
            <w:tcBorders>
              <w:top w:val="nil"/>
              <w:left w:val="single" w:color="000000" w:sz="4" w:space="0"/>
              <w:bottom w:val="single" w:color="000000" w:sz="4" w:space="0"/>
              <w:right w:val="nil"/>
            </w:tcBorders>
            <w:shd w:val="clear" w:color="auto" w:fill="auto"/>
            <w:vAlign w:val="center"/>
          </w:tcPr>
          <w:p w14:paraId="7656635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5509</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54D9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B898E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499E5">
            <w:pPr>
              <w:jc w:val="center"/>
              <w:rPr>
                <w:rFonts w:hint="eastAsia" w:ascii="宋体" w:hAnsi="宋体" w:eastAsia="宋体" w:cs="宋体"/>
                <w:i w:val="0"/>
                <w:iCs w:val="0"/>
                <w:color w:val="000000"/>
                <w:sz w:val="22"/>
                <w:szCs w:val="22"/>
                <w:u w:val="none"/>
              </w:rPr>
            </w:pPr>
          </w:p>
        </w:tc>
      </w:tr>
      <w:tr w14:paraId="766C2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6F866">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2A9517AF">
            <w:pPr>
              <w:rPr>
                <w:rFonts w:hint="default" w:ascii="仿宋_GB2312" w:hAnsi="宋体" w:eastAsia="仿宋_GB2312" w:cs="仿宋_GB2312"/>
                <w:i w:val="0"/>
                <w:iCs w:val="0"/>
                <w:color w:val="000000"/>
                <w:sz w:val="20"/>
                <w:szCs w:val="20"/>
                <w:u w:val="none"/>
              </w:rPr>
            </w:pPr>
          </w:p>
        </w:tc>
        <w:tc>
          <w:tcPr>
            <w:tcW w:w="771" w:type="dxa"/>
            <w:vMerge w:val="restart"/>
            <w:tcBorders>
              <w:top w:val="single" w:color="000000" w:sz="4" w:space="0"/>
              <w:left w:val="single" w:color="000000" w:sz="4" w:space="0"/>
              <w:bottom w:val="single" w:color="000000" w:sz="4" w:space="0"/>
              <w:right w:val="nil"/>
            </w:tcBorders>
            <w:shd w:val="clear" w:color="auto" w:fill="auto"/>
            <w:vAlign w:val="center"/>
          </w:tcPr>
          <w:p w14:paraId="07A7E4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质量指标</w:t>
            </w:r>
          </w:p>
        </w:tc>
        <w:tc>
          <w:tcPr>
            <w:tcW w:w="1183" w:type="dxa"/>
            <w:gridSpan w:val="2"/>
            <w:tcBorders>
              <w:top w:val="nil"/>
              <w:left w:val="single" w:color="000000" w:sz="4" w:space="0"/>
              <w:bottom w:val="single" w:color="000000" w:sz="4" w:space="0"/>
              <w:right w:val="nil"/>
            </w:tcBorders>
            <w:shd w:val="clear" w:color="auto" w:fill="auto"/>
            <w:vAlign w:val="center"/>
          </w:tcPr>
          <w:p w14:paraId="26A9D5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电子档案建档率</w:t>
            </w:r>
          </w:p>
        </w:tc>
        <w:tc>
          <w:tcPr>
            <w:tcW w:w="711" w:type="dxa"/>
            <w:tcBorders>
              <w:top w:val="nil"/>
              <w:left w:val="single" w:color="000000" w:sz="4" w:space="0"/>
              <w:bottom w:val="single" w:color="000000" w:sz="4" w:space="0"/>
              <w:right w:val="nil"/>
            </w:tcBorders>
            <w:shd w:val="clear" w:color="auto" w:fill="auto"/>
            <w:vAlign w:val="center"/>
          </w:tcPr>
          <w:p w14:paraId="49C62A5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038" w:type="dxa"/>
            <w:tcBorders>
              <w:top w:val="nil"/>
              <w:left w:val="single" w:color="000000" w:sz="4" w:space="0"/>
              <w:bottom w:val="single" w:color="000000" w:sz="4" w:space="0"/>
              <w:right w:val="nil"/>
            </w:tcBorders>
            <w:shd w:val="clear" w:color="auto" w:fill="auto"/>
            <w:vAlign w:val="center"/>
          </w:tcPr>
          <w:p w14:paraId="030496C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100.08%</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4285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F4AB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62FD">
            <w:pPr>
              <w:jc w:val="left"/>
              <w:rPr>
                <w:rFonts w:hint="eastAsia" w:ascii="宋体" w:hAnsi="宋体" w:eastAsia="宋体" w:cs="宋体"/>
                <w:i w:val="0"/>
                <w:iCs w:val="0"/>
                <w:color w:val="000000"/>
                <w:sz w:val="22"/>
                <w:szCs w:val="22"/>
                <w:u w:val="none"/>
              </w:rPr>
            </w:pPr>
          </w:p>
        </w:tc>
      </w:tr>
      <w:tr w14:paraId="72ADB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C5DC5">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7269E50">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02005C1F">
            <w:pPr>
              <w:rPr>
                <w:rFonts w:hint="eastAsia" w:ascii="宋体" w:hAnsi="宋体" w:eastAsia="宋体" w:cs="宋体"/>
                <w:i w:val="0"/>
                <w:iCs w:val="0"/>
                <w:color w:val="000000"/>
                <w:sz w:val="20"/>
                <w:szCs w:val="20"/>
                <w:u w:val="none"/>
              </w:rPr>
            </w:pPr>
          </w:p>
        </w:tc>
        <w:tc>
          <w:tcPr>
            <w:tcW w:w="1183" w:type="dxa"/>
            <w:gridSpan w:val="2"/>
            <w:tcBorders>
              <w:top w:val="nil"/>
              <w:left w:val="single" w:color="000000" w:sz="4" w:space="0"/>
              <w:bottom w:val="single" w:color="auto" w:sz="4" w:space="0"/>
              <w:right w:val="nil"/>
            </w:tcBorders>
            <w:shd w:val="clear" w:color="auto" w:fill="auto"/>
            <w:vAlign w:val="center"/>
          </w:tcPr>
          <w:p w14:paraId="60047B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产前检查率及访视率</w:t>
            </w:r>
          </w:p>
        </w:tc>
        <w:tc>
          <w:tcPr>
            <w:tcW w:w="711" w:type="dxa"/>
            <w:tcBorders>
              <w:top w:val="nil"/>
              <w:left w:val="single" w:color="000000" w:sz="4" w:space="0"/>
              <w:bottom w:val="single" w:color="auto" w:sz="4" w:space="0"/>
              <w:right w:val="nil"/>
            </w:tcBorders>
            <w:shd w:val="clear" w:color="auto" w:fill="auto"/>
            <w:vAlign w:val="center"/>
          </w:tcPr>
          <w:p w14:paraId="5CF2BE6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038" w:type="dxa"/>
            <w:tcBorders>
              <w:top w:val="nil"/>
              <w:left w:val="single" w:color="000000" w:sz="4" w:space="0"/>
              <w:bottom w:val="single" w:color="auto" w:sz="4" w:space="0"/>
              <w:right w:val="nil"/>
            </w:tcBorders>
            <w:shd w:val="clear" w:color="auto" w:fill="auto"/>
            <w:vAlign w:val="center"/>
          </w:tcPr>
          <w:p w14:paraId="4A1AFD5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56C4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7B38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CD294">
            <w:pPr>
              <w:jc w:val="center"/>
              <w:rPr>
                <w:rFonts w:hint="eastAsia" w:ascii="宋体" w:hAnsi="宋体" w:eastAsia="宋体" w:cs="宋体"/>
                <w:i w:val="0"/>
                <w:iCs w:val="0"/>
                <w:color w:val="000000"/>
                <w:sz w:val="22"/>
                <w:szCs w:val="22"/>
                <w:u w:val="none"/>
              </w:rPr>
            </w:pPr>
          </w:p>
        </w:tc>
      </w:tr>
      <w:tr w14:paraId="71B2F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B6DCF">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17E13CF4">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EA6DA58">
            <w:pPr>
              <w:rPr>
                <w:rFonts w:hint="eastAsia" w:ascii="宋体" w:hAnsi="宋体" w:eastAsia="宋体" w:cs="宋体"/>
                <w:i w:val="0"/>
                <w:iCs w:val="0"/>
                <w:color w:val="000000"/>
                <w:sz w:val="20"/>
                <w:szCs w:val="20"/>
                <w:u w:val="none"/>
              </w:rPr>
            </w:pP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A501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住院分娩率</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406D7D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3F7A7CA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8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EFC19D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E132F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35237">
            <w:pPr>
              <w:jc w:val="center"/>
              <w:rPr>
                <w:rFonts w:hint="eastAsia" w:ascii="宋体" w:hAnsi="宋体" w:eastAsia="宋体" w:cs="宋体"/>
                <w:i w:val="0"/>
                <w:iCs w:val="0"/>
                <w:color w:val="000000"/>
                <w:sz w:val="22"/>
                <w:szCs w:val="22"/>
                <w:u w:val="none"/>
              </w:rPr>
            </w:pPr>
          </w:p>
        </w:tc>
      </w:tr>
      <w:tr w14:paraId="6C99E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B0C36">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501A8575">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876B2E4">
            <w:pPr>
              <w:rPr>
                <w:rFonts w:hint="eastAsia" w:ascii="宋体" w:hAnsi="宋体" w:eastAsia="宋体" w:cs="宋体"/>
                <w:i w:val="0"/>
                <w:iCs w:val="0"/>
                <w:color w:val="000000"/>
                <w:sz w:val="20"/>
                <w:szCs w:val="20"/>
                <w:u w:val="none"/>
              </w:rPr>
            </w:pP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5845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7岁以下儿童建档率</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689B8AE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65A20DA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98.9%</w:t>
            </w:r>
          </w:p>
        </w:tc>
        <w:tc>
          <w:tcPr>
            <w:tcW w:w="8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F4F29D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40C3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4</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8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部分儿童长期在外</w:t>
            </w:r>
          </w:p>
        </w:tc>
      </w:tr>
      <w:tr w14:paraId="3B588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1DE32">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62CD2A6B">
            <w:pPr>
              <w:rPr>
                <w:rFonts w:hint="default" w:ascii="仿宋_GB2312" w:hAnsi="宋体" w:eastAsia="仿宋_GB2312" w:cs="仿宋_GB2312"/>
                <w:i w:val="0"/>
                <w:iCs w:val="0"/>
                <w:color w:val="000000"/>
                <w:sz w:val="20"/>
                <w:szCs w:val="20"/>
                <w:u w:val="none"/>
              </w:rPr>
            </w:pPr>
          </w:p>
        </w:tc>
        <w:tc>
          <w:tcPr>
            <w:tcW w:w="771" w:type="dxa"/>
            <w:tcBorders>
              <w:top w:val="single" w:color="000000" w:sz="4" w:space="0"/>
              <w:left w:val="single" w:color="000000" w:sz="4" w:space="0"/>
              <w:bottom w:val="single" w:color="000000" w:sz="4" w:space="0"/>
              <w:right w:val="nil"/>
            </w:tcBorders>
            <w:shd w:val="clear" w:color="auto" w:fill="auto"/>
            <w:vAlign w:val="center"/>
          </w:tcPr>
          <w:p w14:paraId="16762B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时效指标</w:t>
            </w:r>
          </w:p>
        </w:tc>
        <w:tc>
          <w:tcPr>
            <w:tcW w:w="1183" w:type="dxa"/>
            <w:gridSpan w:val="2"/>
            <w:tcBorders>
              <w:top w:val="single" w:color="auto" w:sz="4" w:space="0"/>
              <w:left w:val="single" w:color="000000" w:sz="4" w:space="0"/>
              <w:bottom w:val="single" w:color="000000" w:sz="4" w:space="0"/>
              <w:right w:val="nil"/>
            </w:tcBorders>
            <w:shd w:val="clear" w:color="auto" w:fill="auto"/>
            <w:vAlign w:val="center"/>
          </w:tcPr>
          <w:p w14:paraId="0A8603C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完成时间</w:t>
            </w:r>
          </w:p>
        </w:tc>
        <w:tc>
          <w:tcPr>
            <w:tcW w:w="711" w:type="dxa"/>
            <w:tcBorders>
              <w:top w:val="single" w:color="auto" w:sz="4" w:space="0"/>
              <w:left w:val="single" w:color="000000" w:sz="4" w:space="0"/>
              <w:bottom w:val="single" w:color="000000" w:sz="4" w:space="0"/>
              <w:right w:val="nil"/>
            </w:tcBorders>
            <w:shd w:val="clear" w:color="auto" w:fill="auto"/>
            <w:vAlign w:val="center"/>
          </w:tcPr>
          <w:p w14:paraId="3C9EA44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2023年度</w:t>
            </w:r>
          </w:p>
        </w:tc>
        <w:tc>
          <w:tcPr>
            <w:tcW w:w="1038" w:type="dxa"/>
            <w:tcBorders>
              <w:top w:val="single" w:color="auto" w:sz="4" w:space="0"/>
              <w:left w:val="single" w:color="000000" w:sz="4" w:space="0"/>
              <w:bottom w:val="single" w:color="000000" w:sz="4" w:space="0"/>
              <w:right w:val="nil"/>
            </w:tcBorders>
            <w:shd w:val="clear" w:color="auto" w:fill="auto"/>
            <w:vAlign w:val="center"/>
          </w:tcPr>
          <w:p w14:paraId="1C7D959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2023年度</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12A5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0F3E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12F28">
            <w:pPr>
              <w:jc w:val="left"/>
              <w:rPr>
                <w:rFonts w:hint="eastAsia" w:ascii="宋体" w:hAnsi="宋体" w:eastAsia="宋体" w:cs="宋体"/>
                <w:i w:val="0"/>
                <w:iCs w:val="0"/>
                <w:color w:val="000000"/>
                <w:sz w:val="22"/>
                <w:szCs w:val="22"/>
                <w:u w:val="none"/>
              </w:rPr>
            </w:pPr>
          </w:p>
        </w:tc>
      </w:tr>
      <w:tr w14:paraId="495E4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6B5D1">
            <w:pPr>
              <w:rPr>
                <w:rFonts w:hint="default" w:ascii="仿宋_GB2312" w:hAnsi="宋体" w:eastAsia="仿宋_GB2312" w:cs="仿宋_GB2312"/>
                <w:i w:val="0"/>
                <w:iCs w:val="0"/>
                <w:color w:val="000000"/>
                <w:sz w:val="20"/>
                <w:szCs w:val="20"/>
                <w:u w:val="none"/>
              </w:rPr>
            </w:pPr>
          </w:p>
        </w:tc>
        <w:tc>
          <w:tcPr>
            <w:tcW w:w="522" w:type="dxa"/>
            <w:vMerge w:val="restart"/>
            <w:tcBorders>
              <w:top w:val="single" w:color="000000" w:sz="4" w:space="0"/>
              <w:left w:val="single" w:color="000000" w:sz="4" w:space="0"/>
              <w:bottom w:val="single" w:color="000000" w:sz="4" w:space="0"/>
              <w:right w:val="nil"/>
            </w:tcBorders>
            <w:shd w:val="clear" w:color="auto" w:fill="auto"/>
            <w:noWrap/>
            <w:vAlign w:val="center"/>
          </w:tcPr>
          <w:p w14:paraId="07D64B38">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效益指标</w:t>
            </w:r>
          </w:p>
        </w:tc>
        <w:tc>
          <w:tcPr>
            <w:tcW w:w="771" w:type="dxa"/>
            <w:tcBorders>
              <w:top w:val="single" w:color="000000" w:sz="4" w:space="0"/>
              <w:left w:val="single" w:color="000000" w:sz="4" w:space="0"/>
              <w:bottom w:val="single" w:color="000000" w:sz="4" w:space="0"/>
              <w:right w:val="nil"/>
            </w:tcBorders>
            <w:shd w:val="clear" w:color="auto" w:fill="auto"/>
            <w:vAlign w:val="center"/>
          </w:tcPr>
          <w:p w14:paraId="2AADA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经济效益指标</w:t>
            </w:r>
          </w:p>
        </w:tc>
        <w:tc>
          <w:tcPr>
            <w:tcW w:w="1183" w:type="dxa"/>
            <w:gridSpan w:val="2"/>
            <w:tcBorders>
              <w:top w:val="nil"/>
              <w:left w:val="single" w:color="000000" w:sz="4" w:space="0"/>
              <w:bottom w:val="single" w:color="000000" w:sz="4" w:space="0"/>
              <w:right w:val="nil"/>
            </w:tcBorders>
            <w:shd w:val="clear" w:color="auto" w:fill="auto"/>
            <w:vAlign w:val="center"/>
          </w:tcPr>
          <w:p w14:paraId="0364C819">
            <w:pPr>
              <w:jc w:val="center"/>
              <w:rPr>
                <w:rFonts w:hint="eastAsia" w:ascii="仿宋" w:hAnsi="仿宋" w:eastAsia="仿宋" w:cs="仿宋"/>
                <w:i w:val="0"/>
                <w:iCs w:val="0"/>
                <w:color w:val="000000"/>
                <w:sz w:val="20"/>
                <w:szCs w:val="20"/>
                <w:u w:val="none"/>
              </w:rPr>
            </w:pPr>
          </w:p>
        </w:tc>
        <w:tc>
          <w:tcPr>
            <w:tcW w:w="711" w:type="dxa"/>
            <w:tcBorders>
              <w:top w:val="nil"/>
              <w:left w:val="single" w:color="000000" w:sz="4" w:space="0"/>
              <w:bottom w:val="single" w:color="000000" w:sz="4" w:space="0"/>
              <w:right w:val="nil"/>
            </w:tcBorders>
            <w:shd w:val="clear" w:color="auto" w:fill="auto"/>
            <w:vAlign w:val="center"/>
          </w:tcPr>
          <w:p w14:paraId="55CAAC92">
            <w:pPr>
              <w:jc w:val="center"/>
              <w:rPr>
                <w:rFonts w:hint="default" w:ascii="仿宋_GB2312" w:hAnsi="宋体" w:eastAsia="仿宋_GB2312" w:cs="仿宋_GB2312"/>
                <w:i w:val="0"/>
                <w:iCs w:val="0"/>
                <w:color w:val="000000"/>
                <w:sz w:val="20"/>
                <w:szCs w:val="20"/>
                <w:u w:val="none"/>
              </w:rPr>
            </w:pPr>
          </w:p>
        </w:tc>
        <w:tc>
          <w:tcPr>
            <w:tcW w:w="1038" w:type="dxa"/>
            <w:tcBorders>
              <w:top w:val="nil"/>
              <w:left w:val="single" w:color="000000" w:sz="4" w:space="0"/>
              <w:bottom w:val="single" w:color="000000" w:sz="4" w:space="0"/>
              <w:right w:val="nil"/>
            </w:tcBorders>
            <w:shd w:val="clear" w:color="auto" w:fill="auto"/>
            <w:vAlign w:val="center"/>
          </w:tcPr>
          <w:p w14:paraId="3F44D5BF">
            <w:pPr>
              <w:jc w:val="center"/>
              <w:rPr>
                <w:rFonts w:hint="default" w:ascii="仿宋_GB2312" w:hAnsi="宋体" w:eastAsia="仿宋_GB2312" w:cs="仿宋_GB2312"/>
                <w:i w:val="0"/>
                <w:iCs w:val="0"/>
                <w:color w:val="000000"/>
                <w:sz w:val="20"/>
                <w:szCs w:val="20"/>
                <w:u w:val="none"/>
              </w:rPr>
            </w:pP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93F28">
            <w:pPr>
              <w:jc w:val="center"/>
              <w:rPr>
                <w:rFonts w:hint="default" w:ascii="仿宋_GB2312" w:hAnsi="宋体" w:eastAsia="仿宋_GB2312" w:cs="仿宋_GB2312"/>
                <w:i w:val="0"/>
                <w:iCs w:val="0"/>
                <w:color w:val="000000"/>
                <w:sz w:val="20"/>
                <w:szCs w:val="20"/>
                <w:u w:val="none"/>
              </w:rPr>
            </w:pP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27804">
            <w:pPr>
              <w:jc w:val="center"/>
              <w:rPr>
                <w:rFonts w:hint="default" w:ascii="仿宋_GB2312" w:hAnsi="宋体" w:eastAsia="仿宋_GB2312" w:cs="仿宋_GB2312"/>
                <w:i w:val="0"/>
                <w:iCs w:val="0"/>
                <w:color w:val="000000"/>
                <w:sz w:val="20"/>
                <w:szCs w:val="20"/>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5A110">
            <w:pPr>
              <w:jc w:val="center"/>
              <w:rPr>
                <w:rFonts w:hint="eastAsia" w:ascii="宋体" w:hAnsi="宋体" w:eastAsia="宋体" w:cs="宋体"/>
                <w:i w:val="0"/>
                <w:iCs w:val="0"/>
                <w:color w:val="000000"/>
                <w:sz w:val="22"/>
                <w:szCs w:val="22"/>
                <w:u w:val="none"/>
              </w:rPr>
            </w:pPr>
          </w:p>
        </w:tc>
      </w:tr>
      <w:tr w14:paraId="4B366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6DB8F">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61E8E38A">
            <w:pPr>
              <w:rPr>
                <w:rFonts w:hint="default" w:ascii="仿宋_GB2312" w:hAnsi="宋体" w:eastAsia="仿宋_GB2312" w:cs="仿宋_GB2312"/>
                <w:i w:val="0"/>
                <w:iCs w:val="0"/>
                <w:color w:val="000000"/>
                <w:sz w:val="20"/>
                <w:szCs w:val="20"/>
                <w:u w:val="none"/>
              </w:rPr>
            </w:pPr>
          </w:p>
        </w:tc>
        <w:tc>
          <w:tcPr>
            <w:tcW w:w="771" w:type="dxa"/>
            <w:vMerge w:val="restart"/>
            <w:tcBorders>
              <w:top w:val="single" w:color="000000" w:sz="4" w:space="0"/>
              <w:left w:val="single" w:color="000000" w:sz="4" w:space="0"/>
              <w:bottom w:val="single" w:color="000000" w:sz="4" w:space="0"/>
              <w:right w:val="nil"/>
            </w:tcBorders>
            <w:shd w:val="clear" w:color="auto" w:fill="auto"/>
            <w:vAlign w:val="center"/>
          </w:tcPr>
          <w:p w14:paraId="19E66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社会效益指标</w:t>
            </w:r>
          </w:p>
        </w:tc>
        <w:tc>
          <w:tcPr>
            <w:tcW w:w="1183" w:type="dxa"/>
            <w:gridSpan w:val="2"/>
            <w:tcBorders>
              <w:top w:val="nil"/>
              <w:left w:val="single" w:color="000000" w:sz="4" w:space="0"/>
              <w:bottom w:val="single" w:color="000000" w:sz="4" w:space="0"/>
              <w:right w:val="nil"/>
            </w:tcBorders>
            <w:shd w:val="clear" w:color="auto" w:fill="auto"/>
            <w:vAlign w:val="center"/>
          </w:tcPr>
          <w:p w14:paraId="679737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乡村医生一体化管理</w:t>
            </w:r>
          </w:p>
        </w:tc>
        <w:tc>
          <w:tcPr>
            <w:tcW w:w="711" w:type="dxa"/>
            <w:tcBorders>
              <w:top w:val="nil"/>
              <w:left w:val="single" w:color="000000" w:sz="4" w:space="0"/>
              <w:bottom w:val="single" w:color="000000" w:sz="4" w:space="0"/>
              <w:right w:val="nil"/>
            </w:tcBorders>
            <w:shd w:val="clear" w:color="auto" w:fill="auto"/>
            <w:vAlign w:val="center"/>
          </w:tcPr>
          <w:p w14:paraId="33D0F84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稳步推进</w:t>
            </w:r>
          </w:p>
        </w:tc>
        <w:tc>
          <w:tcPr>
            <w:tcW w:w="1038" w:type="dxa"/>
            <w:tcBorders>
              <w:top w:val="nil"/>
              <w:left w:val="single" w:color="000000" w:sz="4" w:space="0"/>
              <w:bottom w:val="single" w:color="000000" w:sz="4" w:space="0"/>
              <w:right w:val="nil"/>
            </w:tcBorders>
            <w:shd w:val="clear" w:color="auto" w:fill="auto"/>
            <w:vAlign w:val="center"/>
          </w:tcPr>
          <w:p w14:paraId="47F4972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稳步推进</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95D8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3D038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EC7CF">
            <w:pPr>
              <w:jc w:val="center"/>
              <w:rPr>
                <w:rFonts w:hint="eastAsia" w:ascii="宋体" w:hAnsi="宋体" w:eastAsia="宋体" w:cs="宋体"/>
                <w:i w:val="0"/>
                <w:iCs w:val="0"/>
                <w:color w:val="000000"/>
                <w:sz w:val="22"/>
                <w:szCs w:val="22"/>
                <w:u w:val="none"/>
              </w:rPr>
            </w:pPr>
          </w:p>
        </w:tc>
      </w:tr>
      <w:tr w14:paraId="346B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D9C9A">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2787316F">
            <w:pPr>
              <w:rPr>
                <w:rFonts w:hint="default" w:ascii="仿宋_GB2312" w:hAnsi="宋体" w:eastAsia="仿宋_GB2312" w:cs="仿宋_GB2312"/>
                <w:i w:val="0"/>
                <w:iCs w:val="0"/>
                <w:color w:val="000000"/>
                <w:sz w:val="20"/>
                <w:szCs w:val="20"/>
                <w:u w:val="none"/>
              </w:rPr>
            </w:pPr>
          </w:p>
        </w:tc>
        <w:tc>
          <w:tcPr>
            <w:tcW w:w="771" w:type="dxa"/>
            <w:vMerge w:val="continue"/>
            <w:tcBorders>
              <w:top w:val="single" w:color="000000" w:sz="4" w:space="0"/>
              <w:left w:val="single" w:color="000000" w:sz="4" w:space="0"/>
              <w:bottom w:val="single" w:color="000000" w:sz="4" w:space="0"/>
              <w:right w:val="nil"/>
            </w:tcBorders>
            <w:shd w:val="clear" w:color="auto" w:fill="auto"/>
            <w:vAlign w:val="center"/>
          </w:tcPr>
          <w:p w14:paraId="337A832E">
            <w:pPr>
              <w:jc w:val="center"/>
              <w:rPr>
                <w:rFonts w:hint="eastAsia" w:ascii="宋体" w:hAnsi="宋体" w:eastAsia="宋体" w:cs="宋体"/>
                <w:i w:val="0"/>
                <w:iCs w:val="0"/>
                <w:color w:val="000000"/>
                <w:sz w:val="20"/>
                <w:szCs w:val="20"/>
                <w:u w:val="none"/>
              </w:rPr>
            </w:pPr>
          </w:p>
        </w:tc>
        <w:tc>
          <w:tcPr>
            <w:tcW w:w="1183" w:type="dxa"/>
            <w:gridSpan w:val="2"/>
            <w:tcBorders>
              <w:top w:val="nil"/>
              <w:left w:val="single" w:color="000000" w:sz="4" w:space="0"/>
              <w:bottom w:val="single" w:color="000000" w:sz="4" w:space="0"/>
              <w:right w:val="nil"/>
            </w:tcBorders>
            <w:shd w:val="clear" w:color="auto" w:fill="auto"/>
            <w:vAlign w:val="center"/>
          </w:tcPr>
          <w:p w14:paraId="451883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困难人员就医各项惠民政策</w:t>
            </w:r>
          </w:p>
        </w:tc>
        <w:tc>
          <w:tcPr>
            <w:tcW w:w="711" w:type="dxa"/>
            <w:tcBorders>
              <w:top w:val="nil"/>
              <w:left w:val="single" w:color="000000" w:sz="4" w:space="0"/>
              <w:bottom w:val="single" w:color="000000" w:sz="4" w:space="0"/>
              <w:right w:val="nil"/>
            </w:tcBorders>
            <w:shd w:val="clear" w:color="auto" w:fill="auto"/>
            <w:vAlign w:val="center"/>
          </w:tcPr>
          <w:p w14:paraId="7EFC897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全部落实</w:t>
            </w:r>
          </w:p>
        </w:tc>
        <w:tc>
          <w:tcPr>
            <w:tcW w:w="1038" w:type="dxa"/>
            <w:tcBorders>
              <w:top w:val="nil"/>
              <w:left w:val="single" w:color="000000" w:sz="4" w:space="0"/>
              <w:bottom w:val="single" w:color="000000" w:sz="4" w:space="0"/>
              <w:right w:val="nil"/>
            </w:tcBorders>
            <w:shd w:val="clear" w:color="auto" w:fill="auto"/>
            <w:vAlign w:val="center"/>
          </w:tcPr>
          <w:p w14:paraId="75186BB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全部落实，并获得“严重精神障碍管理治疗工作”先进单位荣誉</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A7DA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C5DCA">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A3C2">
            <w:pPr>
              <w:jc w:val="center"/>
              <w:rPr>
                <w:rFonts w:hint="eastAsia" w:ascii="宋体" w:hAnsi="宋体" w:eastAsia="宋体" w:cs="宋体"/>
                <w:i w:val="0"/>
                <w:iCs w:val="0"/>
                <w:color w:val="000000"/>
                <w:sz w:val="22"/>
                <w:szCs w:val="22"/>
                <w:u w:val="none"/>
              </w:rPr>
            </w:pPr>
          </w:p>
        </w:tc>
      </w:tr>
      <w:tr w14:paraId="07AEE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0FC3F">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0ADA0973">
            <w:pPr>
              <w:rPr>
                <w:rFonts w:hint="default" w:ascii="仿宋_GB2312" w:hAnsi="宋体" w:eastAsia="仿宋_GB2312" w:cs="仿宋_GB2312"/>
                <w:i w:val="0"/>
                <w:iCs w:val="0"/>
                <w:color w:val="000000"/>
                <w:sz w:val="20"/>
                <w:szCs w:val="20"/>
                <w:u w:val="none"/>
              </w:rPr>
            </w:pPr>
          </w:p>
        </w:tc>
        <w:tc>
          <w:tcPr>
            <w:tcW w:w="771" w:type="dxa"/>
            <w:tcBorders>
              <w:top w:val="single" w:color="000000" w:sz="4" w:space="0"/>
              <w:left w:val="single" w:color="000000" w:sz="4" w:space="0"/>
              <w:bottom w:val="single" w:color="000000" w:sz="4" w:space="0"/>
              <w:right w:val="nil"/>
            </w:tcBorders>
            <w:shd w:val="clear" w:color="auto" w:fill="auto"/>
            <w:vAlign w:val="center"/>
          </w:tcPr>
          <w:p w14:paraId="716ADE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生态效益指标</w:t>
            </w:r>
          </w:p>
        </w:tc>
        <w:tc>
          <w:tcPr>
            <w:tcW w:w="1183" w:type="dxa"/>
            <w:gridSpan w:val="2"/>
            <w:tcBorders>
              <w:top w:val="nil"/>
              <w:left w:val="single" w:color="000000" w:sz="4" w:space="0"/>
              <w:bottom w:val="single" w:color="000000" w:sz="4" w:space="0"/>
              <w:right w:val="nil"/>
            </w:tcBorders>
            <w:shd w:val="clear" w:color="auto" w:fill="auto"/>
            <w:vAlign w:val="center"/>
          </w:tcPr>
          <w:p w14:paraId="6A790AD5">
            <w:pPr>
              <w:jc w:val="center"/>
              <w:rPr>
                <w:rFonts w:hint="eastAsia" w:ascii="仿宋" w:hAnsi="仿宋" w:eastAsia="仿宋" w:cs="仿宋"/>
                <w:i w:val="0"/>
                <w:iCs w:val="0"/>
                <w:color w:val="000000"/>
                <w:sz w:val="20"/>
                <w:szCs w:val="20"/>
                <w:u w:val="none"/>
              </w:rPr>
            </w:pPr>
          </w:p>
        </w:tc>
        <w:tc>
          <w:tcPr>
            <w:tcW w:w="711" w:type="dxa"/>
            <w:tcBorders>
              <w:top w:val="nil"/>
              <w:left w:val="single" w:color="000000" w:sz="4" w:space="0"/>
              <w:bottom w:val="single" w:color="000000" w:sz="4" w:space="0"/>
              <w:right w:val="nil"/>
            </w:tcBorders>
            <w:shd w:val="clear" w:color="auto" w:fill="auto"/>
            <w:vAlign w:val="center"/>
          </w:tcPr>
          <w:p w14:paraId="50D89162">
            <w:pPr>
              <w:jc w:val="center"/>
              <w:rPr>
                <w:rFonts w:hint="default" w:ascii="仿宋_GB2312" w:hAnsi="宋体" w:eastAsia="仿宋_GB2312" w:cs="仿宋_GB2312"/>
                <w:i w:val="0"/>
                <w:iCs w:val="0"/>
                <w:color w:val="000000"/>
                <w:sz w:val="20"/>
                <w:szCs w:val="20"/>
                <w:u w:val="none"/>
              </w:rPr>
            </w:pPr>
          </w:p>
        </w:tc>
        <w:tc>
          <w:tcPr>
            <w:tcW w:w="1038" w:type="dxa"/>
            <w:tcBorders>
              <w:top w:val="nil"/>
              <w:left w:val="single" w:color="000000" w:sz="4" w:space="0"/>
              <w:bottom w:val="single" w:color="000000" w:sz="4" w:space="0"/>
              <w:right w:val="nil"/>
            </w:tcBorders>
            <w:shd w:val="clear" w:color="auto" w:fill="auto"/>
            <w:vAlign w:val="center"/>
          </w:tcPr>
          <w:p w14:paraId="004F0E11">
            <w:pPr>
              <w:jc w:val="center"/>
              <w:rPr>
                <w:rFonts w:hint="default" w:ascii="仿宋_GB2312" w:hAnsi="宋体" w:eastAsia="仿宋_GB2312" w:cs="仿宋_GB2312"/>
                <w:i w:val="0"/>
                <w:iCs w:val="0"/>
                <w:color w:val="000000"/>
                <w:sz w:val="20"/>
                <w:szCs w:val="20"/>
                <w:u w:val="none"/>
              </w:rPr>
            </w:pP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FBC47">
            <w:pPr>
              <w:jc w:val="center"/>
              <w:rPr>
                <w:rFonts w:hint="default" w:ascii="仿宋_GB2312" w:hAnsi="宋体" w:eastAsia="仿宋_GB2312" w:cs="仿宋_GB2312"/>
                <w:i w:val="0"/>
                <w:iCs w:val="0"/>
                <w:color w:val="000000"/>
                <w:sz w:val="20"/>
                <w:szCs w:val="20"/>
                <w:u w:val="none"/>
              </w:rPr>
            </w:pP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71D9A">
            <w:pPr>
              <w:jc w:val="center"/>
              <w:rPr>
                <w:rFonts w:hint="default" w:ascii="仿宋_GB2312" w:hAnsi="宋体" w:eastAsia="仿宋_GB2312" w:cs="仿宋_GB2312"/>
                <w:i w:val="0"/>
                <w:iCs w:val="0"/>
                <w:color w:val="000000"/>
                <w:sz w:val="20"/>
                <w:szCs w:val="20"/>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B819">
            <w:pPr>
              <w:jc w:val="center"/>
              <w:rPr>
                <w:rFonts w:hint="eastAsia" w:ascii="宋体" w:hAnsi="宋体" w:eastAsia="宋体" w:cs="宋体"/>
                <w:i w:val="0"/>
                <w:iCs w:val="0"/>
                <w:color w:val="000000"/>
                <w:sz w:val="22"/>
                <w:szCs w:val="22"/>
                <w:u w:val="none"/>
              </w:rPr>
            </w:pPr>
          </w:p>
        </w:tc>
      </w:tr>
      <w:tr w14:paraId="45FDB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EC050">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65C4F95">
            <w:pPr>
              <w:rPr>
                <w:rFonts w:hint="default" w:ascii="仿宋_GB2312" w:hAnsi="宋体" w:eastAsia="仿宋_GB2312" w:cs="仿宋_GB2312"/>
                <w:i w:val="0"/>
                <w:iCs w:val="0"/>
                <w:color w:val="000000"/>
                <w:sz w:val="20"/>
                <w:szCs w:val="20"/>
                <w:u w:val="none"/>
              </w:rPr>
            </w:pPr>
          </w:p>
        </w:tc>
        <w:tc>
          <w:tcPr>
            <w:tcW w:w="771" w:type="dxa"/>
            <w:tcBorders>
              <w:top w:val="single" w:color="000000" w:sz="4" w:space="0"/>
              <w:left w:val="single" w:color="000000" w:sz="4" w:space="0"/>
              <w:bottom w:val="single" w:color="000000" w:sz="4" w:space="0"/>
              <w:right w:val="nil"/>
            </w:tcBorders>
            <w:shd w:val="clear" w:color="auto" w:fill="auto"/>
            <w:vAlign w:val="center"/>
          </w:tcPr>
          <w:p w14:paraId="42F93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可持续影响指标</w:t>
            </w:r>
          </w:p>
        </w:tc>
        <w:tc>
          <w:tcPr>
            <w:tcW w:w="1183" w:type="dxa"/>
            <w:gridSpan w:val="2"/>
            <w:tcBorders>
              <w:top w:val="nil"/>
              <w:left w:val="single" w:color="000000" w:sz="4" w:space="0"/>
              <w:bottom w:val="single" w:color="000000" w:sz="4" w:space="0"/>
              <w:right w:val="nil"/>
            </w:tcBorders>
            <w:shd w:val="clear" w:color="auto" w:fill="auto"/>
            <w:vAlign w:val="center"/>
          </w:tcPr>
          <w:p w14:paraId="0691A5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健康稳定发展、可持续性影响</w:t>
            </w:r>
          </w:p>
        </w:tc>
        <w:tc>
          <w:tcPr>
            <w:tcW w:w="711" w:type="dxa"/>
            <w:tcBorders>
              <w:top w:val="nil"/>
              <w:left w:val="single" w:color="000000" w:sz="4" w:space="0"/>
              <w:bottom w:val="single" w:color="000000" w:sz="4" w:space="0"/>
              <w:right w:val="nil"/>
            </w:tcBorders>
            <w:shd w:val="clear" w:color="auto" w:fill="auto"/>
            <w:vAlign w:val="center"/>
          </w:tcPr>
          <w:p w14:paraId="4430DEB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优</w:t>
            </w:r>
          </w:p>
        </w:tc>
        <w:tc>
          <w:tcPr>
            <w:tcW w:w="1038" w:type="dxa"/>
            <w:tcBorders>
              <w:top w:val="nil"/>
              <w:left w:val="single" w:color="000000" w:sz="4" w:space="0"/>
              <w:bottom w:val="single" w:color="000000" w:sz="4" w:space="0"/>
              <w:right w:val="nil"/>
            </w:tcBorders>
            <w:shd w:val="clear" w:color="auto" w:fill="auto"/>
            <w:vAlign w:val="center"/>
          </w:tcPr>
          <w:p w14:paraId="3478F67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优</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2147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4280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26E0">
            <w:pPr>
              <w:jc w:val="center"/>
              <w:rPr>
                <w:rFonts w:hint="eastAsia" w:ascii="宋体" w:hAnsi="宋体" w:eastAsia="宋体" w:cs="宋体"/>
                <w:i w:val="0"/>
                <w:iCs w:val="0"/>
                <w:color w:val="000000"/>
                <w:sz w:val="22"/>
                <w:szCs w:val="22"/>
                <w:u w:val="none"/>
              </w:rPr>
            </w:pPr>
          </w:p>
        </w:tc>
      </w:tr>
      <w:tr w14:paraId="3FCE9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ECF0F">
            <w:pPr>
              <w:rPr>
                <w:rFonts w:hint="default" w:ascii="仿宋_GB2312" w:hAnsi="宋体" w:eastAsia="仿宋_GB2312" w:cs="仿宋_GB2312"/>
                <w:i w:val="0"/>
                <w:iCs w:val="0"/>
                <w:color w:val="000000"/>
                <w:sz w:val="20"/>
                <w:szCs w:val="20"/>
                <w:u w:val="none"/>
              </w:rPr>
            </w:pPr>
          </w:p>
        </w:tc>
        <w:tc>
          <w:tcPr>
            <w:tcW w:w="522" w:type="dxa"/>
            <w:tcBorders>
              <w:top w:val="single" w:color="000000" w:sz="4" w:space="0"/>
              <w:left w:val="single" w:color="000000" w:sz="4" w:space="0"/>
              <w:bottom w:val="single" w:color="000000" w:sz="4" w:space="0"/>
              <w:right w:val="nil"/>
            </w:tcBorders>
            <w:shd w:val="clear" w:color="auto" w:fill="auto"/>
            <w:noWrap/>
            <w:vAlign w:val="center"/>
          </w:tcPr>
          <w:p w14:paraId="3D9D2950">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满意度指标</w:t>
            </w:r>
          </w:p>
        </w:tc>
        <w:tc>
          <w:tcPr>
            <w:tcW w:w="771" w:type="dxa"/>
            <w:tcBorders>
              <w:top w:val="single" w:color="000000" w:sz="4" w:space="0"/>
              <w:left w:val="single" w:color="000000" w:sz="4" w:space="0"/>
              <w:bottom w:val="single" w:color="000000" w:sz="4" w:space="0"/>
              <w:right w:val="nil"/>
            </w:tcBorders>
            <w:shd w:val="clear" w:color="auto" w:fill="auto"/>
            <w:vAlign w:val="center"/>
          </w:tcPr>
          <w:p w14:paraId="206232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服务对象满意度指标</w:t>
            </w:r>
          </w:p>
        </w:tc>
        <w:tc>
          <w:tcPr>
            <w:tcW w:w="1183" w:type="dxa"/>
            <w:gridSpan w:val="2"/>
            <w:tcBorders>
              <w:top w:val="nil"/>
              <w:left w:val="single" w:color="000000" w:sz="4" w:space="0"/>
              <w:bottom w:val="single" w:color="000000" w:sz="4" w:space="0"/>
              <w:right w:val="nil"/>
            </w:tcBorders>
            <w:shd w:val="clear" w:color="auto" w:fill="auto"/>
            <w:vAlign w:val="center"/>
          </w:tcPr>
          <w:p w14:paraId="5D5F5C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医患好评率</w:t>
            </w:r>
          </w:p>
        </w:tc>
        <w:tc>
          <w:tcPr>
            <w:tcW w:w="711" w:type="dxa"/>
            <w:tcBorders>
              <w:top w:val="nil"/>
              <w:left w:val="single" w:color="000000" w:sz="4" w:space="0"/>
              <w:bottom w:val="single" w:color="000000" w:sz="4" w:space="0"/>
              <w:right w:val="nil"/>
            </w:tcBorders>
            <w:shd w:val="clear" w:color="auto" w:fill="auto"/>
            <w:vAlign w:val="center"/>
          </w:tcPr>
          <w:p w14:paraId="6F1AF43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1038" w:type="dxa"/>
            <w:tcBorders>
              <w:top w:val="nil"/>
              <w:left w:val="single" w:color="000000" w:sz="4" w:space="0"/>
              <w:bottom w:val="single" w:color="000000" w:sz="4" w:space="0"/>
              <w:right w:val="nil"/>
            </w:tcBorders>
            <w:shd w:val="clear" w:color="auto" w:fill="auto"/>
            <w:vAlign w:val="center"/>
          </w:tcPr>
          <w:p w14:paraId="39769AC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CACD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2B64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B07EC">
            <w:pPr>
              <w:jc w:val="center"/>
              <w:rPr>
                <w:rFonts w:hint="eastAsia" w:ascii="宋体" w:hAnsi="宋体" w:eastAsia="宋体" w:cs="宋体"/>
                <w:i w:val="0"/>
                <w:iCs w:val="0"/>
                <w:color w:val="000000"/>
                <w:sz w:val="22"/>
                <w:szCs w:val="22"/>
                <w:u w:val="none"/>
              </w:rPr>
            </w:pPr>
          </w:p>
        </w:tc>
      </w:tr>
      <w:tr w14:paraId="10A52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036F9">
            <w:pPr>
              <w:rPr>
                <w:rFonts w:hint="default" w:ascii="仿宋_GB2312" w:hAnsi="宋体" w:eastAsia="仿宋_GB2312" w:cs="仿宋_GB2312"/>
                <w:i w:val="0"/>
                <w:iCs w:val="0"/>
                <w:color w:val="000000"/>
                <w:sz w:val="20"/>
                <w:szCs w:val="20"/>
                <w:u w:val="none"/>
              </w:rPr>
            </w:pPr>
          </w:p>
        </w:tc>
        <w:tc>
          <w:tcPr>
            <w:tcW w:w="522" w:type="dxa"/>
            <w:vMerge w:val="restart"/>
            <w:tcBorders>
              <w:top w:val="single" w:color="000000" w:sz="4" w:space="0"/>
              <w:left w:val="single" w:color="000000" w:sz="4" w:space="0"/>
              <w:bottom w:val="single" w:color="000000" w:sz="4" w:space="0"/>
              <w:right w:val="nil"/>
            </w:tcBorders>
            <w:shd w:val="clear" w:color="auto" w:fill="auto"/>
            <w:noWrap/>
            <w:vAlign w:val="center"/>
          </w:tcPr>
          <w:p w14:paraId="5718E0D1">
            <w:pPr>
              <w:keepNext w:val="0"/>
              <w:keepLines w:val="0"/>
              <w:widowControl/>
              <w:suppressLineNumbers w:val="0"/>
              <w:jc w:val="left"/>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snapToGrid w:val="0"/>
                <w:color w:val="000000"/>
                <w:kern w:val="0"/>
                <w:sz w:val="20"/>
                <w:szCs w:val="20"/>
                <w:u w:val="none"/>
                <w:lang w:val="en-US" w:eastAsia="zh-CN" w:bidi="ar"/>
              </w:rPr>
              <w:t>成本指标</w:t>
            </w:r>
          </w:p>
        </w:tc>
        <w:tc>
          <w:tcPr>
            <w:tcW w:w="771" w:type="dxa"/>
            <w:tcBorders>
              <w:top w:val="single" w:color="000000" w:sz="4" w:space="0"/>
              <w:left w:val="single" w:color="000000" w:sz="4" w:space="0"/>
              <w:bottom w:val="single" w:color="000000" w:sz="4" w:space="0"/>
              <w:right w:val="nil"/>
            </w:tcBorders>
            <w:shd w:val="clear" w:color="auto" w:fill="auto"/>
            <w:vAlign w:val="center"/>
          </w:tcPr>
          <w:p w14:paraId="27E7CA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经济成本指标</w:t>
            </w:r>
          </w:p>
        </w:tc>
        <w:tc>
          <w:tcPr>
            <w:tcW w:w="1183" w:type="dxa"/>
            <w:gridSpan w:val="2"/>
            <w:tcBorders>
              <w:top w:val="nil"/>
              <w:left w:val="single" w:color="000000" w:sz="4" w:space="0"/>
              <w:bottom w:val="single" w:color="000000" w:sz="4" w:space="0"/>
              <w:right w:val="nil"/>
            </w:tcBorders>
            <w:shd w:val="clear" w:color="auto" w:fill="auto"/>
            <w:vAlign w:val="center"/>
          </w:tcPr>
          <w:p w14:paraId="6BB1196C">
            <w:pPr>
              <w:jc w:val="center"/>
              <w:rPr>
                <w:rFonts w:hint="eastAsia" w:ascii="仿宋" w:hAnsi="仿宋" w:eastAsia="仿宋" w:cs="仿宋"/>
                <w:i w:val="0"/>
                <w:iCs w:val="0"/>
                <w:color w:val="000000"/>
                <w:sz w:val="20"/>
                <w:szCs w:val="20"/>
                <w:u w:val="none"/>
              </w:rPr>
            </w:pPr>
          </w:p>
        </w:tc>
        <w:tc>
          <w:tcPr>
            <w:tcW w:w="711" w:type="dxa"/>
            <w:tcBorders>
              <w:top w:val="nil"/>
              <w:left w:val="single" w:color="000000" w:sz="4" w:space="0"/>
              <w:bottom w:val="single" w:color="000000" w:sz="4" w:space="0"/>
              <w:right w:val="nil"/>
            </w:tcBorders>
            <w:shd w:val="clear" w:color="auto" w:fill="auto"/>
            <w:vAlign w:val="center"/>
          </w:tcPr>
          <w:p w14:paraId="18CDF62F">
            <w:pPr>
              <w:jc w:val="center"/>
              <w:rPr>
                <w:rFonts w:hint="default" w:ascii="仿宋_GB2312" w:hAnsi="宋体" w:eastAsia="仿宋_GB2312" w:cs="仿宋_GB2312"/>
                <w:i w:val="0"/>
                <w:iCs w:val="0"/>
                <w:color w:val="000000"/>
                <w:sz w:val="20"/>
                <w:szCs w:val="20"/>
                <w:u w:val="none"/>
              </w:rPr>
            </w:pPr>
          </w:p>
        </w:tc>
        <w:tc>
          <w:tcPr>
            <w:tcW w:w="1038" w:type="dxa"/>
            <w:tcBorders>
              <w:top w:val="nil"/>
              <w:left w:val="single" w:color="000000" w:sz="4" w:space="0"/>
              <w:bottom w:val="single" w:color="000000" w:sz="4" w:space="0"/>
              <w:right w:val="nil"/>
            </w:tcBorders>
            <w:shd w:val="clear" w:color="auto" w:fill="auto"/>
            <w:vAlign w:val="center"/>
          </w:tcPr>
          <w:p w14:paraId="5173C67D">
            <w:pPr>
              <w:jc w:val="center"/>
              <w:rPr>
                <w:rFonts w:hint="default" w:ascii="仿宋_GB2312" w:hAnsi="宋体" w:eastAsia="仿宋_GB2312" w:cs="仿宋_GB2312"/>
                <w:i w:val="0"/>
                <w:iCs w:val="0"/>
                <w:color w:val="000000"/>
                <w:sz w:val="20"/>
                <w:szCs w:val="20"/>
                <w:u w:val="none"/>
              </w:rPr>
            </w:pP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5D065">
            <w:pPr>
              <w:jc w:val="center"/>
              <w:rPr>
                <w:rFonts w:hint="default" w:ascii="仿宋_GB2312" w:hAnsi="宋体" w:eastAsia="仿宋_GB2312" w:cs="仿宋_GB2312"/>
                <w:i w:val="0"/>
                <w:iCs w:val="0"/>
                <w:color w:val="000000"/>
                <w:sz w:val="20"/>
                <w:szCs w:val="20"/>
                <w:u w:val="none"/>
              </w:rPr>
            </w:pP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E99DEB">
            <w:pPr>
              <w:jc w:val="center"/>
              <w:rPr>
                <w:rFonts w:hint="default" w:ascii="仿宋_GB2312" w:hAnsi="宋体" w:eastAsia="仿宋_GB2312" w:cs="仿宋_GB2312"/>
                <w:i w:val="0"/>
                <w:iCs w:val="0"/>
                <w:color w:val="000000"/>
                <w:sz w:val="20"/>
                <w:szCs w:val="20"/>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169D9">
            <w:pPr>
              <w:jc w:val="center"/>
              <w:rPr>
                <w:rFonts w:hint="eastAsia" w:ascii="宋体" w:hAnsi="宋体" w:eastAsia="宋体" w:cs="宋体"/>
                <w:i w:val="0"/>
                <w:iCs w:val="0"/>
                <w:color w:val="000000"/>
                <w:sz w:val="22"/>
                <w:szCs w:val="22"/>
                <w:u w:val="none"/>
              </w:rPr>
            </w:pPr>
          </w:p>
        </w:tc>
      </w:tr>
      <w:tr w14:paraId="7A17C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58B375">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07EB04E9">
            <w:pPr>
              <w:rPr>
                <w:rFonts w:hint="default" w:ascii="仿宋_GB2312" w:hAnsi="宋体" w:eastAsia="仿宋_GB2312" w:cs="仿宋_GB2312"/>
                <w:i w:val="0"/>
                <w:iCs w:val="0"/>
                <w:color w:val="000000"/>
                <w:sz w:val="20"/>
                <w:szCs w:val="20"/>
                <w:u w:val="none"/>
              </w:rPr>
            </w:pPr>
          </w:p>
        </w:tc>
        <w:tc>
          <w:tcPr>
            <w:tcW w:w="771" w:type="dxa"/>
            <w:tcBorders>
              <w:top w:val="single" w:color="000000" w:sz="4" w:space="0"/>
              <w:left w:val="single" w:color="000000" w:sz="4" w:space="0"/>
              <w:bottom w:val="single" w:color="000000" w:sz="4" w:space="0"/>
              <w:right w:val="nil"/>
            </w:tcBorders>
            <w:shd w:val="clear" w:color="auto" w:fill="auto"/>
            <w:vAlign w:val="center"/>
          </w:tcPr>
          <w:p w14:paraId="401867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社会成本指标</w:t>
            </w:r>
          </w:p>
        </w:tc>
        <w:tc>
          <w:tcPr>
            <w:tcW w:w="1183" w:type="dxa"/>
            <w:gridSpan w:val="2"/>
            <w:tcBorders>
              <w:top w:val="nil"/>
              <w:left w:val="single" w:color="000000" w:sz="4" w:space="0"/>
              <w:bottom w:val="single" w:color="000000" w:sz="4" w:space="0"/>
              <w:right w:val="nil"/>
            </w:tcBorders>
            <w:shd w:val="clear" w:color="auto" w:fill="auto"/>
            <w:vAlign w:val="center"/>
          </w:tcPr>
          <w:p w14:paraId="4CB744B5">
            <w:pPr>
              <w:jc w:val="center"/>
              <w:rPr>
                <w:rFonts w:hint="eastAsia" w:ascii="仿宋" w:hAnsi="仿宋" w:eastAsia="仿宋" w:cs="仿宋"/>
                <w:i w:val="0"/>
                <w:iCs w:val="0"/>
                <w:color w:val="000000"/>
                <w:sz w:val="20"/>
                <w:szCs w:val="20"/>
                <w:u w:val="none"/>
              </w:rPr>
            </w:pPr>
          </w:p>
        </w:tc>
        <w:tc>
          <w:tcPr>
            <w:tcW w:w="711" w:type="dxa"/>
            <w:tcBorders>
              <w:top w:val="nil"/>
              <w:left w:val="single" w:color="000000" w:sz="4" w:space="0"/>
              <w:bottom w:val="single" w:color="000000" w:sz="4" w:space="0"/>
              <w:right w:val="nil"/>
            </w:tcBorders>
            <w:shd w:val="clear" w:color="auto" w:fill="auto"/>
            <w:vAlign w:val="center"/>
          </w:tcPr>
          <w:p w14:paraId="5F8DCC3E">
            <w:pPr>
              <w:jc w:val="center"/>
              <w:rPr>
                <w:rFonts w:hint="default" w:ascii="仿宋_GB2312" w:hAnsi="宋体" w:eastAsia="仿宋_GB2312" w:cs="仿宋_GB2312"/>
                <w:i w:val="0"/>
                <w:iCs w:val="0"/>
                <w:color w:val="000000"/>
                <w:sz w:val="20"/>
                <w:szCs w:val="20"/>
                <w:u w:val="none"/>
              </w:rPr>
            </w:pPr>
          </w:p>
        </w:tc>
        <w:tc>
          <w:tcPr>
            <w:tcW w:w="1038" w:type="dxa"/>
            <w:tcBorders>
              <w:top w:val="nil"/>
              <w:left w:val="single" w:color="000000" w:sz="4" w:space="0"/>
              <w:bottom w:val="single" w:color="000000" w:sz="4" w:space="0"/>
              <w:right w:val="nil"/>
            </w:tcBorders>
            <w:shd w:val="clear" w:color="auto" w:fill="auto"/>
            <w:vAlign w:val="center"/>
          </w:tcPr>
          <w:p w14:paraId="012E8A7D">
            <w:pPr>
              <w:jc w:val="center"/>
              <w:rPr>
                <w:rFonts w:hint="default" w:ascii="仿宋_GB2312" w:hAnsi="宋体" w:eastAsia="仿宋_GB2312" w:cs="仿宋_GB2312"/>
                <w:i w:val="0"/>
                <w:iCs w:val="0"/>
                <w:color w:val="000000"/>
                <w:sz w:val="20"/>
                <w:szCs w:val="20"/>
                <w:u w:val="none"/>
              </w:rPr>
            </w:pP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E676A">
            <w:pPr>
              <w:jc w:val="center"/>
              <w:rPr>
                <w:rFonts w:hint="default" w:ascii="仿宋_GB2312" w:hAnsi="宋体" w:eastAsia="仿宋_GB2312" w:cs="仿宋_GB2312"/>
                <w:i w:val="0"/>
                <w:iCs w:val="0"/>
                <w:color w:val="000000"/>
                <w:sz w:val="20"/>
                <w:szCs w:val="20"/>
                <w:u w:val="none"/>
              </w:rPr>
            </w:pP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B86EB">
            <w:pPr>
              <w:jc w:val="center"/>
              <w:rPr>
                <w:rFonts w:hint="default" w:ascii="仿宋_GB2312" w:hAnsi="宋体" w:eastAsia="仿宋_GB2312" w:cs="仿宋_GB2312"/>
                <w:i w:val="0"/>
                <w:iCs w:val="0"/>
                <w:color w:val="000000"/>
                <w:sz w:val="20"/>
                <w:szCs w:val="20"/>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3E40D">
            <w:pPr>
              <w:jc w:val="center"/>
              <w:rPr>
                <w:rFonts w:hint="eastAsia" w:ascii="宋体" w:hAnsi="宋体" w:eastAsia="宋体" w:cs="宋体"/>
                <w:i w:val="0"/>
                <w:iCs w:val="0"/>
                <w:color w:val="000000"/>
                <w:sz w:val="22"/>
                <w:szCs w:val="22"/>
                <w:u w:val="none"/>
              </w:rPr>
            </w:pPr>
          </w:p>
        </w:tc>
      </w:tr>
      <w:tr w14:paraId="1A3EA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7CD4A">
            <w:pPr>
              <w:rPr>
                <w:rFonts w:hint="default" w:ascii="仿宋_GB2312" w:hAnsi="宋体" w:eastAsia="仿宋_GB2312" w:cs="仿宋_GB2312"/>
                <w:i w:val="0"/>
                <w:iCs w:val="0"/>
                <w:color w:val="000000"/>
                <w:sz w:val="20"/>
                <w:szCs w:val="20"/>
                <w:u w:val="none"/>
              </w:rPr>
            </w:pPr>
          </w:p>
        </w:tc>
        <w:tc>
          <w:tcPr>
            <w:tcW w:w="522"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DB7DFCA">
            <w:pPr>
              <w:rPr>
                <w:rFonts w:hint="default" w:ascii="仿宋_GB2312" w:hAnsi="宋体" w:eastAsia="仿宋_GB2312" w:cs="仿宋_GB2312"/>
                <w:i w:val="0"/>
                <w:iCs w:val="0"/>
                <w:color w:val="000000"/>
                <w:sz w:val="20"/>
                <w:szCs w:val="20"/>
                <w:u w:val="none"/>
              </w:rPr>
            </w:pPr>
          </w:p>
        </w:tc>
        <w:tc>
          <w:tcPr>
            <w:tcW w:w="771" w:type="dxa"/>
            <w:tcBorders>
              <w:top w:val="single" w:color="000000" w:sz="4" w:space="0"/>
              <w:left w:val="single" w:color="000000" w:sz="4" w:space="0"/>
              <w:bottom w:val="single" w:color="000000" w:sz="4" w:space="0"/>
              <w:right w:val="nil"/>
            </w:tcBorders>
            <w:shd w:val="clear" w:color="auto" w:fill="auto"/>
            <w:vAlign w:val="center"/>
          </w:tcPr>
          <w:p w14:paraId="583320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生态环境成本指标</w:t>
            </w:r>
          </w:p>
        </w:tc>
        <w:tc>
          <w:tcPr>
            <w:tcW w:w="1183" w:type="dxa"/>
            <w:gridSpan w:val="2"/>
            <w:tcBorders>
              <w:top w:val="nil"/>
              <w:left w:val="single" w:color="000000" w:sz="4" w:space="0"/>
              <w:bottom w:val="single" w:color="000000" w:sz="4" w:space="0"/>
              <w:right w:val="nil"/>
            </w:tcBorders>
            <w:shd w:val="clear" w:color="auto" w:fill="auto"/>
            <w:vAlign w:val="center"/>
          </w:tcPr>
          <w:p w14:paraId="2E4795D1">
            <w:pPr>
              <w:jc w:val="center"/>
              <w:rPr>
                <w:rFonts w:hint="eastAsia" w:ascii="仿宋" w:hAnsi="仿宋" w:eastAsia="仿宋" w:cs="仿宋"/>
                <w:i w:val="0"/>
                <w:iCs w:val="0"/>
                <w:color w:val="000000"/>
                <w:sz w:val="20"/>
                <w:szCs w:val="20"/>
                <w:u w:val="none"/>
              </w:rPr>
            </w:pPr>
          </w:p>
        </w:tc>
        <w:tc>
          <w:tcPr>
            <w:tcW w:w="711" w:type="dxa"/>
            <w:tcBorders>
              <w:top w:val="nil"/>
              <w:left w:val="single" w:color="000000" w:sz="4" w:space="0"/>
              <w:bottom w:val="single" w:color="000000" w:sz="4" w:space="0"/>
              <w:right w:val="nil"/>
            </w:tcBorders>
            <w:shd w:val="clear" w:color="auto" w:fill="auto"/>
            <w:vAlign w:val="center"/>
          </w:tcPr>
          <w:p w14:paraId="064771CD">
            <w:pPr>
              <w:jc w:val="center"/>
              <w:rPr>
                <w:rFonts w:hint="default" w:ascii="仿宋_GB2312" w:hAnsi="宋体" w:eastAsia="仿宋_GB2312" w:cs="仿宋_GB2312"/>
                <w:i w:val="0"/>
                <w:iCs w:val="0"/>
                <w:color w:val="000000"/>
                <w:sz w:val="20"/>
                <w:szCs w:val="20"/>
                <w:u w:val="none"/>
              </w:rPr>
            </w:pPr>
          </w:p>
        </w:tc>
        <w:tc>
          <w:tcPr>
            <w:tcW w:w="1038" w:type="dxa"/>
            <w:tcBorders>
              <w:top w:val="nil"/>
              <w:left w:val="single" w:color="000000" w:sz="4" w:space="0"/>
              <w:bottom w:val="single" w:color="000000" w:sz="4" w:space="0"/>
              <w:right w:val="nil"/>
            </w:tcBorders>
            <w:shd w:val="clear" w:color="auto" w:fill="auto"/>
            <w:vAlign w:val="center"/>
          </w:tcPr>
          <w:p w14:paraId="5F7B29CD">
            <w:pPr>
              <w:jc w:val="center"/>
              <w:rPr>
                <w:rFonts w:hint="default" w:ascii="仿宋_GB2312" w:hAnsi="宋体" w:eastAsia="仿宋_GB2312" w:cs="仿宋_GB2312"/>
                <w:i w:val="0"/>
                <w:iCs w:val="0"/>
                <w:color w:val="000000"/>
                <w:sz w:val="20"/>
                <w:szCs w:val="20"/>
                <w:u w:val="none"/>
              </w:rPr>
            </w:pP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76CE8">
            <w:pPr>
              <w:jc w:val="center"/>
              <w:rPr>
                <w:rFonts w:hint="default" w:ascii="仿宋_GB2312" w:hAnsi="宋体" w:eastAsia="仿宋_GB2312" w:cs="仿宋_GB2312"/>
                <w:i w:val="0"/>
                <w:iCs w:val="0"/>
                <w:color w:val="000000"/>
                <w:sz w:val="20"/>
                <w:szCs w:val="20"/>
                <w:u w:val="none"/>
              </w:rPr>
            </w:pPr>
          </w:p>
        </w:tc>
        <w:tc>
          <w:tcPr>
            <w:tcW w:w="1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737A2F">
            <w:pPr>
              <w:jc w:val="center"/>
              <w:rPr>
                <w:rFonts w:hint="default" w:ascii="仿宋_GB2312" w:hAnsi="宋体" w:eastAsia="仿宋_GB2312" w:cs="仿宋_GB2312"/>
                <w:i w:val="0"/>
                <w:iCs w:val="0"/>
                <w:color w:val="000000"/>
                <w:sz w:val="20"/>
                <w:szCs w:val="20"/>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801C">
            <w:pPr>
              <w:jc w:val="center"/>
              <w:rPr>
                <w:rFonts w:hint="eastAsia" w:ascii="宋体" w:hAnsi="宋体" w:eastAsia="宋体" w:cs="宋体"/>
                <w:i w:val="0"/>
                <w:iCs w:val="0"/>
                <w:color w:val="000000"/>
                <w:sz w:val="22"/>
                <w:szCs w:val="22"/>
                <w:u w:val="none"/>
              </w:rPr>
            </w:pPr>
          </w:p>
        </w:tc>
      </w:tr>
    </w:tbl>
    <w:p w14:paraId="5D625F12">
      <w:pPr>
        <w:pStyle w:val="10"/>
        <w:rPr>
          <w:rFonts w:ascii="黑体" w:hAnsi="黑体" w:eastAsia="黑体" w:cs="黑体"/>
          <w:spacing w:val="6"/>
          <w:sz w:val="31"/>
          <w:szCs w:val="31"/>
        </w:rPr>
      </w:pPr>
    </w:p>
    <w:p w14:paraId="0B0997FD">
      <w:pPr>
        <w:pStyle w:val="10"/>
        <w:rPr>
          <w:rFonts w:ascii="黑体" w:hAnsi="黑体" w:eastAsia="黑体" w:cs="黑体"/>
          <w:spacing w:val="6"/>
          <w:sz w:val="31"/>
          <w:szCs w:val="31"/>
        </w:rPr>
      </w:pPr>
    </w:p>
    <w:p w14:paraId="06E0BFED">
      <w:pPr>
        <w:pStyle w:val="10"/>
        <w:rPr>
          <w:rFonts w:ascii="黑体" w:hAnsi="黑体" w:eastAsia="黑体" w:cs="黑体"/>
          <w:spacing w:val="6"/>
          <w:sz w:val="31"/>
          <w:szCs w:val="31"/>
        </w:rPr>
      </w:pPr>
    </w:p>
    <w:p w14:paraId="17BBAA55">
      <w:pPr>
        <w:pStyle w:val="10"/>
        <w:rPr>
          <w:rFonts w:ascii="黑体" w:hAnsi="黑体" w:eastAsia="黑体" w:cs="黑体"/>
          <w:spacing w:val="6"/>
          <w:sz w:val="31"/>
          <w:szCs w:val="31"/>
        </w:rPr>
      </w:pPr>
    </w:p>
    <w:p w14:paraId="2F0D7904">
      <w:pPr>
        <w:pStyle w:val="10"/>
        <w:rPr>
          <w:rFonts w:ascii="黑体" w:hAnsi="黑体" w:eastAsia="黑体" w:cs="黑体"/>
          <w:spacing w:val="6"/>
          <w:sz w:val="31"/>
          <w:szCs w:val="31"/>
        </w:rPr>
      </w:pPr>
    </w:p>
    <w:p w14:paraId="77244FBA">
      <w:pPr>
        <w:pStyle w:val="10"/>
        <w:rPr>
          <w:rFonts w:ascii="黑体" w:hAnsi="黑体" w:eastAsia="黑体" w:cs="黑体"/>
          <w:spacing w:val="6"/>
          <w:sz w:val="31"/>
          <w:szCs w:val="31"/>
        </w:rPr>
      </w:pPr>
    </w:p>
    <w:p w14:paraId="5818CE06">
      <w:pPr>
        <w:pStyle w:val="10"/>
        <w:rPr>
          <w:rFonts w:ascii="黑体" w:hAnsi="黑体" w:eastAsia="黑体" w:cs="黑体"/>
          <w:spacing w:val="6"/>
          <w:sz w:val="31"/>
          <w:szCs w:val="31"/>
        </w:rPr>
      </w:pPr>
    </w:p>
    <w:p w14:paraId="096E54F1">
      <w:pPr>
        <w:pStyle w:val="10"/>
        <w:rPr>
          <w:rFonts w:ascii="黑体" w:hAnsi="黑体" w:eastAsia="黑体" w:cs="黑体"/>
          <w:spacing w:val="6"/>
          <w:sz w:val="31"/>
          <w:szCs w:val="31"/>
        </w:rPr>
      </w:pPr>
    </w:p>
    <w:p w14:paraId="5C5996B4">
      <w:pPr>
        <w:spacing w:before="26"/>
      </w:pPr>
      <w:bookmarkStart w:id="1" w:name="_GoBack"/>
      <w:bookmarkEnd w:id="1"/>
    </w:p>
    <w:sectPr>
      <w:headerReference r:id="rId6" w:type="default"/>
      <w:footerReference r:id="rId7" w:type="default"/>
      <w:pgSz w:w="11900" w:h="16820"/>
      <w:pgMar w:top="0" w:right="0" w:bottom="0" w:left="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AE548">
    <w:pPr>
      <w:spacing w:before="1" w:line="177" w:lineRule="auto"/>
      <w:jc w:val="right"/>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2A51FA">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12A51FA">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35C14">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EB3FA6">
                          <w:pPr>
                            <w:pStyle w:val="6"/>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75EB3FA6">
                    <w:pPr>
                      <w:pStyle w:val="6"/>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9FF57">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2F0AC"/>
    <w:multiLevelType w:val="singleLevel"/>
    <w:tmpl w:val="9FB2F0AC"/>
    <w:lvl w:ilvl="0" w:tentative="0">
      <w:start w:val="1"/>
      <w:numFmt w:val="chineseCounting"/>
      <w:suff w:val="nothing"/>
      <w:lvlText w:val="（%1）"/>
      <w:lvlJc w:val="left"/>
      <w:rPr>
        <w:rFonts w:hint="eastAsia"/>
      </w:rPr>
    </w:lvl>
  </w:abstractNum>
  <w:abstractNum w:abstractNumId="1">
    <w:nsid w:val="C9745F80"/>
    <w:multiLevelType w:val="singleLevel"/>
    <w:tmpl w:val="C9745F80"/>
    <w:lvl w:ilvl="0" w:tentative="0">
      <w:start w:val="1"/>
      <w:numFmt w:val="chineseCounting"/>
      <w:suff w:val="nothing"/>
      <w:lvlText w:val="（%1）"/>
      <w:lvlJc w:val="left"/>
      <w:rPr>
        <w:rFonts w:hint="eastAsia"/>
      </w:rPr>
    </w:lvl>
  </w:abstractNum>
  <w:abstractNum w:abstractNumId="2">
    <w:nsid w:val="FC4B66C1"/>
    <w:multiLevelType w:val="singleLevel"/>
    <w:tmpl w:val="FC4B66C1"/>
    <w:lvl w:ilvl="0" w:tentative="0">
      <w:start w:val="2"/>
      <w:numFmt w:val="chineseCounting"/>
      <w:lvlText w:val="(%1)"/>
      <w:lvlJc w:val="left"/>
      <w:pPr>
        <w:tabs>
          <w:tab w:val="left" w:pos="312"/>
        </w:tabs>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FhYTNlYjFlZDMyNWI2Mjc0ZWQ4ZTU5NDljOGI5M2IifQ=="/>
  </w:docVars>
  <w:rsids>
    <w:rsidRoot w:val="00000000"/>
    <w:rsid w:val="0022181C"/>
    <w:rsid w:val="004D6899"/>
    <w:rsid w:val="007756C4"/>
    <w:rsid w:val="00A12741"/>
    <w:rsid w:val="00EB60B2"/>
    <w:rsid w:val="00F431B9"/>
    <w:rsid w:val="01017684"/>
    <w:rsid w:val="01141165"/>
    <w:rsid w:val="01242CAF"/>
    <w:rsid w:val="012F2443"/>
    <w:rsid w:val="01B446F6"/>
    <w:rsid w:val="01CC5EE4"/>
    <w:rsid w:val="01FD7E4B"/>
    <w:rsid w:val="025A704C"/>
    <w:rsid w:val="026E6F9B"/>
    <w:rsid w:val="02A209F3"/>
    <w:rsid w:val="02DE7C7D"/>
    <w:rsid w:val="02EE3C38"/>
    <w:rsid w:val="02F079B0"/>
    <w:rsid w:val="02FE3E7B"/>
    <w:rsid w:val="0300236B"/>
    <w:rsid w:val="042F62B6"/>
    <w:rsid w:val="04506958"/>
    <w:rsid w:val="04A2256B"/>
    <w:rsid w:val="04D10807"/>
    <w:rsid w:val="04E6106A"/>
    <w:rsid w:val="056F2E0E"/>
    <w:rsid w:val="0596483F"/>
    <w:rsid w:val="05BD626F"/>
    <w:rsid w:val="060D2627"/>
    <w:rsid w:val="0636392C"/>
    <w:rsid w:val="078132CC"/>
    <w:rsid w:val="07C37441"/>
    <w:rsid w:val="08381BDD"/>
    <w:rsid w:val="08BA6A96"/>
    <w:rsid w:val="08D31906"/>
    <w:rsid w:val="0935611C"/>
    <w:rsid w:val="095C7B4D"/>
    <w:rsid w:val="099074D1"/>
    <w:rsid w:val="0A53598C"/>
    <w:rsid w:val="0A6429F3"/>
    <w:rsid w:val="0A9936F4"/>
    <w:rsid w:val="0AB539B9"/>
    <w:rsid w:val="0ADF4592"/>
    <w:rsid w:val="0B534F80"/>
    <w:rsid w:val="0B8B343D"/>
    <w:rsid w:val="0B9F1F73"/>
    <w:rsid w:val="0BCB720C"/>
    <w:rsid w:val="0C1C1816"/>
    <w:rsid w:val="0C4C6C70"/>
    <w:rsid w:val="0D1534DD"/>
    <w:rsid w:val="0D31309F"/>
    <w:rsid w:val="0DC9777B"/>
    <w:rsid w:val="0DD04666"/>
    <w:rsid w:val="0DE1181F"/>
    <w:rsid w:val="0E6A6868"/>
    <w:rsid w:val="0E981627"/>
    <w:rsid w:val="0EA63619"/>
    <w:rsid w:val="0EAC50D3"/>
    <w:rsid w:val="0EFD6B33"/>
    <w:rsid w:val="0F362BEE"/>
    <w:rsid w:val="0F7200CA"/>
    <w:rsid w:val="0FA97864"/>
    <w:rsid w:val="0FC65D20"/>
    <w:rsid w:val="10280789"/>
    <w:rsid w:val="11177B40"/>
    <w:rsid w:val="113C57F9"/>
    <w:rsid w:val="12096398"/>
    <w:rsid w:val="13A24CF6"/>
    <w:rsid w:val="13B3480E"/>
    <w:rsid w:val="13F76DF0"/>
    <w:rsid w:val="149E1EB3"/>
    <w:rsid w:val="14BF01FB"/>
    <w:rsid w:val="158100AB"/>
    <w:rsid w:val="15C72C7C"/>
    <w:rsid w:val="15EC2259"/>
    <w:rsid w:val="15FA6724"/>
    <w:rsid w:val="15FB249C"/>
    <w:rsid w:val="15FD6214"/>
    <w:rsid w:val="16BC7E7D"/>
    <w:rsid w:val="1723614E"/>
    <w:rsid w:val="177E3384"/>
    <w:rsid w:val="17A3178F"/>
    <w:rsid w:val="17A32DEB"/>
    <w:rsid w:val="17AF1790"/>
    <w:rsid w:val="17BB3D7B"/>
    <w:rsid w:val="18153CE9"/>
    <w:rsid w:val="18BC5F12"/>
    <w:rsid w:val="19232435"/>
    <w:rsid w:val="19C22AD0"/>
    <w:rsid w:val="19C239FC"/>
    <w:rsid w:val="19FA68FB"/>
    <w:rsid w:val="1A9D6217"/>
    <w:rsid w:val="1B261D69"/>
    <w:rsid w:val="1B26620D"/>
    <w:rsid w:val="1BAC6712"/>
    <w:rsid w:val="1BE16DAE"/>
    <w:rsid w:val="1BFB4FA4"/>
    <w:rsid w:val="1C6A33EE"/>
    <w:rsid w:val="1CD001DE"/>
    <w:rsid w:val="1D774AFE"/>
    <w:rsid w:val="1DEC54EC"/>
    <w:rsid w:val="1E110AAE"/>
    <w:rsid w:val="1EA044C3"/>
    <w:rsid w:val="1EA57449"/>
    <w:rsid w:val="1EDD6BE3"/>
    <w:rsid w:val="1EE64087"/>
    <w:rsid w:val="1FE81CE3"/>
    <w:rsid w:val="1FEA5A5B"/>
    <w:rsid w:val="2000527E"/>
    <w:rsid w:val="20221AB5"/>
    <w:rsid w:val="206F7D0E"/>
    <w:rsid w:val="20914128"/>
    <w:rsid w:val="20E95D13"/>
    <w:rsid w:val="20FF1092"/>
    <w:rsid w:val="215F7D83"/>
    <w:rsid w:val="21920158"/>
    <w:rsid w:val="21DE339D"/>
    <w:rsid w:val="21E81D77"/>
    <w:rsid w:val="22010E3A"/>
    <w:rsid w:val="22737F8A"/>
    <w:rsid w:val="228D0920"/>
    <w:rsid w:val="233A2855"/>
    <w:rsid w:val="23AD1279"/>
    <w:rsid w:val="24704055"/>
    <w:rsid w:val="24855D52"/>
    <w:rsid w:val="24CA5E5B"/>
    <w:rsid w:val="24CC572F"/>
    <w:rsid w:val="24D665AE"/>
    <w:rsid w:val="24E862E1"/>
    <w:rsid w:val="25787665"/>
    <w:rsid w:val="25853B30"/>
    <w:rsid w:val="26461511"/>
    <w:rsid w:val="26647BE9"/>
    <w:rsid w:val="26AA7CF2"/>
    <w:rsid w:val="270C62B7"/>
    <w:rsid w:val="273A72C8"/>
    <w:rsid w:val="27457A1B"/>
    <w:rsid w:val="27B626C7"/>
    <w:rsid w:val="27DF39CB"/>
    <w:rsid w:val="27EB411E"/>
    <w:rsid w:val="28795BCE"/>
    <w:rsid w:val="28CB4DAA"/>
    <w:rsid w:val="290D27BA"/>
    <w:rsid w:val="295C2DFA"/>
    <w:rsid w:val="297D1B58"/>
    <w:rsid w:val="2A282D36"/>
    <w:rsid w:val="2A2B4966"/>
    <w:rsid w:val="2B0A5203"/>
    <w:rsid w:val="2B7E34FB"/>
    <w:rsid w:val="2C1A1178"/>
    <w:rsid w:val="2D4F514F"/>
    <w:rsid w:val="2D5269EE"/>
    <w:rsid w:val="2E1B7727"/>
    <w:rsid w:val="2E2A1718"/>
    <w:rsid w:val="2E4455A1"/>
    <w:rsid w:val="2EB84F76"/>
    <w:rsid w:val="2F10090E"/>
    <w:rsid w:val="2FAF1ED5"/>
    <w:rsid w:val="2FFB511A"/>
    <w:rsid w:val="304765B2"/>
    <w:rsid w:val="307B1892"/>
    <w:rsid w:val="30801FAB"/>
    <w:rsid w:val="3082583C"/>
    <w:rsid w:val="310426F5"/>
    <w:rsid w:val="316311C9"/>
    <w:rsid w:val="3192385D"/>
    <w:rsid w:val="32794A1C"/>
    <w:rsid w:val="329D695D"/>
    <w:rsid w:val="336E3E55"/>
    <w:rsid w:val="33844142"/>
    <w:rsid w:val="33956BEA"/>
    <w:rsid w:val="33D20888"/>
    <w:rsid w:val="346402B2"/>
    <w:rsid w:val="34E52F6A"/>
    <w:rsid w:val="35266557"/>
    <w:rsid w:val="352E1AEE"/>
    <w:rsid w:val="35337105"/>
    <w:rsid w:val="356A1E08"/>
    <w:rsid w:val="35B42EC9"/>
    <w:rsid w:val="361B308B"/>
    <w:rsid w:val="36F6663C"/>
    <w:rsid w:val="37152F66"/>
    <w:rsid w:val="37A7012D"/>
    <w:rsid w:val="37BD53AB"/>
    <w:rsid w:val="37C56B6C"/>
    <w:rsid w:val="37D73D98"/>
    <w:rsid w:val="37DF3574"/>
    <w:rsid w:val="39616936"/>
    <w:rsid w:val="39DD3AE3"/>
    <w:rsid w:val="3A347BA7"/>
    <w:rsid w:val="3A856654"/>
    <w:rsid w:val="3ACA22B9"/>
    <w:rsid w:val="3AF235BE"/>
    <w:rsid w:val="3BC431AC"/>
    <w:rsid w:val="3BDD1D33"/>
    <w:rsid w:val="3C522566"/>
    <w:rsid w:val="3C597D99"/>
    <w:rsid w:val="3CF17FD1"/>
    <w:rsid w:val="3D2106A9"/>
    <w:rsid w:val="3D4C5207"/>
    <w:rsid w:val="3D6E33D0"/>
    <w:rsid w:val="3E1F0B6E"/>
    <w:rsid w:val="3E6842C3"/>
    <w:rsid w:val="3F3917BB"/>
    <w:rsid w:val="3F6C5C76"/>
    <w:rsid w:val="3FB3610C"/>
    <w:rsid w:val="3FC92B3F"/>
    <w:rsid w:val="3FE65B0A"/>
    <w:rsid w:val="40730CFD"/>
    <w:rsid w:val="40F736DC"/>
    <w:rsid w:val="413B181B"/>
    <w:rsid w:val="41466412"/>
    <w:rsid w:val="41841179"/>
    <w:rsid w:val="42022339"/>
    <w:rsid w:val="42162288"/>
    <w:rsid w:val="42857799"/>
    <w:rsid w:val="42D75573"/>
    <w:rsid w:val="42F5314F"/>
    <w:rsid w:val="434B7D0F"/>
    <w:rsid w:val="438C45B0"/>
    <w:rsid w:val="43BF2BD7"/>
    <w:rsid w:val="43C24475"/>
    <w:rsid w:val="43D321DE"/>
    <w:rsid w:val="43FD54AD"/>
    <w:rsid w:val="44366AA5"/>
    <w:rsid w:val="44BD4C3D"/>
    <w:rsid w:val="44F7014F"/>
    <w:rsid w:val="45433394"/>
    <w:rsid w:val="45CA192E"/>
    <w:rsid w:val="466F1F67"/>
    <w:rsid w:val="46737CA9"/>
    <w:rsid w:val="47D227AD"/>
    <w:rsid w:val="480800A6"/>
    <w:rsid w:val="48F646F7"/>
    <w:rsid w:val="494616A5"/>
    <w:rsid w:val="49A563CB"/>
    <w:rsid w:val="49D96075"/>
    <w:rsid w:val="4A535A6E"/>
    <w:rsid w:val="4A590F64"/>
    <w:rsid w:val="4A8E50B1"/>
    <w:rsid w:val="4ABE526B"/>
    <w:rsid w:val="4B66323D"/>
    <w:rsid w:val="4B9366F7"/>
    <w:rsid w:val="4B9A1834"/>
    <w:rsid w:val="4BA44460"/>
    <w:rsid w:val="4C0513A3"/>
    <w:rsid w:val="4C3158E1"/>
    <w:rsid w:val="4CE30FB8"/>
    <w:rsid w:val="4CFD02CC"/>
    <w:rsid w:val="4DB43081"/>
    <w:rsid w:val="4DFF0074"/>
    <w:rsid w:val="4E0631B0"/>
    <w:rsid w:val="4E353A96"/>
    <w:rsid w:val="4E786A31"/>
    <w:rsid w:val="4EAD5D22"/>
    <w:rsid w:val="4ECE0172"/>
    <w:rsid w:val="4F361873"/>
    <w:rsid w:val="4FA912B0"/>
    <w:rsid w:val="501A73E7"/>
    <w:rsid w:val="502245A8"/>
    <w:rsid w:val="509B22D6"/>
    <w:rsid w:val="50FE57E0"/>
    <w:rsid w:val="51515483"/>
    <w:rsid w:val="52251F91"/>
    <w:rsid w:val="52635075"/>
    <w:rsid w:val="53003007"/>
    <w:rsid w:val="531729D5"/>
    <w:rsid w:val="53894F6C"/>
    <w:rsid w:val="53B611D5"/>
    <w:rsid w:val="54422A68"/>
    <w:rsid w:val="547A0454"/>
    <w:rsid w:val="55191A1B"/>
    <w:rsid w:val="55AB5B98"/>
    <w:rsid w:val="55BF377F"/>
    <w:rsid w:val="55E77D6B"/>
    <w:rsid w:val="56007AFC"/>
    <w:rsid w:val="56220DA3"/>
    <w:rsid w:val="56925F29"/>
    <w:rsid w:val="56AF6ADB"/>
    <w:rsid w:val="56B37C4E"/>
    <w:rsid w:val="56C500AD"/>
    <w:rsid w:val="56F50266"/>
    <w:rsid w:val="573B036F"/>
    <w:rsid w:val="576D42A0"/>
    <w:rsid w:val="57DE0CFA"/>
    <w:rsid w:val="5842138B"/>
    <w:rsid w:val="58A12453"/>
    <w:rsid w:val="59A26483"/>
    <w:rsid w:val="59DD395F"/>
    <w:rsid w:val="5A1E1882"/>
    <w:rsid w:val="5A4511BC"/>
    <w:rsid w:val="5B1A029B"/>
    <w:rsid w:val="5B24111A"/>
    <w:rsid w:val="5B661732"/>
    <w:rsid w:val="5B7756EE"/>
    <w:rsid w:val="5C5B6DBD"/>
    <w:rsid w:val="5CAF2C65"/>
    <w:rsid w:val="5CBB0C7B"/>
    <w:rsid w:val="5CDA23D8"/>
    <w:rsid w:val="5CE46A2F"/>
    <w:rsid w:val="5D417D61"/>
    <w:rsid w:val="5D63417B"/>
    <w:rsid w:val="5EAE243F"/>
    <w:rsid w:val="5EF7101F"/>
    <w:rsid w:val="5F021772"/>
    <w:rsid w:val="5F092B01"/>
    <w:rsid w:val="5F9E149B"/>
    <w:rsid w:val="5FE570CA"/>
    <w:rsid w:val="5FF13CC0"/>
    <w:rsid w:val="602219D3"/>
    <w:rsid w:val="60771CEC"/>
    <w:rsid w:val="60B66CB8"/>
    <w:rsid w:val="60F12F0B"/>
    <w:rsid w:val="612E4AA0"/>
    <w:rsid w:val="61AF3E33"/>
    <w:rsid w:val="61BD1E76"/>
    <w:rsid w:val="61E52B68"/>
    <w:rsid w:val="61F061FA"/>
    <w:rsid w:val="620A1069"/>
    <w:rsid w:val="637E512E"/>
    <w:rsid w:val="64680E0B"/>
    <w:rsid w:val="64C25C2B"/>
    <w:rsid w:val="65A43583"/>
    <w:rsid w:val="65C82528"/>
    <w:rsid w:val="65E9543A"/>
    <w:rsid w:val="65F53DDF"/>
    <w:rsid w:val="66613222"/>
    <w:rsid w:val="66805D9E"/>
    <w:rsid w:val="668A09CB"/>
    <w:rsid w:val="66F52CC3"/>
    <w:rsid w:val="678C6E29"/>
    <w:rsid w:val="67E45EB8"/>
    <w:rsid w:val="682E5386"/>
    <w:rsid w:val="6837248C"/>
    <w:rsid w:val="68866F70"/>
    <w:rsid w:val="68CB0E27"/>
    <w:rsid w:val="690379FD"/>
    <w:rsid w:val="690F3409"/>
    <w:rsid w:val="69717C20"/>
    <w:rsid w:val="69C67F6C"/>
    <w:rsid w:val="6A005059"/>
    <w:rsid w:val="6A130CD7"/>
    <w:rsid w:val="6A495D4E"/>
    <w:rsid w:val="6AA32632"/>
    <w:rsid w:val="6B0D1266"/>
    <w:rsid w:val="6C9F2CF6"/>
    <w:rsid w:val="6D8048D6"/>
    <w:rsid w:val="6DD662A4"/>
    <w:rsid w:val="6DD95D94"/>
    <w:rsid w:val="6DEC5AC7"/>
    <w:rsid w:val="6E1119D2"/>
    <w:rsid w:val="6E34121C"/>
    <w:rsid w:val="6E416E46"/>
    <w:rsid w:val="6F173018"/>
    <w:rsid w:val="702A6D7B"/>
    <w:rsid w:val="70903082"/>
    <w:rsid w:val="70983CE4"/>
    <w:rsid w:val="70DA254F"/>
    <w:rsid w:val="70FF3D63"/>
    <w:rsid w:val="71777D9E"/>
    <w:rsid w:val="718D136F"/>
    <w:rsid w:val="71D62D16"/>
    <w:rsid w:val="724F4877"/>
    <w:rsid w:val="725105EF"/>
    <w:rsid w:val="727A7B45"/>
    <w:rsid w:val="72A916D5"/>
    <w:rsid w:val="72AA7CFF"/>
    <w:rsid w:val="72DF5BFA"/>
    <w:rsid w:val="72FC49FE"/>
    <w:rsid w:val="738D5656"/>
    <w:rsid w:val="73D634A1"/>
    <w:rsid w:val="74C13CF7"/>
    <w:rsid w:val="74F636CF"/>
    <w:rsid w:val="75145081"/>
    <w:rsid w:val="75173321"/>
    <w:rsid w:val="75671ED7"/>
    <w:rsid w:val="756E14B8"/>
    <w:rsid w:val="772B7660"/>
    <w:rsid w:val="772C162A"/>
    <w:rsid w:val="77754D7F"/>
    <w:rsid w:val="77ED2B68"/>
    <w:rsid w:val="782056FE"/>
    <w:rsid w:val="7849788F"/>
    <w:rsid w:val="78656BA2"/>
    <w:rsid w:val="787D038F"/>
    <w:rsid w:val="78964FAD"/>
    <w:rsid w:val="78C55892"/>
    <w:rsid w:val="79500D88"/>
    <w:rsid w:val="799A287B"/>
    <w:rsid w:val="79D42231"/>
    <w:rsid w:val="7A3228E8"/>
    <w:rsid w:val="7B302FF9"/>
    <w:rsid w:val="7B334FEE"/>
    <w:rsid w:val="7BE92A89"/>
    <w:rsid w:val="7C7D2F74"/>
    <w:rsid w:val="7CD51E1C"/>
    <w:rsid w:val="7D0B29E4"/>
    <w:rsid w:val="7D146DE8"/>
    <w:rsid w:val="7D3E3E65"/>
    <w:rsid w:val="7DAB14FB"/>
    <w:rsid w:val="7DBD122E"/>
    <w:rsid w:val="7DF74740"/>
    <w:rsid w:val="7E725B75"/>
    <w:rsid w:val="7E825C71"/>
    <w:rsid w:val="7EAB72D9"/>
    <w:rsid w:val="7F2D4191"/>
    <w:rsid w:val="7F625BE9"/>
    <w:rsid w:val="7FB328E9"/>
    <w:rsid w:val="7FB977D3"/>
    <w:rsid w:val="7FC561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semiHidden/>
    <w:qFormat/>
    <w:uiPriority w:val="99"/>
  </w:style>
  <w:style w:type="paragraph" w:styleId="3">
    <w:name w:val="table of authorities"/>
    <w:basedOn w:val="1"/>
    <w:next w:val="1"/>
    <w:qFormat/>
    <w:uiPriority w:val="0"/>
    <w:pPr>
      <w:ind w:left="420" w:leftChars="200"/>
    </w:pPr>
  </w:style>
  <w:style w:type="paragraph" w:styleId="4">
    <w:name w:val="Normal Indent"/>
    <w:basedOn w:val="1"/>
    <w:unhideWhenUsed/>
    <w:qFormat/>
    <w:uiPriority w:val="99"/>
    <w:pPr>
      <w:ind w:firstLine="420" w:firstLineChars="200"/>
    </w:pPr>
  </w:style>
  <w:style w:type="paragraph" w:styleId="5">
    <w:name w:val="Body Text"/>
    <w:basedOn w:val="1"/>
    <w:next w:val="1"/>
    <w:semiHidden/>
    <w:qFormat/>
    <w:uiPriority w:val="0"/>
    <w:rPr>
      <w:rFonts w:ascii="仿宋" w:hAnsi="仿宋" w:eastAsia="仿宋" w:cs="仿宋"/>
      <w:sz w:val="35"/>
      <w:szCs w:val="35"/>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5"/>
    <w:qFormat/>
    <w:uiPriority w:val="0"/>
    <w:pPr>
      <w:ind w:firstLine="664"/>
    </w:pPr>
    <w:rPr>
      <w:rFonts w:ascii="Times New Roman" w:hAnsi="Times New Roman" w:eastAsia="宋体" w:cs="Times New Roman"/>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31"/>
      <w:szCs w:val="31"/>
      <w:lang w:val="en-US" w:eastAsia="en-US" w:bidi="ar-SA"/>
    </w:rPr>
  </w:style>
  <w:style w:type="paragraph" w:customStyle="1" w:styleId="15">
    <w:name w:val="reader-word-layer reader-word-s3-8"/>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7076</Words>
  <Characters>7485</Characters>
  <TotalTime>8</TotalTime>
  <ScaleCrop>false</ScaleCrop>
  <LinksUpToDate>false</LinksUpToDate>
  <CharactersWithSpaces>7524</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2024-06-05T08:50:00Z</dcterms:created>
  <dc:creator>lenovo</dc:creator>
  <cp:lastModifiedBy>Administrator</cp:lastModifiedBy>
  <dcterms:modified xsi:type="dcterms:W3CDTF">2024-09-20T00:06:22Z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2024-06-05T08:50:31Z</vt:filetime>
  </property>
  <property fmtid="{D5CDD505-2E9C-101B-9397-08002B2CF9AE}" pid="4" name="UsrData">
    <vt:lpwstr>665fb65095513e001f60a3f0wl</vt:lpwstr>
  </property>
  <property fmtid="{D5CDD505-2E9C-101B-9397-08002B2CF9AE}" pid="5" name="KSOProductBuildVer">
    <vt:lpwstr>2052-12.1.0.18276</vt:lpwstr>
  </property>
  <property fmtid="{D5CDD505-2E9C-101B-9397-08002B2CF9AE}" pid="6" name="ICV">
    <vt:lpwstr>6A400621DF034BC3A2AB659E3EA99960_13</vt:lpwstr>
  </property>
</Properties>
</file>