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700" w:lineRule="exact"/>
        <w:ind w:left="3639" w:leftChars="247" w:hanging="3120" w:hangingChars="600"/>
        <w:jc w:val="both"/>
        <w:textAlignment w:val="auto"/>
        <w:rPr>
          <w:rFonts w:hint="eastAsia" w:ascii="华文楷体" w:hAnsi="华文楷体" w:eastAsia="华文楷体" w:cs="华文楷体"/>
          <w:bCs/>
          <w:kern w:val="0"/>
          <w:sz w:val="52"/>
          <w:szCs w:val="52"/>
        </w:rPr>
      </w:pPr>
      <w:r>
        <w:rPr>
          <w:rFonts w:hint="eastAsia" w:ascii="微软雅黑" w:hAnsi="微软雅黑" w:eastAsia="微软雅黑" w:cs="微软雅黑"/>
          <w:sz w:val="52"/>
          <w:szCs w:val="52"/>
          <w:lang w:val="en-US" w:eastAsia="zh-CN"/>
        </w:rPr>
        <w:t>2023年度田庄乡卫生院</w:t>
      </w:r>
      <w:r>
        <w:rPr>
          <w:rFonts w:hint="eastAsia" w:ascii="微软雅黑" w:hAnsi="微软雅黑" w:eastAsia="微软雅黑" w:cs="微软雅黑"/>
          <w:sz w:val="52"/>
          <w:szCs w:val="52"/>
        </w:rPr>
        <w:t>整体支出</w:t>
      </w:r>
    </w:p>
    <w:p>
      <w:pPr>
        <w:keepNext w:val="0"/>
        <w:keepLines w:val="0"/>
        <w:pageBreakBefore w:val="0"/>
        <w:widowControl/>
        <w:kinsoku/>
        <w:wordWrap/>
        <w:overflowPunct/>
        <w:topLinePunct w:val="0"/>
        <w:autoSpaceDE/>
        <w:autoSpaceDN/>
        <w:bidi w:val="0"/>
        <w:adjustRightInd/>
        <w:snapToGrid/>
        <w:spacing w:line="700" w:lineRule="exact"/>
        <w:jc w:val="center"/>
        <w:textAlignment w:val="auto"/>
        <w:rPr>
          <w:rFonts w:hint="eastAsia" w:ascii="微软雅黑" w:hAnsi="微软雅黑" w:eastAsia="微软雅黑" w:cs="微软雅黑"/>
          <w:sz w:val="52"/>
          <w:szCs w:val="52"/>
          <w:lang w:eastAsia="zh-CN"/>
        </w:rPr>
      </w:pPr>
      <w:r>
        <w:rPr>
          <w:rFonts w:hint="eastAsia" w:ascii="微软雅黑" w:hAnsi="微软雅黑" w:eastAsia="微软雅黑" w:cs="微软雅黑"/>
          <w:sz w:val="52"/>
          <w:szCs w:val="52"/>
          <w:lang w:eastAsia="zh-CN"/>
        </w:rPr>
        <w:t>绩效自评报告</w:t>
      </w:r>
    </w:p>
    <w:p>
      <w:pPr>
        <w:widowControl/>
        <w:ind w:firstLine="361" w:firstLineChars="100"/>
        <w:rPr>
          <w:rFonts w:ascii="楷体" w:hAnsi="楷体" w:eastAsia="楷体" w:cs="楷体"/>
          <w:b/>
          <w:bCs/>
          <w:kern w:val="0"/>
          <w:sz w:val="36"/>
          <w:szCs w:val="36"/>
        </w:rPr>
      </w:pPr>
    </w:p>
    <w:p/>
    <w:p>
      <w:pPr>
        <w:rPr>
          <w:rFonts w:ascii="楷体" w:hAnsi="楷体" w:eastAsia="楷体" w:cs="楷体"/>
          <w:b/>
          <w:bCs/>
          <w:kern w:val="0"/>
          <w:sz w:val="36"/>
          <w:szCs w:val="36"/>
        </w:rPr>
      </w:pPr>
    </w:p>
    <w:p>
      <w:pPr>
        <w:rPr>
          <w:rFonts w:hint="eastAsia" w:ascii="楷体" w:hAnsi="楷体" w:eastAsia="楷体" w:cs="楷体"/>
          <w:b/>
          <w:bCs/>
          <w:kern w:val="0"/>
          <w:sz w:val="36"/>
          <w:szCs w:val="36"/>
          <w:lang w:val="en-US" w:eastAsia="zh-CN"/>
        </w:rPr>
      </w:pPr>
      <w:r>
        <w:rPr>
          <w:rFonts w:hint="eastAsia" w:ascii="楷体" w:hAnsi="楷体" w:eastAsia="楷体" w:cs="楷体"/>
          <w:b/>
          <w:bCs/>
          <w:kern w:val="0"/>
          <w:sz w:val="36"/>
          <w:szCs w:val="36"/>
          <w:lang w:val="en-US" w:eastAsia="zh-CN"/>
        </w:rPr>
        <w:t xml:space="preserve"> </w:t>
      </w:r>
    </w:p>
    <w:p>
      <w:pPr>
        <w:rPr>
          <w:rFonts w:ascii="楷体" w:hAnsi="楷体" w:eastAsia="楷体" w:cs="楷体"/>
          <w:b/>
          <w:bCs/>
          <w:kern w:val="0"/>
          <w:sz w:val="36"/>
          <w:szCs w:val="36"/>
        </w:rPr>
      </w:pPr>
    </w:p>
    <w:p>
      <w:pPr>
        <w:rPr>
          <w:rFonts w:ascii="楷体" w:hAnsi="楷体" w:eastAsia="楷体" w:cs="楷体"/>
          <w:b/>
          <w:bCs/>
          <w:kern w:val="0"/>
          <w:sz w:val="36"/>
          <w:szCs w:val="36"/>
        </w:rPr>
      </w:pPr>
    </w:p>
    <w:p>
      <w:pPr>
        <w:pStyle w:val="7"/>
      </w:pPr>
    </w:p>
    <w:p>
      <w:pPr>
        <w:widowControl/>
        <w:ind w:firstLine="361" w:firstLineChars="100"/>
        <w:rPr>
          <w:rFonts w:hint="eastAsia" w:ascii="楷体" w:hAnsi="楷体" w:eastAsia="楷体" w:cs="楷体"/>
          <w:b/>
          <w:bCs/>
          <w:kern w:val="0"/>
          <w:sz w:val="36"/>
          <w:szCs w:val="36"/>
        </w:rPr>
      </w:pPr>
    </w:p>
    <w:p>
      <w:pPr>
        <w:widowControl/>
        <w:ind w:firstLine="360" w:firstLineChars="100"/>
        <w:rPr>
          <w:rFonts w:hint="eastAsia" w:ascii="黑体" w:hAnsi="黑体" w:eastAsia="黑体" w:cs="黑体"/>
          <w:b w:val="0"/>
          <w:bCs w:val="0"/>
          <w:kern w:val="0"/>
          <w:sz w:val="48"/>
          <w:szCs w:val="48"/>
          <w:u w:val="single"/>
        </w:rPr>
      </w:pPr>
      <w:r>
        <w:rPr>
          <w:rFonts w:hint="eastAsia" w:ascii="黑体" w:hAnsi="黑体" w:eastAsia="黑体" w:cs="黑体"/>
          <w:b w:val="0"/>
          <w:bCs w:val="0"/>
          <w:kern w:val="0"/>
          <w:sz w:val="36"/>
          <w:szCs w:val="36"/>
        </w:rPr>
        <w:t>申报单位（盖章）</w:t>
      </w:r>
      <w:r>
        <w:rPr>
          <w:rFonts w:hint="eastAsia" w:ascii="黑体" w:hAnsi="黑体" w:eastAsia="黑体" w:cs="黑体"/>
          <w:b w:val="0"/>
          <w:bCs w:val="0"/>
          <w:kern w:val="0"/>
          <w:sz w:val="48"/>
          <w:szCs w:val="48"/>
        </w:rPr>
        <w:t>：</w:t>
      </w:r>
      <w:r>
        <w:rPr>
          <w:rFonts w:hint="eastAsia" w:ascii="黑体" w:hAnsi="黑体" w:eastAsia="黑体" w:cs="黑体"/>
          <w:b w:val="0"/>
          <w:bCs w:val="0"/>
          <w:kern w:val="0"/>
          <w:sz w:val="48"/>
          <w:szCs w:val="48"/>
          <w:u w:val="single"/>
        </w:rPr>
        <w:t xml:space="preserve"> </w:t>
      </w:r>
      <w:r>
        <w:rPr>
          <w:rFonts w:hint="eastAsia" w:ascii="黑体" w:hAnsi="黑体" w:eastAsia="黑体" w:cs="黑体"/>
          <w:b w:val="0"/>
          <w:bCs w:val="0"/>
          <w:kern w:val="0"/>
          <w:sz w:val="48"/>
          <w:szCs w:val="48"/>
          <w:u w:val="single"/>
          <w:lang w:eastAsia="zh-CN"/>
        </w:rPr>
        <w:t>安化县田庄乡卫生院</w:t>
      </w:r>
      <w:r>
        <w:rPr>
          <w:rFonts w:hint="eastAsia" w:ascii="黑体" w:hAnsi="黑体" w:eastAsia="黑体" w:cs="黑体"/>
          <w:b w:val="0"/>
          <w:bCs w:val="0"/>
          <w:kern w:val="0"/>
          <w:sz w:val="48"/>
          <w:szCs w:val="48"/>
          <w:u w:val="single"/>
        </w:rPr>
        <w:t xml:space="preserve"> </w:t>
      </w:r>
    </w:p>
    <w:p>
      <w:pPr>
        <w:widowControl/>
        <w:rPr>
          <w:rFonts w:hint="eastAsia" w:ascii="黑体" w:hAnsi="黑体" w:eastAsia="黑体" w:cs="黑体"/>
          <w:b w:val="0"/>
          <w:bCs w:val="0"/>
          <w:kern w:val="0"/>
          <w:sz w:val="48"/>
          <w:szCs w:val="48"/>
          <w:u w:val="single"/>
        </w:rPr>
      </w:pPr>
    </w:p>
    <w:p>
      <w:pPr>
        <w:jc w:val="center"/>
        <w:rPr>
          <w:rFonts w:hint="eastAsia" w:ascii="黑体" w:hAnsi="黑体" w:eastAsia="黑体" w:cs="黑体"/>
          <w:b w:val="0"/>
          <w:bCs w:val="0"/>
          <w:kern w:val="0"/>
          <w:sz w:val="36"/>
          <w:szCs w:val="36"/>
        </w:rPr>
      </w:pPr>
      <w:r>
        <w:rPr>
          <w:rFonts w:hint="eastAsia" w:ascii="黑体" w:hAnsi="黑体" w:eastAsia="黑体" w:cs="黑体"/>
          <w:b w:val="0"/>
          <w:bCs w:val="0"/>
          <w:kern w:val="0"/>
          <w:sz w:val="36"/>
          <w:szCs w:val="36"/>
          <w:lang w:val="en-US" w:eastAsia="zh-CN"/>
        </w:rPr>
        <w:t>2024</w:t>
      </w:r>
      <w:r>
        <w:rPr>
          <w:rFonts w:hint="eastAsia" w:ascii="黑体" w:hAnsi="黑体" w:eastAsia="黑体" w:cs="黑体"/>
          <w:b w:val="0"/>
          <w:bCs w:val="0"/>
          <w:kern w:val="0"/>
          <w:sz w:val="36"/>
          <w:szCs w:val="36"/>
        </w:rPr>
        <w:t>年</w:t>
      </w:r>
      <w:r>
        <w:rPr>
          <w:rFonts w:hint="eastAsia" w:ascii="黑体" w:hAnsi="黑体" w:eastAsia="黑体" w:cs="黑体"/>
          <w:b w:val="0"/>
          <w:bCs w:val="0"/>
          <w:kern w:val="0"/>
          <w:sz w:val="36"/>
          <w:szCs w:val="36"/>
          <w:lang w:val="en-US" w:eastAsia="zh-CN"/>
        </w:rPr>
        <w:t>6</w:t>
      </w:r>
      <w:r>
        <w:rPr>
          <w:rFonts w:hint="eastAsia" w:ascii="黑体" w:hAnsi="黑体" w:eastAsia="黑体" w:cs="黑体"/>
          <w:b w:val="0"/>
          <w:bCs w:val="0"/>
          <w:kern w:val="0"/>
          <w:sz w:val="36"/>
          <w:szCs w:val="36"/>
        </w:rPr>
        <w:t xml:space="preserve"> 月</w:t>
      </w:r>
      <w:r>
        <w:rPr>
          <w:rFonts w:hint="eastAsia" w:ascii="黑体" w:hAnsi="黑体" w:eastAsia="黑体" w:cs="黑体"/>
          <w:b w:val="0"/>
          <w:bCs w:val="0"/>
          <w:kern w:val="0"/>
          <w:sz w:val="36"/>
          <w:szCs w:val="36"/>
          <w:lang w:val="en-US" w:eastAsia="zh-CN"/>
        </w:rPr>
        <w:t>12</w:t>
      </w:r>
      <w:r>
        <w:rPr>
          <w:rFonts w:hint="eastAsia" w:ascii="黑体" w:hAnsi="黑体" w:eastAsia="黑体" w:cs="黑体"/>
          <w:b w:val="0"/>
          <w:bCs w:val="0"/>
          <w:kern w:val="0"/>
          <w:sz w:val="36"/>
          <w:szCs w:val="36"/>
        </w:rPr>
        <w:t>日</w:t>
      </w:r>
    </w:p>
    <w:p>
      <w:pPr>
        <w:jc w:val="center"/>
        <w:rPr>
          <w:rFonts w:hint="eastAsia" w:ascii="黑体" w:hAnsi="黑体" w:eastAsia="黑体" w:cs="宋体"/>
          <w:kern w:val="0"/>
          <w:sz w:val="32"/>
          <w:szCs w:val="32"/>
          <w:lang w:eastAsia="zh-CN"/>
        </w:rPr>
      </w:pPr>
      <w:r>
        <w:rPr>
          <w:rFonts w:hint="eastAsia" w:ascii="黑体" w:hAnsi="黑体" w:eastAsia="黑体" w:cs="仿宋"/>
          <w:kern w:val="0"/>
          <w:sz w:val="32"/>
          <w:szCs w:val="32"/>
        </w:rPr>
        <w:br w:type="page"/>
      </w:r>
    </w:p>
    <w:p>
      <w:pPr>
        <w:keepNext w:val="0"/>
        <w:keepLines w:val="0"/>
        <w:pageBreakBefore w:val="0"/>
        <w:widowControl/>
        <w:kinsoku/>
        <w:wordWrap/>
        <w:overflowPunct/>
        <w:topLinePunct w:val="0"/>
        <w:autoSpaceDE/>
        <w:autoSpaceDN w:val="0"/>
        <w:bidi w:val="0"/>
        <w:adjustRightInd/>
        <w:snapToGrid/>
        <w:spacing w:line="576" w:lineRule="exact"/>
        <w:jc w:val="center"/>
        <w:textAlignment w:val="auto"/>
        <w:rPr>
          <w:rFonts w:hint="eastAsia" w:ascii="微软雅黑" w:hAnsi="仿宋" w:eastAsia="微软雅黑" w:cs="宋体"/>
          <w:b w:val="0"/>
          <w:bCs/>
          <w:kern w:val="0"/>
          <w:sz w:val="44"/>
          <w:szCs w:val="44"/>
        </w:rPr>
      </w:pPr>
      <w:r>
        <w:rPr>
          <w:rFonts w:hint="eastAsia" w:ascii="微软雅黑" w:hAnsi="仿宋" w:eastAsia="微软雅黑" w:cs="宋体"/>
          <w:b w:val="0"/>
          <w:bCs/>
          <w:kern w:val="0"/>
          <w:sz w:val="44"/>
          <w:szCs w:val="44"/>
          <w:lang w:val="en-US" w:eastAsia="zh-CN"/>
        </w:rPr>
        <w:t>2023</w:t>
      </w:r>
      <w:r>
        <w:rPr>
          <w:rFonts w:hint="eastAsia" w:ascii="微软雅黑" w:hAnsi="仿宋" w:eastAsia="微软雅黑" w:cs="宋体"/>
          <w:b w:val="0"/>
          <w:bCs/>
          <w:kern w:val="0"/>
          <w:sz w:val="44"/>
          <w:szCs w:val="44"/>
        </w:rPr>
        <w:t>年度</w:t>
      </w:r>
      <w:r>
        <w:rPr>
          <w:rFonts w:hint="eastAsia" w:ascii="微软雅黑" w:hAnsi="仿宋" w:eastAsia="微软雅黑" w:cs="宋体"/>
          <w:b w:val="0"/>
          <w:bCs/>
          <w:kern w:val="0"/>
          <w:sz w:val="44"/>
          <w:szCs w:val="44"/>
          <w:lang w:eastAsia="zh-CN"/>
        </w:rPr>
        <w:t>田庄乡</w:t>
      </w:r>
      <w:r>
        <w:rPr>
          <w:rFonts w:hint="eastAsia" w:ascii="微软雅黑" w:hAnsi="仿宋" w:eastAsia="微软雅黑" w:cs="宋体"/>
          <w:b w:val="0"/>
          <w:bCs/>
          <w:kern w:val="0"/>
          <w:sz w:val="44"/>
          <w:szCs w:val="44"/>
          <w:lang w:val="en-US" w:eastAsia="zh-CN"/>
        </w:rPr>
        <w:t>卫生院</w:t>
      </w:r>
      <w:r>
        <w:rPr>
          <w:rFonts w:hint="eastAsia" w:ascii="微软雅黑" w:hAnsi="仿宋" w:eastAsia="微软雅黑" w:cs="宋体"/>
          <w:b w:val="0"/>
          <w:bCs/>
          <w:kern w:val="0"/>
          <w:sz w:val="44"/>
          <w:szCs w:val="44"/>
        </w:rPr>
        <w:t>整体支出</w:t>
      </w:r>
    </w:p>
    <w:p>
      <w:pPr>
        <w:keepNext w:val="0"/>
        <w:keepLines w:val="0"/>
        <w:pageBreakBefore w:val="0"/>
        <w:widowControl/>
        <w:kinsoku/>
        <w:wordWrap/>
        <w:overflowPunct/>
        <w:topLinePunct w:val="0"/>
        <w:autoSpaceDE/>
        <w:autoSpaceDN w:val="0"/>
        <w:bidi w:val="0"/>
        <w:adjustRightInd/>
        <w:snapToGrid/>
        <w:spacing w:line="576" w:lineRule="exact"/>
        <w:jc w:val="center"/>
        <w:textAlignment w:val="auto"/>
        <w:rPr>
          <w:rFonts w:hint="eastAsia" w:ascii="微软雅黑" w:hAnsi="仿宋" w:eastAsia="微软雅黑" w:cs="宋体"/>
          <w:b w:val="0"/>
          <w:bCs/>
          <w:kern w:val="0"/>
          <w:sz w:val="44"/>
          <w:szCs w:val="44"/>
        </w:rPr>
      </w:pPr>
      <w:r>
        <w:rPr>
          <w:rFonts w:hint="eastAsia" w:ascii="微软雅黑" w:hAnsi="仿宋" w:eastAsia="微软雅黑" w:cs="宋体"/>
          <w:b w:val="0"/>
          <w:bCs/>
          <w:kern w:val="0"/>
          <w:sz w:val="44"/>
          <w:szCs w:val="44"/>
        </w:rPr>
        <w:t>绩效自评报告</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一、部门(单位)基本情况</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(一)2023年度重点工作</w:t>
      </w:r>
      <w:r>
        <w:rPr>
          <w:rFonts w:hint="eastAsia" w:ascii="楷体_GB2312" w:hAnsi="楷体_GB2312" w:eastAsia="楷体_GB2312" w:cs="楷体_GB2312"/>
          <w:color w:val="000000"/>
          <w:kern w:val="0"/>
          <w:sz w:val="32"/>
          <w:szCs w:val="32"/>
          <w:lang w:eastAsia="zh-CN"/>
        </w:rPr>
        <w:t>：</w:t>
      </w:r>
      <w:r>
        <w:rPr>
          <w:rFonts w:eastAsia="楷体_GB2312"/>
          <w:sz w:val="32"/>
        </w:rPr>
        <w:t>坚持“以基层为重点”的卫生与健康工作方针，坚持“抓重点、补短板、强弱项”，坚持基本医疗与基本公卫并重、管理与建设并重、工作进度结果与质量效益并重、职工满意群众满意与单位满意政府满意并重，不断开拓创新，真抓实干，努力开创基层卫生工作新局面。</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(二)部门整体支出规模、使用方向、主要内容和涉及范围。</w:t>
      </w:r>
    </w:p>
    <w:p>
      <w:pPr>
        <w:pStyle w:val="16"/>
        <w:ind w:firstLine="640" w:firstLineChars="200"/>
        <w:rPr>
          <w:rFonts w:hint="default" w:ascii="仿宋" w:hAnsi="仿宋" w:eastAsia="楷体_GB2312" w:cs="Arial"/>
          <w:kern w:val="2"/>
          <w:sz w:val="32"/>
          <w:szCs w:val="32"/>
          <w:lang w:val="en-US" w:eastAsia="zh-CN"/>
        </w:rPr>
      </w:pPr>
      <w:r>
        <w:rPr>
          <w:rFonts w:ascii="仿宋" w:hAnsi="仿宋" w:eastAsia="楷体_GB2312" w:cs="Arial"/>
          <w:kern w:val="2"/>
          <w:sz w:val="32"/>
          <w:szCs w:val="32"/>
        </w:rPr>
        <w:t>20</w:t>
      </w:r>
      <w:r>
        <w:rPr>
          <w:rFonts w:hint="eastAsia" w:ascii="仿宋" w:hAnsi="仿宋" w:eastAsia="楷体_GB2312" w:cs="Arial"/>
          <w:kern w:val="2"/>
          <w:sz w:val="32"/>
          <w:szCs w:val="32"/>
        </w:rPr>
        <w:t>2</w:t>
      </w:r>
      <w:r>
        <w:rPr>
          <w:rFonts w:hint="eastAsia" w:ascii="仿宋" w:hAnsi="仿宋" w:eastAsia="楷体_GB2312" w:cs="Arial"/>
          <w:kern w:val="2"/>
          <w:sz w:val="32"/>
          <w:szCs w:val="32"/>
          <w:lang w:val="en-US" w:eastAsia="zh-CN"/>
        </w:rPr>
        <w:t>3</w:t>
      </w:r>
      <w:r>
        <w:rPr>
          <w:rFonts w:ascii="仿宋" w:hAnsi="仿宋" w:eastAsia="楷体_GB2312" w:cs="Arial"/>
          <w:kern w:val="2"/>
          <w:sz w:val="32"/>
          <w:szCs w:val="32"/>
        </w:rPr>
        <w:t>年卫生院</w:t>
      </w:r>
      <w:r>
        <w:rPr>
          <w:rFonts w:hint="eastAsia" w:ascii="仿宋" w:hAnsi="仿宋" w:eastAsia="楷体_GB2312" w:cs="Arial"/>
          <w:kern w:val="2"/>
          <w:sz w:val="32"/>
          <w:szCs w:val="32"/>
        </w:rPr>
        <w:t>收入</w:t>
      </w:r>
      <w:r>
        <w:rPr>
          <w:rFonts w:ascii="仿宋" w:hAnsi="仿宋" w:eastAsia="楷体_GB2312" w:cs="Arial"/>
          <w:kern w:val="2"/>
          <w:sz w:val="32"/>
          <w:szCs w:val="32"/>
        </w:rPr>
        <w:t>为</w:t>
      </w:r>
      <w:r>
        <w:rPr>
          <w:rFonts w:hint="eastAsia" w:ascii="仿宋" w:hAnsi="仿宋" w:eastAsia="楷体_GB2312" w:cs="Arial"/>
          <w:kern w:val="2"/>
          <w:sz w:val="32"/>
          <w:szCs w:val="32"/>
          <w:lang w:val="en-US" w:eastAsia="zh-CN"/>
        </w:rPr>
        <w:t>845.37</w:t>
      </w:r>
      <w:r>
        <w:rPr>
          <w:rFonts w:ascii="仿宋" w:hAnsi="仿宋" w:eastAsia="楷体_GB2312" w:cs="Arial"/>
          <w:kern w:val="2"/>
          <w:sz w:val="32"/>
          <w:szCs w:val="32"/>
        </w:rPr>
        <w:t>万元，其中：项目支出资金</w:t>
      </w:r>
      <w:r>
        <w:rPr>
          <w:rFonts w:hint="eastAsia" w:ascii="仿宋" w:hAnsi="仿宋" w:eastAsia="楷体_GB2312" w:cs="Arial"/>
          <w:kern w:val="2"/>
          <w:sz w:val="32"/>
          <w:szCs w:val="32"/>
        </w:rPr>
        <w:t>0</w:t>
      </w:r>
      <w:r>
        <w:rPr>
          <w:rFonts w:ascii="仿宋" w:hAnsi="仿宋" w:eastAsia="楷体_GB2312" w:cs="Arial"/>
          <w:kern w:val="2"/>
          <w:sz w:val="32"/>
          <w:szCs w:val="32"/>
        </w:rPr>
        <w:t>万元，基本支出资金</w:t>
      </w:r>
      <w:r>
        <w:rPr>
          <w:rFonts w:hint="eastAsia" w:ascii="仿宋" w:hAnsi="仿宋" w:eastAsia="楷体_GB2312" w:cs="Arial"/>
          <w:kern w:val="2"/>
          <w:sz w:val="32"/>
          <w:szCs w:val="32"/>
          <w:lang w:val="en-US" w:eastAsia="zh-CN"/>
        </w:rPr>
        <w:t>845.37</w:t>
      </w:r>
      <w:r>
        <w:rPr>
          <w:rFonts w:ascii="仿宋" w:hAnsi="仿宋" w:eastAsia="楷体_GB2312" w:cs="Arial"/>
          <w:kern w:val="2"/>
          <w:sz w:val="32"/>
          <w:szCs w:val="32"/>
        </w:rPr>
        <w:t>万元。 其中：</w:t>
      </w:r>
      <w:r>
        <w:rPr>
          <w:rFonts w:hint="eastAsia" w:ascii="仿宋" w:hAnsi="仿宋" w:eastAsia="楷体_GB2312" w:cs="Arial"/>
          <w:kern w:val="2"/>
          <w:sz w:val="32"/>
          <w:szCs w:val="32"/>
        </w:rPr>
        <w:t>财政拨款收入</w:t>
      </w:r>
      <w:r>
        <w:rPr>
          <w:rFonts w:hint="eastAsia" w:ascii="仿宋" w:hAnsi="仿宋" w:eastAsia="楷体_GB2312" w:cs="Arial"/>
          <w:kern w:val="2"/>
          <w:sz w:val="32"/>
          <w:szCs w:val="32"/>
          <w:lang w:val="en-US" w:eastAsia="zh-CN"/>
        </w:rPr>
        <w:t>418.1</w:t>
      </w:r>
      <w:r>
        <w:rPr>
          <w:rFonts w:hint="eastAsia" w:ascii="仿宋" w:hAnsi="仿宋" w:eastAsia="楷体_GB2312" w:cs="Arial"/>
          <w:kern w:val="2"/>
          <w:sz w:val="32"/>
          <w:szCs w:val="32"/>
        </w:rPr>
        <w:t>万元，占</w:t>
      </w:r>
      <w:r>
        <w:rPr>
          <w:rFonts w:hint="eastAsia" w:ascii="仿宋" w:hAnsi="仿宋" w:eastAsia="楷体_GB2312" w:cs="Arial"/>
          <w:kern w:val="2"/>
          <w:sz w:val="32"/>
          <w:szCs w:val="32"/>
          <w:lang w:val="en-US" w:eastAsia="zh-CN"/>
        </w:rPr>
        <w:t>49.45</w:t>
      </w:r>
      <w:r>
        <w:rPr>
          <w:rFonts w:hint="eastAsia" w:ascii="仿宋" w:hAnsi="仿宋" w:eastAsia="楷体_GB2312" w:cs="Arial"/>
          <w:kern w:val="2"/>
          <w:sz w:val="32"/>
          <w:szCs w:val="32"/>
        </w:rPr>
        <w:t>%；事业收入</w:t>
      </w:r>
      <w:r>
        <w:rPr>
          <w:rFonts w:hint="eastAsia" w:ascii="仿宋" w:hAnsi="仿宋" w:eastAsia="楷体_GB2312" w:cs="Arial"/>
          <w:kern w:val="2"/>
          <w:sz w:val="32"/>
          <w:szCs w:val="32"/>
          <w:lang w:val="en-US" w:eastAsia="zh-CN"/>
        </w:rPr>
        <w:t>403.35</w:t>
      </w:r>
      <w:r>
        <w:rPr>
          <w:rFonts w:hint="eastAsia" w:ascii="仿宋" w:hAnsi="仿宋" w:eastAsia="楷体_GB2312" w:cs="Arial"/>
          <w:kern w:val="2"/>
          <w:sz w:val="32"/>
          <w:szCs w:val="32"/>
        </w:rPr>
        <w:t>万元，占</w:t>
      </w:r>
      <w:r>
        <w:rPr>
          <w:rFonts w:hint="eastAsia" w:ascii="仿宋" w:hAnsi="仿宋" w:eastAsia="楷体_GB2312" w:cs="Arial"/>
          <w:kern w:val="2"/>
          <w:sz w:val="32"/>
          <w:szCs w:val="32"/>
          <w:lang w:val="en-US" w:eastAsia="zh-CN"/>
        </w:rPr>
        <w:t>47.71</w:t>
      </w:r>
      <w:r>
        <w:rPr>
          <w:rFonts w:hint="eastAsia" w:ascii="仿宋" w:hAnsi="仿宋" w:eastAsia="楷体_GB2312" w:cs="Arial"/>
          <w:kern w:val="2"/>
          <w:sz w:val="32"/>
          <w:szCs w:val="32"/>
        </w:rPr>
        <w:t>%。</w:t>
      </w:r>
      <w:r>
        <w:rPr>
          <w:rFonts w:hint="eastAsia" w:ascii="仿宋" w:hAnsi="仿宋" w:eastAsia="楷体_GB2312" w:cs="Arial"/>
          <w:kern w:val="2"/>
          <w:sz w:val="32"/>
          <w:szCs w:val="32"/>
          <w:lang w:eastAsia="zh-CN"/>
        </w:rPr>
        <w:t>其他收入</w:t>
      </w:r>
      <w:r>
        <w:rPr>
          <w:rFonts w:hint="eastAsia" w:ascii="仿宋" w:hAnsi="仿宋" w:eastAsia="楷体_GB2312" w:cs="Arial"/>
          <w:kern w:val="2"/>
          <w:sz w:val="32"/>
          <w:szCs w:val="32"/>
          <w:lang w:val="en-US" w:eastAsia="zh-CN"/>
        </w:rPr>
        <w:t>23.92万元，占2.84%。</w:t>
      </w:r>
    </w:p>
    <w:p>
      <w:pPr>
        <w:widowControl/>
        <w:ind w:firstLine="482"/>
        <w:rPr>
          <w:rFonts w:hint="eastAsia" w:ascii="仿宋" w:hAnsi="仿宋" w:eastAsia="楷体_GB2312" w:cs="Arial"/>
          <w:color w:val="000000"/>
          <w:sz w:val="32"/>
          <w:szCs w:val="32"/>
        </w:rPr>
      </w:pPr>
      <w:r>
        <w:rPr>
          <w:rFonts w:hint="eastAsia" w:ascii="仿宋" w:hAnsi="仿宋" w:eastAsia="楷体_GB2312" w:cs="Arial"/>
          <w:color w:val="000000"/>
          <w:sz w:val="32"/>
          <w:szCs w:val="32"/>
        </w:rPr>
        <w:t>本年支出合计</w:t>
      </w:r>
      <w:r>
        <w:rPr>
          <w:rFonts w:hint="eastAsia" w:ascii="仿宋" w:hAnsi="仿宋" w:eastAsia="楷体_GB2312" w:cs="Arial"/>
          <w:color w:val="000000"/>
          <w:sz w:val="32"/>
          <w:szCs w:val="32"/>
          <w:lang w:val="en-US" w:eastAsia="zh-CN"/>
        </w:rPr>
        <w:t>845.37</w:t>
      </w:r>
      <w:r>
        <w:rPr>
          <w:rFonts w:hint="eastAsia" w:ascii="仿宋" w:hAnsi="仿宋" w:eastAsia="楷体_GB2312" w:cs="Arial"/>
          <w:color w:val="000000"/>
          <w:sz w:val="32"/>
          <w:szCs w:val="32"/>
        </w:rPr>
        <w:t>万元，其中：</w:t>
      </w:r>
      <w:r>
        <w:rPr>
          <w:rFonts w:ascii="仿宋" w:hAnsi="仿宋" w:eastAsia="楷体_GB2312" w:cs="Arial"/>
          <w:kern w:val="2"/>
          <w:sz w:val="32"/>
          <w:szCs w:val="32"/>
        </w:rPr>
        <w:t>项目支出资金</w:t>
      </w:r>
      <w:r>
        <w:rPr>
          <w:rFonts w:hint="eastAsia" w:ascii="仿宋" w:hAnsi="仿宋" w:eastAsia="楷体_GB2312" w:cs="Arial"/>
          <w:kern w:val="2"/>
          <w:sz w:val="32"/>
          <w:szCs w:val="32"/>
        </w:rPr>
        <w:t>0</w:t>
      </w:r>
      <w:r>
        <w:rPr>
          <w:rFonts w:ascii="仿宋" w:hAnsi="仿宋" w:eastAsia="楷体_GB2312" w:cs="Arial"/>
          <w:kern w:val="2"/>
          <w:sz w:val="32"/>
          <w:szCs w:val="32"/>
        </w:rPr>
        <w:t>万元</w:t>
      </w:r>
      <w:r>
        <w:rPr>
          <w:rFonts w:hint="eastAsia" w:ascii="仿宋" w:hAnsi="仿宋" w:eastAsia="楷体_GB2312" w:cs="Arial"/>
          <w:kern w:val="2"/>
          <w:sz w:val="32"/>
          <w:szCs w:val="32"/>
          <w:lang w:eastAsia="zh-CN"/>
        </w:rPr>
        <w:t>，</w:t>
      </w:r>
      <w:r>
        <w:rPr>
          <w:rFonts w:hint="eastAsia" w:ascii="仿宋" w:hAnsi="仿宋" w:eastAsia="楷体_GB2312" w:cs="Arial"/>
          <w:color w:val="000000"/>
          <w:sz w:val="32"/>
          <w:szCs w:val="32"/>
        </w:rPr>
        <w:t>基本支出</w:t>
      </w:r>
      <w:r>
        <w:rPr>
          <w:rFonts w:hint="eastAsia" w:ascii="仿宋" w:hAnsi="仿宋" w:eastAsia="楷体_GB2312" w:cs="Arial"/>
          <w:color w:val="000000"/>
          <w:sz w:val="32"/>
          <w:szCs w:val="32"/>
          <w:lang w:val="en-US" w:eastAsia="zh-CN"/>
        </w:rPr>
        <w:t>845.37</w:t>
      </w:r>
      <w:r>
        <w:rPr>
          <w:rFonts w:hint="eastAsia" w:ascii="仿宋" w:hAnsi="仿宋" w:eastAsia="楷体_GB2312" w:cs="Arial"/>
          <w:color w:val="000000"/>
          <w:sz w:val="32"/>
          <w:szCs w:val="32"/>
        </w:rPr>
        <w:t>万元，占100%。</w:t>
      </w:r>
    </w:p>
    <w:p>
      <w:pPr>
        <w:widowControl/>
        <w:ind w:firstLine="482"/>
        <w:rPr>
          <w:rFonts w:ascii="仿宋" w:hAnsi="仿宋" w:eastAsia="楷体_GB2312" w:cs="Arial"/>
          <w:color w:val="000000"/>
          <w:sz w:val="32"/>
          <w:szCs w:val="32"/>
        </w:rPr>
      </w:pPr>
      <w:r>
        <w:rPr>
          <w:rFonts w:ascii="仿宋" w:hAnsi="仿宋" w:eastAsia="楷体_GB2312" w:cs="Arial"/>
          <w:color w:val="000000"/>
          <w:sz w:val="32"/>
          <w:szCs w:val="32"/>
        </w:rPr>
        <w:t>按经济科目划分，各项支出金额分别为：工资福利支出</w:t>
      </w:r>
      <w:r>
        <w:rPr>
          <w:rFonts w:hint="eastAsia" w:ascii="仿宋" w:hAnsi="仿宋" w:eastAsia="楷体_GB2312" w:cs="Arial"/>
          <w:color w:val="000000"/>
          <w:sz w:val="32"/>
          <w:szCs w:val="32"/>
          <w:lang w:val="en-US" w:eastAsia="zh-CN"/>
        </w:rPr>
        <w:t>275</w:t>
      </w:r>
      <w:r>
        <w:rPr>
          <w:rFonts w:ascii="仿宋" w:hAnsi="仿宋" w:eastAsia="楷体_GB2312" w:cs="Arial"/>
          <w:color w:val="000000"/>
          <w:sz w:val="32"/>
          <w:szCs w:val="32"/>
        </w:rPr>
        <w:t>万元，占比</w:t>
      </w:r>
      <w:r>
        <w:rPr>
          <w:rFonts w:hint="eastAsia" w:ascii="仿宋" w:hAnsi="仿宋" w:eastAsia="楷体_GB2312" w:cs="Arial"/>
          <w:color w:val="000000"/>
          <w:sz w:val="32"/>
          <w:szCs w:val="32"/>
          <w:lang w:val="en-US" w:eastAsia="zh-CN"/>
        </w:rPr>
        <w:t>32.53</w:t>
      </w:r>
      <w:r>
        <w:rPr>
          <w:rFonts w:ascii="仿宋" w:hAnsi="仿宋" w:eastAsia="楷体_GB2312" w:cs="Arial"/>
          <w:color w:val="000000"/>
          <w:sz w:val="32"/>
          <w:szCs w:val="32"/>
        </w:rPr>
        <w:t>%；商品和服务支出</w:t>
      </w:r>
      <w:r>
        <w:rPr>
          <w:rFonts w:hint="eastAsia" w:ascii="仿宋" w:hAnsi="仿宋" w:eastAsia="楷体_GB2312" w:cs="Arial"/>
          <w:color w:val="000000"/>
          <w:sz w:val="32"/>
          <w:szCs w:val="32"/>
          <w:lang w:val="en-US" w:eastAsia="zh-CN"/>
        </w:rPr>
        <w:t>570.37</w:t>
      </w:r>
      <w:r>
        <w:rPr>
          <w:rFonts w:ascii="仿宋" w:hAnsi="仿宋" w:eastAsia="楷体_GB2312" w:cs="Arial"/>
          <w:color w:val="000000"/>
          <w:sz w:val="32"/>
          <w:szCs w:val="32"/>
        </w:rPr>
        <w:t>万元，占比</w:t>
      </w:r>
      <w:r>
        <w:rPr>
          <w:rFonts w:hint="eastAsia" w:ascii="仿宋" w:hAnsi="仿宋" w:eastAsia="楷体_GB2312" w:cs="Arial"/>
          <w:color w:val="000000"/>
          <w:sz w:val="32"/>
          <w:szCs w:val="32"/>
          <w:lang w:val="en-US" w:eastAsia="zh-CN"/>
        </w:rPr>
        <w:t>67.47</w:t>
      </w:r>
      <w:r>
        <w:rPr>
          <w:rFonts w:ascii="仿宋" w:hAnsi="仿宋" w:eastAsia="楷体_GB2312" w:cs="Arial"/>
          <w:color w:val="000000"/>
          <w:sz w:val="32"/>
          <w:szCs w:val="32"/>
        </w:rPr>
        <w:t>%；对个人和家庭的补助</w:t>
      </w:r>
      <w:r>
        <w:rPr>
          <w:rFonts w:hint="eastAsia" w:ascii="仿宋" w:hAnsi="仿宋" w:eastAsia="楷体_GB2312" w:cs="Arial"/>
          <w:color w:val="000000"/>
          <w:sz w:val="32"/>
          <w:szCs w:val="32"/>
          <w:lang w:val="en-US" w:eastAsia="zh-CN"/>
        </w:rPr>
        <w:t>0</w:t>
      </w:r>
      <w:r>
        <w:rPr>
          <w:rFonts w:ascii="仿宋" w:hAnsi="仿宋" w:eastAsia="楷体_GB2312" w:cs="Arial"/>
          <w:color w:val="000000"/>
          <w:sz w:val="32"/>
          <w:szCs w:val="32"/>
        </w:rPr>
        <w:t>万元，占比</w:t>
      </w:r>
      <w:r>
        <w:rPr>
          <w:rFonts w:hint="eastAsia" w:ascii="仿宋" w:hAnsi="仿宋" w:eastAsia="楷体_GB2312" w:cs="Arial"/>
          <w:color w:val="000000"/>
          <w:sz w:val="32"/>
          <w:szCs w:val="32"/>
          <w:lang w:val="en-US" w:eastAsia="zh-CN"/>
        </w:rPr>
        <w:t>0</w:t>
      </w:r>
      <w:r>
        <w:rPr>
          <w:rFonts w:ascii="仿宋" w:hAnsi="仿宋" w:eastAsia="楷体_GB2312" w:cs="Arial"/>
          <w:color w:val="000000"/>
          <w:sz w:val="32"/>
          <w:szCs w:val="32"/>
        </w:rPr>
        <w:t>%；</w:t>
      </w:r>
      <w:r>
        <w:rPr>
          <w:rFonts w:hint="eastAsia" w:ascii="仿宋" w:hAnsi="仿宋" w:eastAsia="楷体_GB2312" w:cs="Arial"/>
          <w:color w:val="000000"/>
          <w:sz w:val="32"/>
          <w:szCs w:val="32"/>
          <w:lang w:eastAsia="zh-CN"/>
        </w:rPr>
        <w:t>资本性支出</w:t>
      </w:r>
      <w:r>
        <w:rPr>
          <w:rFonts w:hint="eastAsia" w:ascii="仿宋" w:hAnsi="仿宋" w:eastAsia="楷体_GB2312" w:cs="Arial"/>
          <w:color w:val="000000"/>
          <w:sz w:val="32"/>
          <w:szCs w:val="32"/>
          <w:lang w:val="en-US" w:eastAsia="zh-CN"/>
        </w:rPr>
        <w:t>0万元，占比0%</w:t>
      </w:r>
      <w:r>
        <w:rPr>
          <w:rFonts w:hint="eastAsia" w:ascii="仿宋" w:hAnsi="仿宋" w:eastAsia="楷体_GB2312" w:cs="Arial"/>
          <w:color w:val="000000"/>
          <w:sz w:val="32"/>
          <w:szCs w:val="32"/>
        </w:rPr>
        <w:t>，</w:t>
      </w:r>
      <w:r>
        <w:rPr>
          <w:rFonts w:ascii="仿宋" w:hAnsi="仿宋" w:eastAsia="楷体_GB2312" w:cs="Arial"/>
          <w:color w:val="000000"/>
          <w:sz w:val="32"/>
          <w:szCs w:val="32"/>
        </w:rPr>
        <w:t>当年收支平衡。</w:t>
      </w:r>
    </w:p>
    <w:p>
      <w:pPr>
        <w:widowControl/>
        <w:ind w:firstLine="482"/>
        <w:rPr>
          <w:rFonts w:hint="eastAsia" w:ascii="仿宋" w:hAnsi="仿宋" w:eastAsia="楷体_GB2312" w:cs="Arial"/>
          <w:color w:val="000000"/>
          <w:sz w:val="32"/>
          <w:szCs w:val="32"/>
        </w:rPr>
      </w:pPr>
      <w:r>
        <w:rPr>
          <w:rFonts w:eastAsia="楷体_GB2312"/>
          <w:kern w:val="0"/>
          <w:sz w:val="32"/>
          <w:szCs w:val="32"/>
        </w:rPr>
        <w:t>绩效目标设立情况，主要包括部门中长期绩效目标和年度绩效目标。</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二、一般公共预算支出情况</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(一)基本支出情况</w:t>
      </w:r>
    </w:p>
    <w:p>
      <w:pPr>
        <w:widowControl/>
        <w:shd w:val="clear" w:color="auto" w:fill="FFFFFF"/>
        <w:ind w:firstLine="652"/>
        <w:jc w:val="left"/>
        <w:rPr>
          <w:rFonts w:hint="eastAsia" w:ascii="仿宋" w:hAnsi="仿宋" w:eastAsia="楷体_GB2312" w:cs="宋体"/>
          <w:color w:val="535353"/>
          <w:spacing w:val="7"/>
          <w:kern w:val="0"/>
          <w:sz w:val="32"/>
          <w:szCs w:val="32"/>
        </w:rPr>
      </w:pPr>
      <w:r>
        <w:rPr>
          <w:rFonts w:hint="eastAsia" w:ascii="仿宋" w:hAnsi="仿宋" w:eastAsia="楷体_GB2312" w:cs="宋体"/>
          <w:color w:val="535353"/>
          <w:spacing w:val="7"/>
          <w:kern w:val="0"/>
          <w:sz w:val="32"/>
          <w:szCs w:val="32"/>
        </w:rPr>
        <w:t>卫生院20</w:t>
      </w:r>
      <w:r>
        <w:rPr>
          <w:rFonts w:hint="eastAsia" w:ascii="仿宋" w:hAnsi="仿宋" w:eastAsia="楷体_GB2312" w:cs="宋体"/>
          <w:color w:val="535353"/>
          <w:spacing w:val="7"/>
          <w:kern w:val="0"/>
          <w:sz w:val="32"/>
          <w:szCs w:val="32"/>
          <w:lang w:val="en-US" w:eastAsia="zh-CN"/>
        </w:rPr>
        <w:t>23</w:t>
      </w:r>
      <w:r>
        <w:rPr>
          <w:rFonts w:hint="eastAsia" w:ascii="仿宋" w:hAnsi="仿宋" w:eastAsia="楷体_GB2312" w:cs="宋体"/>
          <w:color w:val="535353"/>
          <w:spacing w:val="7"/>
          <w:kern w:val="0"/>
          <w:sz w:val="32"/>
          <w:szCs w:val="32"/>
        </w:rPr>
        <w:t>年一般公共预算基本支</w:t>
      </w:r>
      <w:r>
        <w:rPr>
          <w:rFonts w:hint="eastAsia" w:ascii="仿宋" w:hAnsi="仿宋" w:eastAsia="楷体_GB2312" w:cs="宋体"/>
          <w:color w:val="535353"/>
          <w:spacing w:val="7"/>
          <w:kern w:val="0"/>
          <w:sz w:val="32"/>
          <w:szCs w:val="32"/>
          <w:lang w:val="en-US" w:eastAsia="zh-CN"/>
        </w:rPr>
        <w:t>845.37</w:t>
      </w:r>
      <w:r>
        <w:rPr>
          <w:rFonts w:hint="eastAsia" w:ascii="仿宋" w:hAnsi="仿宋" w:eastAsia="楷体_GB2312" w:cs="宋体"/>
          <w:color w:val="535353"/>
          <w:spacing w:val="7"/>
          <w:kern w:val="0"/>
          <w:sz w:val="32"/>
          <w:szCs w:val="32"/>
        </w:rPr>
        <w:t>万元。</w:t>
      </w:r>
    </w:p>
    <w:p>
      <w:pPr>
        <w:widowControl/>
        <w:shd w:val="clear" w:color="auto" w:fill="FFFFFF"/>
        <w:ind w:firstLine="652"/>
        <w:jc w:val="left"/>
        <w:rPr>
          <w:rFonts w:ascii="仿宋" w:hAnsi="仿宋" w:eastAsia="楷体_GB2312" w:cs="宋体"/>
          <w:color w:val="535353"/>
          <w:spacing w:val="7"/>
          <w:kern w:val="0"/>
          <w:sz w:val="32"/>
          <w:szCs w:val="32"/>
        </w:rPr>
      </w:pPr>
      <w:r>
        <w:rPr>
          <w:rFonts w:hint="eastAsia" w:ascii="仿宋" w:hAnsi="仿宋" w:eastAsia="楷体_GB2312" w:cs="宋体"/>
          <w:color w:val="535353"/>
          <w:spacing w:val="7"/>
          <w:kern w:val="0"/>
          <w:sz w:val="32"/>
          <w:szCs w:val="32"/>
        </w:rPr>
        <w:t>其中：</w:t>
      </w:r>
    </w:p>
    <w:p>
      <w:pPr>
        <w:widowControl/>
        <w:shd w:val="clear" w:color="auto" w:fill="FFFFFF"/>
        <w:ind w:firstLine="652"/>
        <w:jc w:val="left"/>
        <w:rPr>
          <w:rFonts w:hint="eastAsia" w:ascii="仿宋" w:hAnsi="仿宋" w:eastAsia="楷体_GB2312" w:cs="宋体"/>
          <w:color w:val="535353"/>
          <w:spacing w:val="7"/>
          <w:kern w:val="0"/>
          <w:sz w:val="32"/>
          <w:szCs w:val="32"/>
        </w:rPr>
      </w:pPr>
      <w:r>
        <w:rPr>
          <w:rFonts w:hint="eastAsia" w:ascii="仿宋" w:hAnsi="仿宋" w:eastAsia="楷体_GB2312" w:cs="宋体"/>
          <w:color w:val="535353"/>
          <w:spacing w:val="7"/>
          <w:kern w:val="0"/>
          <w:sz w:val="32"/>
          <w:szCs w:val="32"/>
        </w:rPr>
        <w:t>人员经费</w:t>
      </w:r>
      <w:r>
        <w:rPr>
          <w:rFonts w:hint="eastAsia" w:ascii="仿宋" w:hAnsi="仿宋" w:eastAsia="楷体_GB2312" w:cs="宋体"/>
          <w:color w:val="535353"/>
          <w:spacing w:val="7"/>
          <w:kern w:val="0"/>
          <w:sz w:val="32"/>
          <w:szCs w:val="32"/>
          <w:lang w:val="en-US" w:eastAsia="zh-CN"/>
        </w:rPr>
        <w:t>275</w:t>
      </w:r>
      <w:r>
        <w:rPr>
          <w:rFonts w:hint="eastAsia" w:ascii="仿宋" w:hAnsi="仿宋" w:eastAsia="楷体_GB2312" w:cs="宋体"/>
          <w:color w:val="535353"/>
          <w:spacing w:val="7"/>
          <w:kern w:val="0"/>
          <w:sz w:val="32"/>
          <w:szCs w:val="32"/>
        </w:rPr>
        <w:t>万元，主要包括：基本工资、津贴补贴、奖金、离休费、退休费、生活补助、医疗费、奖励金、住房公积金、提租补贴、购房补贴等；</w:t>
      </w:r>
    </w:p>
    <w:p>
      <w:pPr>
        <w:widowControl/>
        <w:shd w:val="clear" w:color="auto" w:fill="FFFFFF"/>
        <w:ind w:firstLine="652"/>
        <w:jc w:val="left"/>
        <w:rPr>
          <w:rFonts w:hint="eastAsia" w:ascii="仿宋" w:hAnsi="仿宋" w:eastAsia="楷体_GB2312" w:cs="宋体"/>
          <w:color w:val="535353"/>
          <w:spacing w:val="7"/>
          <w:kern w:val="0"/>
          <w:sz w:val="32"/>
          <w:szCs w:val="32"/>
          <w:lang w:eastAsia="zh-CN"/>
        </w:rPr>
      </w:pPr>
      <w:r>
        <w:rPr>
          <w:rFonts w:hint="eastAsia" w:ascii="仿宋" w:hAnsi="仿宋" w:eastAsia="楷体_GB2312" w:cs="宋体"/>
          <w:color w:val="535353"/>
          <w:spacing w:val="7"/>
          <w:kern w:val="0"/>
          <w:sz w:val="32"/>
          <w:szCs w:val="32"/>
        </w:rPr>
        <w:t>日常公用经费</w:t>
      </w:r>
      <w:r>
        <w:rPr>
          <w:rFonts w:hint="eastAsia" w:ascii="仿宋" w:hAnsi="仿宋" w:eastAsia="楷体_GB2312" w:cs="宋体"/>
          <w:color w:val="535353"/>
          <w:spacing w:val="7"/>
          <w:kern w:val="0"/>
          <w:sz w:val="32"/>
          <w:szCs w:val="32"/>
          <w:lang w:val="en-US" w:eastAsia="zh-CN"/>
        </w:rPr>
        <w:t>570.37</w:t>
      </w:r>
      <w:r>
        <w:rPr>
          <w:rFonts w:hint="eastAsia" w:ascii="仿宋" w:hAnsi="仿宋" w:eastAsia="楷体_GB2312" w:cs="宋体"/>
          <w:color w:val="535353"/>
          <w:spacing w:val="7"/>
          <w:kern w:val="0"/>
          <w:sz w:val="32"/>
          <w:szCs w:val="32"/>
        </w:rPr>
        <w:t>万元，主要包括：办公费、印刷费、水费、电费、邮电费、取暖费、物业管理费、差旅费、维修（护）费、大型修缮费、会议费、培训费、公务接待费、专用材料费、劳务费、工会经费、福利费、公务用车运行维护费、其他交通费、其他商品和服务支出等</w:t>
      </w:r>
      <w:r>
        <w:rPr>
          <w:rFonts w:hint="eastAsia" w:ascii="仿宋" w:hAnsi="仿宋" w:eastAsia="楷体_GB2312" w:cs="宋体"/>
          <w:color w:val="535353"/>
          <w:spacing w:val="7"/>
          <w:kern w:val="0"/>
          <w:sz w:val="32"/>
          <w:szCs w:val="32"/>
          <w:lang w:eastAsia="zh-CN"/>
        </w:rPr>
        <w:t>；</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(二)项目支出情况</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lang w:eastAsia="zh-CN"/>
        </w:rPr>
      </w:pPr>
      <w:r>
        <w:rPr>
          <w:rFonts w:hint="eastAsia" w:ascii="楷体_GB2312" w:hAnsi="楷体_GB2312" w:eastAsia="楷体_GB2312" w:cs="楷体_GB2312"/>
          <w:color w:val="000000"/>
          <w:kern w:val="0"/>
          <w:sz w:val="32"/>
          <w:szCs w:val="32"/>
          <w:lang w:eastAsia="zh-CN"/>
        </w:rPr>
        <w:t>无</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三、政府性基金预算支出情况</w:t>
      </w:r>
    </w:p>
    <w:p>
      <w:pPr>
        <w:keepNext w:val="0"/>
        <w:keepLines w:val="0"/>
        <w:pageBreakBefore w:val="0"/>
        <w:widowControl/>
        <w:kinsoku/>
        <w:wordWrap/>
        <w:overflowPunct/>
        <w:topLinePunct w:val="0"/>
        <w:autoSpaceDE/>
        <w:autoSpaceDN/>
        <w:bidi w:val="0"/>
        <w:adjustRightInd/>
        <w:snapToGrid/>
        <w:spacing w:line="576" w:lineRule="exact"/>
        <w:ind w:firstLine="1280" w:firstLineChars="400"/>
        <w:jc w:val="left"/>
        <w:textAlignment w:val="auto"/>
        <w:rPr>
          <w:rFonts w:hint="eastAsia" w:ascii="黑体" w:hAnsi="黑体" w:eastAsia="楷体_GB2312" w:cs="宋体"/>
          <w:color w:val="000000"/>
          <w:kern w:val="0"/>
          <w:sz w:val="32"/>
          <w:szCs w:val="32"/>
          <w:lang w:eastAsia="zh-CN"/>
        </w:rPr>
      </w:pPr>
      <w:r>
        <w:rPr>
          <w:rFonts w:hint="eastAsia" w:ascii="黑体" w:hAnsi="黑体" w:eastAsia="楷体_GB2312" w:cs="宋体"/>
          <w:color w:val="000000"/>
          <w:kern w:val="0"/>
          <w:sz w:val="32"/>
          <w:szCs w:val="32"/>
          <w:lang w:eastAsia="zh-CN"/>
        </w:rPr>
        <w:t>无</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四、国有资本经营预算支出情况</w:t>
      </w:r>
    </w:p>
    <w:p>
      <w:pPr>
        <w:keepNext w:val="0"/>
        <w:keepLines w:val="0"/>
        <w:pageBreakBefore w:val="0"/>
        <w:widowControl/>
        <w:kinsoku/>
        <w:wordWrap/>
        <w:overflowPunct/>
        <w:topLinePunct w:val="0"/>
        <w:autoSpaceDE/>
        <w:autoSpaceDN/>
        <w:bidi w:val="0"/>
        <w:adjustRightInd/>
        <w:snapToGrid/>
        <w:spacing w:line="576" w:lineRule="exact"/>
        <w:ind w:firstLine="1280" w:firstLineChars="400"/>
        <w:jc w:val="left"/>
        <w:textAlignment w:val="auto"/>
        <w:rPr>
          <w:rFonts w:hint="eastAsia" w:ascii="黑体" w:hAnsi="黑体" w:eastAsia="黑体" w:cs="宋体"/>
          <w:color w:val="000000"/>
          <w:kern w:val="0"/>
          <w:sz w:val="32"/>
          <w:szCs w:val="32"/>
          <w:lang w:eastAsia="zh-CN"/>
        </w:rPr>
      </w:pPr>
      <w:r>
        <w:rPr>
          <w:rFonts w:hint="eastAsia" w:ascii="黑体" w:hAnsi="黑体" w:eastAsia="黑体" w:cs="宋体"/>
          <w:color w:val="000000"/>
          <w:kern w:val="0"/>
          <w:sz w:val="32"/>
          <w:szCs w:val="32"/>
          <w:lang w:eastAsia="zh-CN"/>
        </w:rPr>
        <w:t>无</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五、社会保险基金预算支出情况</w:t>
      </w:r>
    </w:p>
    <w:p>
      <w:pPr>
        <w:keepNext w:val="0"/>
        <w:keepLines w:val="0"/>
        <w:pageBreakBefore w:val="0"/>
        <w:widowControl/>
        <w:kinsoku/>
        <w:wordWrap/>
        <w:overflowPunct/>
        <w:topLinePunct w:val="0"/>
        <w:autoSpaceDE/>
        <w:autoSpaceDN/>
        <w:bidi w:val="0"/>
        <w:adjustRightInd/>
        <w:snapToGrid/>
        <w:spacing w:line="576" w:lineRule="exact"/>
        <w:ind w:firstLine="1280" w:firstLineChars="400"/>
        <w:jc w:val="left"/>
        <w:textAlignment w:val="auto"/>
        <w:rPr>
          <w:rFonts w:hint="eastAsia" w:ascii="黑体" w:hAnsi="黑体" w:eastAsia="黑体" w:cs="宋体"/>
          <w:color w:val="000000"/>
          <w:kern w:val="0"/>
          <w:sz w:val="32"/>
          <w:szCs w:val="32"/>
          <w:lang w:eastAsia="zh-CN"/>
        </w:rPr>
      </w:pPr>
      <w:r>
        <w:rPr>
          <w:rFonts w:hint="eastAsia" w:ascii="黑体" w:hAnsi="黑体" w:eastAsia="黑体" w:cs="宋体"/>
          <w:color w:val="000000"/>
          <w:kern w:val="0"/>
          <w:sz w:val="32"/>
          <w:szCs w:val="32"/>
          <w:lang w:eastAsia="zh-CN"/>
        </w:rPr>
        <w:t>无</w:t>
      </w:r>
    </w:p>
    <w:p>
      <w:pPr>
        <w:keepNext w:val="0"/>
        <w:keepLines w:val="0"/>
        <w:pageBreakBefore w:val="0"/>
        <w:widowControl/>
        <w:numPr>
          <w:ilvl w:val="0"/>
          <w:numId w:val="1"/>
        </w:numPr>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部门整体支出绩效情况</w:t>
      </w:r>
    </w:p>
    <w:p>
      <w:pPr>
        <w:widowControl/>
        <w:spacing w:line="594" w:lineRule="exact"/>
        <w:ind w:firstLine="640" w:firstLineChars="200"/>
        <w:rPr>
          <w:rFonts w:hint="eastAsia" w:eastAsia="楷体_GB2312"/>
          <w:kern w:val="0"/>
          <w:sz w:val="32"/>
          <w:szCs w:val="32"/>
        </w:rPr>
      </w:pPr>
      <w:r>
        <w:rPr>
          <w:rFonts w:hint="eastAsia" w:eastAsia="楷体_GB2312"/>
          <w:kern w:val="0"/>
          <w:sz w:val="32"/>
          <w:szCs w:val="32"/>
        </w:rPr>
        <w:t>一年来，各项卫生专项资金和本级财政安排的专项经费，都能严格按照专项经费管理使用要求和相应项目实施方案要求进行管理，严格支出，专项资金使用规范，制定了相关资金管理制度，项目工作开展措施有力，工作稳步推进，且成效明显，项目专项资金财政到位和拨付做到及时，财政对相关配套项目资金有保障，各项目资金使用单位严格专项资金使用与管理，进行专账核算，专款专用，用到实处，没有出现挤占、挪用的情况，确保资金使用效果，专项资金产出的效果比较明显，达到预期效果。</w:t>
      </w:r>
    </w:p>
    <w:p>
      <w:pPr>
        <w:widowControl/>
        <w:spacing w:line="594" w:lineRule="exact"/>
        <w:ind w:firstLine="640" w:firstLineChars="200"/>
        <w:rPr>
          <w:rFonts w:hint="eastAsia" w:eastAsia="楷体_GB2312"/>
          <w:kern w:val="0"/>
          <w:sz w:val="32"/>
          <w:szCs w:val="32"/>
        </w:rPr>
      </w:pPr>
      <w:r>
        <w:rPr>
          <w:rFonts w:hint="eastAsia" w:eastAsia="楷体_GB2312"/>
          <w:kern w:val="0"/>
          <w:sz w:val="32"/>
          <w:szCs w:val="32"/>
        </w:rPr>
        <w:t>综合各项指标，卫生院财务管理较为健全规范，未发生严重违法违规现象，202</w:t>
      </w:r>
      <w:r>
        <w:rPr>
          <w:rFonts w:hint="eastAsia" w:eastAsia="楷体_GB2312"/>
          <w:kern w:val="0"/>
          <w:sz w:val="32"/>
          <w:szCs w:val="32"/>
          <w:lang w:val="en-US" w:eastAsia="zh-CN"/>
        </w:rPr>
        <w:t>3</w:t>
      </w:r>
      <w:r>
        <w:rPr>
          <w:rFonts w:hint="eastAsia" w:eastAsia="楷体_GB2312"/>
          <w:kern w:val="0"/>
          <w:sz w:val="32"/>
          <w:szCs w:val="32"/>
        </w:rPr>
        <w:t>年的部门整体支出绩效自我评价得到</w:t>
      </w:r>
      <w:r>
        <w:rPr>
          <w:rFonts w:hint="eastAsia" w:eastAsia="楷体_GB2312"/>
          <w:kern w:val="0"/>
          <w:sz w:val="32"/>
          <w:szCs w:val="32"/>
          <w:lang w:val="en-US" w:eastAsia="zh-CN"/>
        </w:rPr>
        <w:t>94</w:t>
      </w:r>
      <w:r>
        <w:rPr>
          <w:rFonts w:hint="eastAsia" w:eastAsia="楷体_GB2312"/>
          <w:kern w:val="0"/>
          <w:sz w:val="32"/>
          <w:szCs w:val="32"/>
        </w:rPr>
        <w:t>分</w:t>
      </w:r>
      <w:r>
        <w:rPr>
          <w:rFonts w:hint="eastAsia" w:eastAsia="楷体_GB2312"/>
          <w:kern w:val="0"/>
          <w:sz w:val="32"/>
          <w:szCs w:val="32"/>
          <w:lang w:val="en-US" w:eastAsia="zh-CN"/>
        </w:rPr>
        <w:t>.</w:t>
      </w:r>
      <w:r>
        <w:rPr>
          <w:rFonts w:hint="eastAsia" w:eastAsia="楷体_GB2312"/>
          <w:kern w:val="0"/>
          <w:sz w:val="32"/>
          <w:szCs w:val="32"/>
        </w:rPr>
        <w:t>自评结果：良好。全</w:t>
      </w:r>
      <w:r>
        <w:rPr>
          <w:rFonts w:hint="eastAsia" w:eastAsia="楷体_GB2312"/>
          <w:kern w:val="0"/>
          <w:sz w:val="32"/>
          <w:szCs w:val="32"/>
          <w:lang w:eastAsia="zh-CN"/>
        </w:rPr>
        <w:t>乡</w:t>
      </w:r>
      <w:r>
        <w:rPr>
          <w:rFonts w:hint="eastAsia" w:eastAsia="楷体_GB2312"/>
          <w:kern w:val="0"/>
          <w:sz w:val="32"/>
          <w:szCs w:val="32"/>
        </w:rPr>
        <w:t>卫生</w:t>
      </w:r>
      <w:r>
        <w:rPr>
          <w:rFonts w:hint="eastAsia" w:eastAsia="楷体_GB2312"/>
          <w:kern w:val="0"/>
          <w:sz w:val="32"/>
          <w:szCs w:val="32"/>
          <w:lang w:eastAsia="zh-CN"/>
        </w:rPr>
        <w:t>健康</w:t>
      </w:r>
      <w:r>
        <w:rPr>
          <w:rFonts w:hint="eastAsia" w:eastAsia="楷体_GB2312"/>
          <w:kern w:val="0"/>
          <w:sz w:val="32"/>
          <w:szCs w:val="32"/>
        </w:rPr>
        <w:t>事业得以</w:t>
      </w:r>
      <w:bookmarkStart w:id="0" w:name="_GoBack"/>
      <w:bookmarkEnd w:id="0"/>
      <w:r>
        <w:rPr>
          <w:rFonts w:hint="eastAsia" w:eastAsia="楷体_GB2312"/>
          <w:kern w:val="0"/>
          <w:sz w:val="32"/>
          <w:szCs w:val="32"/>
        </w:rPr>
        <w:t>平稳发展。我院将在以后的工作中加强预算管理，严格控制各项经费的开支，提高经费的使用效率。</w:t>
      </w:r>
    </w:p>
    <w:p>
      <w:pPr>
        <w:keepNext w:val="0"/>
        <w:keepLines w:val="0"/>
        <w:pageBreakBefore w:val="0"/>
        <w:widowControl/>
        <w:numPr>
          <w:ilvl w:val="0"/>
          <w:numId w:val="1"/>
        </w:numPr>
        <w:kinsoku/>
        <w:wordWrap/>
        <w:overflowPunct/>
        <w:topLinePunct w:val="0"/>
        <w:autoSpaceDE/>
        <w:autoSpaceDN/>
        <w:bidi w:val="0"/>
        <w:adjustRightInd/>
        <w:snapToGrid/>
        <w:spacing w:line="576" w:lineRule="exact"/>
        <w:ind w:left="0" w:leftChars="0"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存在的问题及原因分析</w:t>
      </w:r>
    </w:p>
    <w:p>
      <w:pPr>
        <w:widowControl/>
        <w:spacing w:line="594" w:lineRule="exact"/>
        <w:ind w:firstLine="640" w:firstLineChars="200"/>
        <w:rPr>
          <w:rFonts w:eastAsia="楷体_GB2312"/>
          <w:kern w:val="0"/>
          <w:sz w:val="32"/>
          <w:szCs w:val="32"/>
        </w:rPr>
      </w:pPr>
      <w:r>
        <w:rPr>
          <w:rFonts w:hint="eastAsia" w:eastAsia="楷体_GB2312"/>
          <w:kern w:val="0"/>
          <w:sz w:val="32"/>
          <w:szCs w:val="32"/>
        </w:rPr>
        <w:t>通过前述对我院整体支出情况的分析，反映出目前整体支出主要在执行方面还存在一些问题和不足：</w:t>
      </w:r>
    </w:p>
    <w:p>
      <w:pPr>
        <w:widowControl/>
        <w:spacing w:line="594" w:lineRule="exact"/>
        <w:ind w:firstLine="640" w:firstLineChars="200"/>
        <w:rPr>
          <w:rFonts w:hint="eastAsia" w:eastAsia="楷体_GB2312"/>
          <w:kern w:val="0"/>
          <w:sz w:val="32"/>
          <w:szCs w:val="32"/>
        </w:rPr>
      </w:pPr>
      <w:r>
        <w:rPr>
          <w:rFonts w:hint="eastAsia" w:eastAsia="楷体_GB2312"/>
          <w:kern w:val="0"/>
          <w:sz w:val="32"/>
          <w:szCs w:val="32"/>
          <w:lang w:eastAsia="zh-CN"/>
        </w:rPr>
        <w:t>一是</w:t>
      </w:r>
      <w:r>
        <w:rPr>
          <w:rFonts w:hint="eastAsia" w:eastAsia="楷体_GB2312"/>
          <w:kern w:val="0"/>
          <w:sz w:val="32"/>
          <w:szCs w:val="32"/>
        </w:rPr>
        <w:t>执行力度不足。单位在进行财务执行时，因为缺乏刚性，有时会出现经费开支随意性较大等问题。</w:t>
      </w:r>
    </w:p>
    <w:p>
      <w:pPr>
        <w:widowControl/>
        <w:spacing w:line="594" w:lineRule="exact"/>
        <w:ind w:firstLine="640" w:firstLineChars="200"/>
        <w:rPr>
          <w:rFonts w:hint="eastAsia" w:eastAsia="楷体_GB2312"/>
          <w:kern w:val="0"/>
          <w:sz w:val="32"/>
          <w:szCs w:val="32"/>
          <w:lang w:eastAsia="zh-CN"/>
        </w:rPr>
      </w:pPr>
      <w:r>
        <w:rPr>
          <w:rFonts w:hint="eastAsia" w:eastAsia="楷体_GB2312"/>
          <w:kern w:val="0"/>
          <w:sz w:val="32"/>
          <w:szCs w:val="32"/>
          <w:lang w:eastAsia="zh-CN"/>
        </w:rPr>
        <w:t>二是预算管理欠规范。</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八、下一步改进措施</w:t>
      </w:r>
    </w:p>
    <w:p>
      <w:pPr>
        <w:widowControl/>
        <w:spacing w:line="594" w:lineRule="exact"/>
        <w:ind w:firstLine="640" w:firstLineChars="200"/>
        <w:rPr>
          <w:rFonts w:eastAsia="楷体_GB2312"/>
          <w:kern w:val="0"/>
          <w:sz w:val="32"/>
          <w:szCs w:val="32"/>
        </w:rPr>
      </w:pPr>
      <w:r>
        <w:rPr>
          <w:rFonts w:hint="eastAsia" w:eastAsia="楷体_GB2312"/>
          <w:kern w:val="0"/>
          <w:sz w:val="32"/>
          <w:szCs w:val="32"/>
        </w:rPr>
        <w:t>针对上述存在的问题，拟采取以下改进措施：</w:t>
      </w:r>
    </w:p>
    <w:p>
      <w:pPr>
        <w:widowControl/>
        <w:numPr>
          <w:ilvl w:val="0"/>
          <w:numId w:val="2"/>
        </w:numPr>
        <w:spacing w:line="594" w:lineRule="exact"/>
        <w:ind w:firstLine="640" w:firstLineChars="200"/>
        <w:rPr>
          <w:rFonts w:hint="eastAsia" w:eastAsia="楷体_GB2312"/>
          <w:kern w:val="0"/>
          <w:sz w:val="32"/>
          <w:szCs w:val="32"/>
        </w:rPr>
      </w:pPr>
      <w:r>
        <w:rPr>
          <w:rFonts w:hint="eastAsia" w:eastAsia="楷体_GB2312"/>
          <w:kern w:val="0"/>
          <w:sz w:val="32"/>
          <w:szCs w:val="32"/>
        </w:rPr>
        <w:t>细化预算工作。根据项目实际情况和单位员工情况，根据岗位、环节不同，进行层层分解，准确分析预算编制的内容，将其运用到各个部门、各个环节、各个岗位，在预算和执行时运用岗位预算执行责任制并结合运用相应的预算管理考核体制，使每个执行人了解自己的责任，明确并确认责任执行。</w:t>
      </w:r>
    </w:p>
    <w:p>
      <w:pPr>
        <w:widowControl/>
        <w:numPr>
          <w:ilvl w:val="0"/>
          <w:numId w:val="2"/>
        </w:numPr>
        <w:spacing w:line="594" w:lineRule="exact"/>
        <w:ind w:left="0" w:leftChars="0" w:firstLine="640" w:firstLineChars="200"/>
        <w:rPr>
          <w:rFonts w:hint="eastAsia" w:eastAsia="楷体_GB2312"/>
          <w:kern w:val="0"/>
          <w:sz w:val="32"/>
          <w:szCs w:val="32"/>
        </w:rPr>
      </w:pPr>
      <w:r>
        <w:rPr>
          <w:rFonts w:hint="eastAsia" w:eastAsia="楷体_GB2312"/>
          <w:kern w:val="0"/>
          <w:sz w:val="32"/>
          <w:szCs w:val="32"/>
        </w:rPr>
        <w:t>加强预算管理。加强预算管理执行内容与进度的刚性约束，明确预算管理计划的内容，合理规划进度，适时公布，防止资金超支使用。</w:t>
      </w:r>
    </w:p>
    <w:p>
      <w:pPr>
        <w:widowControl/>
        <w:numPr>
          <w:ilvl w:val="0"/>
          <w:numId w:val="0"/>
        </w:numPr>
        <w:spacing w:line="594" w:lineRule="exact"/>
        <w:ind w:firstLine="640" w:firstLineChars="200"/>
        <w:rPr>
          <w:rFonts w:hint="eastAsia" w:ascii="黑体" w:hAnsi="黑体" w:eastAsia="楷体_GB2312" w:cs="宋体"/>
          <w:color w:val="000000"/>
          <w:kern w:val="0"/>
          <w:sz w:val="32"/>
          <w:szCs w:val="32"/>
        </w:rPr>
      </w:pPr>
      <w:r>
        <w:rPr>
          <w:rFonts w:hint="eastAsia" w:eastAsia="楷体_GB2312"/>
          <w:kern w:val="0"/>
          <w:sz w:val="32"/>
          <w:szCs w:val="32"/>
        </w:rPr>
        <w:t>（3）加强监督力度。单位预算执行的监督机制与单位内控机制紧密结合，从事前、事中、事后三个时间维度进行监督，检查预算执行效果，保证评价公平合理。</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九、绩效自评结果拟应用和公开情况</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lang w:val="en-US" w:eastAsia="zh-CN"/>
        </w:rPr>
      </w:pPr>
      <w:r>
        <w:rPr>
          <w:rFonts w:hint="eastAsia" w:ascii="黑体" w:hAnsi="黑体" w:eastAsia="黑体" w:cs="宋体"/>
          <w:color w:val="000000"/>
          <w:kern w:val="0"/>
          <w:sz w:val="32"/>
          <w:szCs w:val="32"/>
          <w:lang w:eastAsia="zh-CN"/>
        </w:rPr>
        <w:t>同意公开。</w:t>
      </w:r>
    </w:p>
    <w:sectPr>
      <w:headerReference r:id="rId3" w:type="default"/>
      <w:footerReference r:id="rId4" w:type="default"/>
      <w:pgSz w:w="11905" w:h="16837"/>
      <w:pgMar w:top="2098" w:right="1474" w:bottom="1984" w:left="1474" w:header="850" w:footer="1417" w:gutter="0"/>
      <w:pgNumType w:fmt="numberInDash" w:start="1"/>
      <w:cols w:space="0" w:num="1"/>
      <w:rtlGutter w:val="0"/>
      <w:docGrid w:type="lines" w:linePitch="6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0F4DFC34-6F1A-4D02-A244-98A9D1900F36}"/>
  </w:font>
  <w:font w:name="黑体">
    <w:panose1 w:val="02010600030101010101"/>
    <w:charset w:val="86"/>
    <w:family w:val="auto"/>
    <w:pitch w:val="default"/>
    <w:sig w:usb0="800002BF" w:usb1="38CF7CFA" w:usb2="00000016" w:usb3="00000000" w:csb0="00040001" w:csb1="00000000"/>
    <w:embedRegular r:id="rId2" w:fontKey="{34ADC9ED-9451-42E2-A77B-247F0DAF2CD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3" w:fontKey="{C02D5D4F-6197-4E66-9649-9402904D1604}"/>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embedRegular r:id="rId4" w:fontKey="{5EA4D019-4FB0-4EDE-9DB5-67E9768D7037}"/>
  </w:font>
  <w:font w:name="华文楷体">
    <w:altName w:val="楷体_GB2312"/>
    <w:panose1 w:val="02010600040101010101"/>
    <w:charset w:val="86"/>
    <w:family w:val="auto"/>
    <w:pitch w:val="default"/>
    <w:sig w:usb0="00000000" w:usb1="00000000" w:usb2="00000000" w:usb3="00000000" w:csb0="0004009F" w:csb1="DFD70000"/>
    <w:embedRegular r:id="rId5" w:fontKey="{BCC2287C-548C-4031-B561-5333C42F4B98}"/>
  </w:font>
  <w:font w:name="微软雅黑">
    <w:panose1 w:val="020B0503020204020204"/>
    <w:charset w:val="86"/>
    <w:family w:val="auto"/>
    <w:pitch w:val="default"/>
    <w:sig w:usb0="80000287" w:usb1="280F3C52" w:usb2="00000016" w:usb3="00000000" w:csb0="0004001F" w:csb1="00000000"/>
    <w:embedRegular r:id="rId6" w:fontKey="{B4CEE680-4C9E-413A-AE2D-0C801B5ECE06}"/>
  </w:font>
  <w:font w:name="楷体">
    <w:panose1 w:val="02010609060101010101"/>
    <w:charset w:val="86"/>
    <w:family w:val="auto"/>
    <w:pitch w:val="default"/>
    <w:sig w:usb0="800002BF" w:usb1="38CF7CFA" w:usb2="00000016" w:usb3="00000000" w:csb0="00040001" w:csb1="00000000"/>
    <w:embedRegular r:id="rId7" w:fontKey="{85CD1711-4BD6-43D2-8DBA-08B6613D5EBA}"/>
  </w:font>
  <w:font w:name="仿宋">
    <w:panose1 w:val="02010609060101010101"/>
    <w:charset w:val="86"/>
    <w:family w:val="auto"/>
    <w:pitch w:val="default"/>
    <w:sig w:usb0="800002BF" w:usb1="38CF7CFA" w:usb2="00000016" w:usb3="00000000" w:csb0="00040001" w:csb1="00000000"/>
    <w:embedRegular r:id="rId8" w:fontKey="{773A0D28-3E24-464D-9471-687B72D85141}"/>
  </w:font>
  <w:font w:name="楷体_GB2312">
    <w:panose1 w:val="02010609030101010101"/>
    <w:charset w:val="86"/>
    <w:family w:val="modern"/>
    <w:pitch w:val="default"/>
    <w:sig w:usb0="00000001" w:usb1="080E0000" w:usb2="00000000" w:usb3="00000000" w:csb0="00040000" w:csb1="00000000"/>
    <w:embedRegular r:id="rId9" w:fontKey="{0F6C16C3-521B-481E-B6DC-CD009C9E71E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360"/>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- 25 -</w:t>
                          </w:r>
                          <w:r>
                            <w:rPr>
                              <w:rFonts w:hint="eastAsia" w:ascii="仿宋_GB2312" w:hAnsi="仿宋_GB2312" w:eastAsia="仿宋_GB2312" w:cs="仿宋_GB2312"/>
                              <w:sz w:val="28"/>
                              <w:szCs w:val="28"/>
                            </w:rPr>
                            <w:fldChar w:fldCharType="end"/>
                          </w:r>
                        </w:p>
                      </w:txbxContent>
                    </wps:txbx>
                    <wps:bodyPr vert="horz" wrap="none" lIns="0" tIns="0" rIns="0" bIns="0" anchor="t" anchorCtr="0" upright="1">
                      <a:spAutoFit/>
                    </wps:bodyPr>
                  </wps:wsp>
                </a:graphicData>
              </a:graphic>
            </wp:anchor>
          </w:drawing>
        </mc:Choice>
        <mc:Fallback>
          <w:pict>
            <v:shape id="文本框 1025"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JqxHOPqAQAAywMAAA4AAABkcnMvZTJvRG9jLnhtbK1TzY7TMBC+&#10;I+07WL5vk0bqEkVNV0C1KyQESAsP4DpOY8l/8rhNygPAG3Diwp3n6nPs2Em6aLnsgUsy9sx8M983&#10;4/XtoBU5Cg/SmpouFzklwnDbSLOv6dcvd9clJRCYaZiyRtT0JIDebq5erXtXicJ2VjXCEwQxUPWu&#10;pl0Irsoy4J3QDBbWCYPO1nrNAh79Pms86xFdq6zI85ust75x3nIBgLfb0UknRP8SQNu2kout5Qct&#10;TBhRvVAsICXopAO6Sd22reDhU9uCCETVFJmG9MUiaO/iN9usWbX3zHWSTy2wl7TwjJNm0mDRC9SW&#10;BUYOXv4DpSX3FmwbFtzqbCSSFEEWy/yZNg8dcyJxQanBXUSH/wfLPx4/eyKbmhaUGKZx4OefP86/&#10;/px/fyfLvFhFhXoHFQY+OAwNw1s74N7M94CXkfjQeh3/SImgH/U9XfQVQyA8JpVFWebo4uibD4if&#10;PaU7D+FeWE2iUVOPA0y6suMHCGPoHBKrGXsnlUpDVIb0iLoqX69SxsWF6Mpgkchi7DZaYdgNE7Wd&#10;bU7IDN8EVuys/0ZJjxtRU4MPgBL13qDgcXlmw8/GbjaY4ZhY00DJaL4L45IdnJf7DnGXqSlwbw4B&#10;e05UYhtj7ak7nHESY9rHuER/n1PU0xvcPA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oaYJL0wAA&#10;AAUBAAAPAAAAAAAAAAEAIAAAACIAAABkcnMvZG93bnJldi54bWxQSwECFAAUAAAACACHTuJAmrEc&#10;4+oBAADLAwAADgAAAAAAAAABACAAAAAiAQAAZHJzL2Uyb0RvYy54bWxQSwUGAAAAAAYABgBZAQAA&#10;fgUAAAAA&#10;">
              <v:fill on="f" focussize="0,0"/>
              <v:stroke on="f" weight="1.25pt"/>
              <v:imagedata o:title=""/>
              <o:lock v:ext="edit" aspectratio="f"/>
              <v:textbox inset="0mm,0mm,0mm,0mm" style="mso-fit-shape-to-text:t;">
                <w:txbxContent>
                  <w:p>
                    <w:pPr>
                      <w:pStyle w:val="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- 25 -</w:t>
                    </w:r>
                    <w:r>
                      <w:rPr>
                        <w:rFonts w:hint="eastAsia" w:ascii="仿宋_GB2312" w:hAnsi="仿宋_GB2312" w:eastAsia="仿宋_GB2312" w:cs="仿宋_GB2312"/>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CDC6DC"/>
    <w:multiLevelType w:val="singleLevel"/>
    <w:tmpl w:val="E4CDC6DC"/>
    <w:lvl w:ilvl="0" w:tentative="0">
      <w:start w:val="1"/>
      <w:numFmt w:val="decimal"/>
      <w:suff w:val="nothing"/>
      <w:lvlText w:val="（%1）"/>
      <w:lvlJc w:val="left"/>
    </w:lvl>
  </w:abstractNum>
  <w:abstractNum w:abstractNumId="1">
    <w:nsid w:val="17DDA0CF"/>
    <w:multiLevelType w:val="singleLevel"/>
    <w:tmpl w:val="17DDA0CF"/>
    <w:lvl w:ilvl="0" w:tentative="0">
      <w:start w:val="6"/>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1NzA2YmZkMWI5Y2E3NDQ5NWQ4MDIxYjVmZTM0OGQifQ=="/>
    <w:docVar w:name="KSO_WPS_MARK_KEY" w:val="efdb9831-49e2-41f3-897e-affe4bfc1ef8"/>
  </w:docVars>
  <w:rsids>
    <w:rsidRoot w:val="5EF91413"/>
    <w:rsid w:val="00021499"/>
    <w:rsid w:val="001F27BC"/>
    <w:rsid w:val="002D4B0D"/>
    <w:rsid w:val="003062EE"/>
    <w:rsid w:val="00355E6F"/>
    <w:rsid w:val="003E2793"/>
    <w:rsid w:val="003F11DD"/>
    <w:rsid w:val="004E640B"/>
    <w:rsid w:val="00592274"/>
    <w:rsid w:val="00630B10"/>
    <w:rsid w:val="00651AD0"/>
    <w:rsid w:val="00712ECA"/>
    <w:rsid w:val="007C7F1B"/>
    <w:rsid w:val="007F2C1A"/>
    <w:rsid w:val="00826A68"/>
    <w:rsid w:val="00970A76"/>
    <w:rsid w:val="00A3179B"/>
    <w:rsid w:val="00A40CEF"/>
    <w:rsid w:val="00A84895"/>
    <w:rsid w:val="00AD157A"/>
    <w:rsid w:val="00AE5FCA"/>
    <w:rsid w:val="00B83482"/>
    <w:rsid w:val="00CF00E5"/>
    <w:rsid w:val="00D30D45"/>
    <w:rsid w:val="00DF2F64"/>
    <w:rsid w:val="00E47EB9"/>
    <w:rsid w:val="00EF286B"/>
    <w:rsid w:val="00EF7465"/>
    <w:rsid w:val="00F5064A"/>
    <w:rsid w:val="00FB5247"/>
    <w:rsid w:val="01881C21"/>
    <w:rsid w:val="02E230B9"/>
    <w:rsid w:val="03EA0D85"/>
    <w:rsid w:val="04C0568B"/>
    <w:rsid w:val="05E91C43"/>
    <w:rsid w:val="095202B3"/>
    <w:rsid w:val="0A371C48"/>
    <w:rsid w:val="0A461E15"/>
    <w:rsid w:val="0A5E1A35"/>
    <w:rsid w:val="0CCE5EB8"/>
    <w:rsid w:val="0D1F294F"/>
    <w:rsid w:val="0D5868FC"/>
    <w:rsid w:val="0DC2053C"/>
    <w:rsid w:val="127960C2"/>
    <w:rsid w:val="128706BB"/>
    <w:rsid w:val="128C289E"/>
    <w:rsid w:val="13F1430E"/>
    <w:rsid w:val="15E118C5"/>
    <w:rsid w:val="164B78E0"/>
    <w:rsid w:val="18C44B05"/>
    <w:rsid w:val="1921258C"/>
    <w:rsid w:val="1A86539E"/>
    <w:rsid w:val="1D514A07"/>
    <w:rsid w:val="1D736768"/>
    <w:rsid w:val="1E02384E"/>
    <w:rsid w:val="1E2D7B42"/>
    <w:rsid w:val="1F6367C1"/>
    <w:rsid w:val="202355A8"/>
    <w:rsid w:val="204505AD"/>
    <w:rsid w:val="204B4B47"/>
    <w:rsid w:val="2064490E"/>
    <w:rsid w:val="216A31A0"/>
    <w:rsid w:val="21887F99"/>
    <w:rsid w:val="21F32188"/>
    <w:rsid w:val="229365CD"/>
    <w:rsid w:val="22E7596F"/>
    <w:rsid w:val="2605582B"/>
    <w:rsid w:val="27666297"/>
    <w:rsid w:val="28264A04"/>
    <w:rsid w:val="283861F4"/>
    <w:rsid w:val="2B8F395A"/>
    <w:rsid w:val="2CD96D87"/>
    <w:rsid w:val="2DF15952"/>
    <w:rsid w:val="2E6C7FCB"/>
    <w:rsid w:val="2E88044F"/>
    <w:rsid w:val="3284589B"/>
    <w:rsid w:val="36F9338A"/>
    <w:rsid w:val="37779E60"/>
    <w:rsid w:val="377A54BF"/>
    <w:rsid w:val="39E9356E"/>
    <w:rsid w:val="39F525A2"/>
    <w:rsid w:val="3C7B06AE"/>
    <w:rsid w:val="3D6A1B31"/>
    <w:rsid w:val="3F8731D7"/>
    <w:rsid w:val="4015034D"/>
    <w:rsid w:val="43596284"/>
    <w:rsid w:val="439D02A5"/>
    <w:rsid w:val="440C2076"/>
    <w:rsid w:val="44BA060E"/>
    <w:rsid w:val="454063A9"/>
    <w:rsid w:val="47A66F47"/>
    <w:rsid w:val="48190D72"/>
    <w:rsid w:val="49B50C04"/>
    <w:rsid w:val="49F422BC"/>
    <w:rsid w:val="4A4C5543"/>
    <w:rsid w:val="4A856EB6"/>
    <w:rsid w:val="4BB44DA3"/>
    <w:rsid w:val="4BB72B70"/>
    <w:rsid w:val="4D765FE4"/>
    <w:rsid w:val="4D7F362E"/>
    <w:rsid w:val="4E1B3885"/>
    <w:rsid w:val="4EBF7EAB"/>
    <w:rsid w:val="4F670C47"/>
    <w:rsid w:val="553254BE"/>
    <w:rsid w:val="553B4087"/>
    <w:rsid w:val="56A8574D"/>
    <w:rsid w:val="583020DD"/>
    <w:rsid w:val="592547BC"/>
    <w:rsid w:val="59544026"/>
    <w:rsid w:val="596A289E"/>
    <w:rsid w:val="5A8D1B23"/>
    <w:rsid w:val="5AB9755B"/>
    <w:rsid w:val="5AF474F0"/>
    <w:rsid w:val="5B742D21"/>
    <w:rsid w:val="5C0351D3"/>
    <w:rsid w:val="5D594ACE"/>
    <w:rsid w:val="5D973665"/>
    <w:rsid w:val="5EF91413"/>
    <w:rsid w:val="5F567206"/>
    <w:rsid w:val="5F875025"/>
    <w:rsid w:val="60D6222F"/>
    <w:rsid w:val="6217071C"/>
    <w:rsid w:val="62CE02E9"/>
    <w:rsid w:val="632C6B3E"/>
    <w:rsid w:val="633F0072"/>
    <w:rsid w:val="63F14965"/>
    <w:rsid w:val="64E07CE5"/>
    <w:rsid w:val="666920D7"/>
    <w:rsid w:val="66C67948"/>
    <w:rsid w:val="66F756A1"/>
    <w:rsid w:val="672E063D"/>
    <w:rsid w:val="68E20077"/>
    <w:rsid w:val="69380B1B"/>
    <w:rsid w:val="6C1733E6"/>
    <w:rsid w:val="6CF536F6"/>
    <w:rsid w:val="6E810B7A"/>
    <w:rsid w:val="6F8673D6"/>
    <w:rsid w:val="6FCF75EC"/>
    <w:rsid w:val="70446EA1"/>
    <w:rsid w:val="707537A6"/>
    <w:rsid w:val="70ED0C69"/>
    <w:rsid w:val="71591FCE"/>
    <w:rsid w:val="71F256AB"/>
    <w:rsid w:val="73133AF6"/>
    <w:rsid w:val="736D4488"/>
    <w:rsid w:val="753A5550"/>
    <w:rsid w:val="75AE6414"/>
    <w:rsid w:val="75B4584A"/>
    <w:rsid w:val="76525347"/>
    <w:rsid w:val="777F79CD"/>
    <w:rsid w:val="7869439B"/>
    <w:rsid w:val="78FDF452"/>
    <w:rsid w:val="7CEF2B13"/>
    <w:rsid w:val="7D2C3E42"/>
    <w:rsid w:val="7DAF813A"/>
    <w:rsid w:val="7F867CBA"/>
    <w:rsid w:val="BEF50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8"/>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autoRedefine/>
    <w:qFormat/>
    <w:uiPriority w:val="0"/>
    <w:pPr>
      <w:keepNext/>
      <w:keepLines/>
      <w:spacing w:line="312" w:lineRule="auto"/>
      <w:jc w:val="center"/>
      <w:outlineLvl w:val="1"/>
    </w:pPr>
    <w:rPr>
      <w:rFonts w:ascii="Cambria" w:hAnsi="Cambria" w:cs="宋体"/>
      <w:b/>
      <w:bCs/>
      <w:sz w:val="36"/>
      <w:szCs w:val="32"/>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autoRedefine/>
    <w:qFormat/>
    <w:uiPriority w:val="0"/>
    <w:pPr>
      <w:spacing w:after="120"/>
    </w:pPr>
  </w:style>
  <w:style w:type="paragraph" w:styleId="5">
    <w:name w:val="footer"/>
    <w:basedOn w:val="1"/>
    <w:autoRedefine/>
    <w:qFormat/>
    <w:uiPriority w:val="99"/>
    <w:pPr>
      <w:tabs>
        <w:tab w:val="center" w:pos="4153"/>
        <w:tab w:val="right" w:pos="8306"/>
      </w:tabs>
      <w:snapToGrid w:val="0"/>
      <w:jc w:val="left"/>
    </w:pPr>
    <w:rPr>
      <w:sz w:val="18"/>
      <w:szCs w:val="18"/>
    </w:rPr>
  </w:style>
  <w:style w:type="paragraph" w:styleId="6">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autoRedefine/>
    <w:semiHidden/>
    <w:qFormat/>
    <w:uiPriority w:val="99"/>
    <w:rPr>
      <w:rFonts w:ascii="黑体" w:hAnsi="黑体" w:eastAsia="黑体" w:cs="黑体"/>
    </w:rPr>
  </w:style>
  <w:style w:type="paragraph" w:styleId="8">
    <w:name w:val="Subtitle"/>
    <w:basedOn w:val="1"/>
    <w:next w:val="1"/>
    <w:autoRedefine/>
    <w:qFormat/>
    <w:uiPriority w:val="0"/>
    <w:pPr>
      <w:ind w:firstLine="200" w:firstLineChars="200"/>
      <w:jc w:val="left"/>
      <w:outlineLvl w:val="2"/>
    </w:pPr>
    <w:rPr>
      <w:rFonts w:ascii="Cambria" w:hAnsi="Cambria" w:eastAsia="黑体"/>
      <w:bCs/>
      <w:kern w:val="28"/>
      <w:sz w:val="28"/>
      <w:szCs w:val="32"/>
    </w:rPr>
  </w:style>
  <w:style w:type="paragraph" w:styleId="9">
    <w:name w:val="Normal (Web)"/>
    <w:basedOn w:val="1"/>
    <w:autoRedefine/>
    <w:unhideWhenUsed/>
    <w:qFormat/>
    <w:uiPriority w:val="0"/>
    <w:pPr>
      <w:spacing w:before="100" w:beforeAutospacing="1" w:after="100" w:afterAutospacing="1"/>
      <w:jc w:val="left"/>
    </w:pPr>
    <w:rPr>
      <w:kern w:val="0"/>
      <w:sz w:val="24"/>
      <w:szCs w:val="20"/>
    </w:rPr>
  </w:style>
  <w:style w:type="paragraph" w:styleId="10">
    <w:name w:val="Body Text First Indent"/>
    <w:basedOn w:val="4"/>
    <w:autoRedefine/>
    <w:qFormat/>
    <w:uiPriority w:val="0"/>
    <w:pPr>
      <w:ind w:firstLine="664"/>
    </w:pPr>
  </w:style>
  <w:style w:type="character" w:styleId="13">
    <w:name w:val="page number"/>
    <w:basedOn w:val="12"/>
    <w:autoRedefine/>
    <w:qFormat/>
    <w:uiPriority w:val="0"/>
  </w:style>
  <w:style w:type="paragraph" w:customStyle="1" w:styleId="14">
    <w:name w:val="BodyText1I2"/>
    <w:basedOn w:val="15"/>
    <w:autoRedefine/>
    <w:qFormat/>
    <w:uiPriority w:val="0"/>
    <w:pPr>
      <w:ind w:firstLine="420"/>
    </w:pPr>
  </w:style>
  <w:style w:type="paragraph" w:customStyle="1" w:styleId="15">
    <w:name w:val="BodyTextIndent"/>
    <w:basedOn w:val="1"/>
    <w:autoRedefine/>
    <w:qFormat/>
    <w:uiPriority w:val="0"/>
    <w:pPr>
      <w:spacing w:after="120"/>
      <w:ind w:left="420" w:leftChars="200" w:firstLine="200" w:firstLineChars="200"/>
      <w:textAlignment w:val="baseline"/>
    </w:pPr>
  </w:style>
  <w:style w:type="paragraph" w:customStyle="1" w:styleId="16">
    <w:name w:val="Default"/>
    <w:autoRedefine/>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17">
    <w:name w:val="无间隔1"/>
    <w:autoRedefine/>
    <w:qFormat/>
    <w:uiPriority w:val="0"/>
    <w:pPr>
      <w:widowControl w:val="0"/>
      <w:spacing w:beforeLines="50"/>
      <w:jc w:val="center"/>
    </w:pPr>
    <w:rPr>
      <w:rFonts w:ascii="Times New Roman" w:hAnsi="Times New Roman" w:eastAsia="仿宋_GB2312" w:cs="Times New Roman"/>
      <w:kern w:val="2"/>
      <w:sz w:val="24"/>
      <w:szCs w:val="22"/>
      <w:lang w:val="en-US" w:eastAsia="zh-CN" w:bidi="ar-SA"/>
    </w:rPr>
  </w:style>
  <w:style w:type="paragraph" w:customStyle="1" w:styleId="18">
    <w:name w:val="无缩进"/>
    <w:basedOn w:val="1"/>
    <w:autoRedefine/>
    <w:qFormat/>
    <w:uiPriority w:val="0"/>
    <w:pPr>
      <w:spacing w:line="312" w:lineRule="auto"/>
    </w:pPr>
    <w:rPr>
      <w:sz w:val="24"/>
      <w:szCs w:val="22"/>
    </w:rPr>
  </w:style>
  <w:style w:type="paragraph" w:customStyle="1" w:styleId="19">
    <w:name w:val="列出段落1"/>
    <w:basedOn w:val="1"/>
    <w:autoRedefine/>
    <w:qFormat/>
    <w:uiPriority w:val="0"/>
    <w:pPr>
      <w:ind w:firstLine="420" w:firstLineChars="200"/>
    </w:pPr>
  </w:style>
  <w:style w:type="paragraph" w:customStyle="1" w:styleId="20">
    <w:name w:val="List Paragraph"/>
    <w:basedOn w:val="1"/>
    <w:autoRedefine/>
    <w:qFormat/>
    <w:uiPriority w:val="0"/>
    <w:pPr>
      <w:ind w:firstLine="420" w:firstLineChars="200"/>
    </w:pPr>
    <w:rPr>
      <w:rFonts w:ascii="Calibri" w:hAnsi="Calibri"/>
      <w:szCs w:val="22"/>
    </w:rPr>
  </w:style>
  <w:style w:type="character" w:customStyle="1" w:styleId="21">
    <w:name w:val="font61"/>
    <w:basedOn w:val="12"/>
    <w:autoRedefine/>
    <w:qFormat/>
    <w:uiPriority w:val="0"/>
    <w:rPr>
      <w:rFonts w:ascii="Times New Roman" w:hAnsi="Times New Roman" w:cs="Times New Roman"/>
      <w:b/>
      <w:color w:val="000000"/>
      <w:sz w:val="28"/>
      <w:szCs w:val="28"/>
      <w:u w:val="none"/>
    </w:rPr>
  </w:style>
  <w:style w:type="character" w:customStyle="1" w:styleId="22">
    <w:name w:val="font121"/>
    <w:basedOn w:val="12"/>
    <w:autoRedefine/>
    <w:qFormat/>
    <w:uiPriority w:val="0"/>
    <w:rPr>
      <w:rFonts w:ascii="Times New Roman" w:hAnsi="Times New Roman" w:cs="Times New Roman"/>
      <w:color w:val="000000"/>
      <w:sz w:val="20"/>
      <w:szCs w:val="20"/>
      <w:u w:val="none"/>
    </w:rPr>
  </w:style>
  <w:style w:type="character" w:customStyle="1" w:styleId="23">
    <w:name w:val="font11"/>
    <w:basedOn w:val="12"/>
    <w:autoRedefine/>
    <w:qFormat/>
    <w:uiPriority w:val="0"/>
    <w:rPr>
      <w:rFonts w:ascii="宋体" w:hAnsi="宋体" w:eastAsia="宋体" w:cs="宋体"/>
      <w:color w:val="000000"/>
      <w:sz w:val="20"/>
      <w:szCs w:val="20"/>
      <w:u w:val="none"/>
    </w:rPr>
  </w:style>
  <w:style w:type="character" w:customStyle="1" w:styleId="24">
    <w:name w:val="font131"/>
    <w:basedOn w:val="12"/>
    <w:autoRedefine/>
    <w:qFormat/>
    <w:uiPriority w:val="0"/>
    <w:rPr>
      <w:rFonts w:ascii="宋体" w:hAnsi="宋体" w:eastAsia="宋体" w:cs="宋体"/>
      <w:color w:val="000000"/>
      <w:sz w:val="18"/>
      <w:szCs w:val="18"/>
      <w:u w:val="none"/>
    </w:rPr>
  </w:style>
  <w:style w:type="character" w:customStyle="1" w:styleId="25">
    <w:name w:val="font141"/>
    <w:basedOn w:val="12"/>
    <w:autoRedefine/>
    <w:qFormat/>
    <w:uiPriority w:val="0"/>
    <w:rPr>
      <w:rFonts w:ascii="Times New Roman" w:hAnsi="Times New Roman" w:cs="Times New Roman"/>
      <w:color w:val="000000"/>
      <w:sz w:val="24"/>
      <w:szCs w:val="24"/>
      <w:u w:val="none"/>
    </w:rPr>
  </w:style>
  <w:style w:type="character" w:customStyle="1" w:styleId="26">
    <w:name w:val="font101"/>
    <w:basedOn w:val="12"/>
    <w:autoRedefine/>
    <w:qFormat/>
    <w:uiPriority w:val="0"/>
    <w:rPr>
      <w:rFonts w:ascii="宋体" w:hAnsi="宋体" w:eastAsia="宋体" w:cs="宋体"/>
      <w:color w:val="000000"/>
      <w:sz w:val="24"/>
      <w:szCs w:val="24"/>
      <w:u w:val="none"/>
    </w:rPr>
  </w:style>
  <w:style w:type="paragraph" w:customStyle="1" w:styleId="27">
    <w:name w:val="Other|1"/>
    <w:basedOn w:val="1"/>
    <w:autoRedefine/>
    <w:qFormat/>
    <w:uiPriority w:val="0"/>
    <w:pPr>
      <w:widowControl w:val="0"/>
      <w:shd w:val="clear" w:color="auto" w:fill="auto"/>
      <w:spacing w:line="238" w:lineRule="exact"/>
    </w:pPr>
    <w:rPr>
      <w:rFonts w:ascii="宋体" w:hAnsi="宋体" w:eastAsia="宋体" w:cs="宋体"/>
      <w:color w:val="1D1433"/>
      <w:sz w:val="20"/>
      <w:szCs w:val="20"/>
      <w:u w:val="none"/>
      <w:shd w:val="clear" w:color="auto" w:fill="auto"/>
      <w:lang w:val="zh-TW" w:eastAsia="zh-TW" w:bidi="zh-TW"/>
    </w:rPr>
  </w:style>
  <w:style w:type="character" w:customStyle="1" w:styleId="28">
    <w:name w:val="标题 1 Char"/>
    <w:link w:val="2"/>
    <w:autoRedefine/>
    <w:qFormat/>
    <w:uiPriority w:val="0"/>
    <w:rPr>
      <w:b/>
      <w:bCs/>
      <w:kern w:val="44"/>
      <w:sz w:val="44"/>
      <w:szCs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7781</Words>
  <Characters>8060</Characters>
  <Lines>102</Lines>
  <Paragraphs>28</Paragraphs>
  <TotalTime>12</TotalTime>
  <ScaleCrop>false</ScaleCrop>
  <LinksUpToDate>false</LinksUpToDate>
  <CharactersWithSpaces>9151</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2022-01-06T16:40:00Z</dcterms:created>
  <dc:creator>greatwall</dc:creator>
  <cp:lastModifiedBy>Administrator</cp:lastModifiedBy>
  <cp:lastPrinted>2024-05-17T18:04:00Z</cp:lastPrinted>
  <dcterms:modified xsi:type="dcterms:W3CDTF">2024-06-18T03:41:18Z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013CD473DFA842CD9866D700341F1BA6_13</vt:lpwstr>
  </property>
  <property fmtid="{D5CDD505-2E9C-101B-9397-08002B2CF9AE}" pid="4" name="commondata">
    <vt:lpwstr>eyJoZGlkIjoiYTYyNDdjODg3NGNlNDkxMWExODY4YWEyMTRmNzM4NmQifQ==</vt:lpwstr>
  </property>
</Properties>
</file>