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DE1AF8">
      <w:pPr>
        <w:spacing w:before="208" w:line="224" w:lineRule="auto"/>
        <w:rPr>
          <w:rFonts w:ascii="黑体" w:hAnsi="黑体" w:eastAsia="黑体" w:cs="黑体"/>
          <w:sz w:val="31"/>
          <w:szCs w:val="31"/>
        </w:rPr>
      </w:pPr>
      <w:r>
        <w:rPr>
          <w:rFonts w:ascii="黑体" w:hAnsi="黑体" w:eastAsia="黑体" w:cs="黑体"/>
          <w:b/>
          <w:bCs/>
          <w:spacing w:val="31"/>
          <w:sz w:val="31"/>
          <w:szCs w:val="31"/>
        </w:rPr>
        <w:t>附件5:</w:t>
      </w:r>
    </w:p>
    <w:p w14:paraId="0E884DAE">
      <w:pPr>
        <w:spacing w:line="243" w:lineRule="auto"/>
        <w:jc w:val="center"/>
        <w:rPr>
          <w:rFonts w:ascii="宋体" w:hAnsi="宋体" w:eastAsia="宋体" w:cs="宋体"/>
          <w:b/>
          <w:bCs/>
          <w:spacing w:val="9"/>
          <w:sz w:val="36"/>
          <w:szCs w:val="36"/>
        </w:rPr>
      </w:pPr>
    </w:p>
    <w:p w14:paraId="562E2385">
      <w:pPr>
        <w:spacing w:line="243" w:lineRule="auto"/>
        <w:jc w:val="center"/>
        <w:rPr>
          <w:rFonts w:hint="eastAsia" w:ascii="宋体" w:hAnsi="宋体" w:eastAsia="宋体" w:cs="宋体"/>
          <w:b/>
          <w:bCs/>
          <w:spacing w:val="9"/>
          <w:sz w:val="44"/>
          <w:szCs w:val="44"/>
          <w:lang w:val="en-US" w:eastAsia="zh-CN"/>
        </w:rPr>
      </w:pPr>
      <w:r>
        <w:rPr>
          <w:rFonts w:ascii="宋体" w:hAnsi="宋体" w:eastAsia="宋体" w:cs="宋体"/>
          <w:b/>
          <w:bCs/>
          <w:spacing w:val="9"/>
          <w:sz w:val="44"/>
          <w:szCs w:val="44"/>
        </w:rPr>
        <w:t>2023年度</w:t>
      </w:r>
      <w:r>
        <w:rPr>
          <w:rFonts w:hint="eastAsia" w:ascii="宋体" w:hAnsi="宋体" w:eastAsia="宋体" w:cs="宋体"/>
          <w:b/>
          <w:bCs/>
          <w:spacing w:val="9"/>
          <w:sz w:val="44"/>
          <w:szCs w:val="44"/>
          <w:lang w:val="en-US" w:eastAsia="zh-CN"/>
        </w:rPr>
        <w:t>安化县高明乡卫生院</w:t>
      </w:r>
    </w:p>
    <w:p w14:paraId="376E0B49">
      <w:pPr>
        <w:spacing w:before="195" w:line="214" w:lineRule="auto"/>
        <w:ind w:left="3062" w:right="1530" w:hanging="1470"/>
        <w:jc w:val="center"/>
        <w:rPr>
          <w:rFonts w:ascii="宋体" w:hAnsi="宋体" w:eastAsia="宋体" w:cs="宋体"/>
          <w:sz w:val="44"/>
          <w:szCs w:val="44"/>
        </w:rPr>
      </w:pPr>
      <w:r>
        <w:rPr>
          <w:rFonts w:ascii="宋体" w:hAnsi="宋体" w:eastAsia="宋体" w:cs="宋体"/>
          <w:b/>
          <w:bCs/>
          <w:spacing w:val="9"/>
          <w:sz w:val="44"/>
          <w:szCs w:val="44"/>
        </w:rPr>
        <w:t>部门整体支出</w:t>
      </w:r>
      <w:r>
        <w:rPr>
          <w:rFonts w:ascii="宋体" w:hAnsi="宋体" w:eastAsia="宋体" w:cs="宋体"/>
          <w:b/>
          <w:bCs/>
          <w:spacing w:val="6"/>
          <w:sz w:val="44"/>
          <w:szCs w:val="44"/>
        </w:rPr>
        <w:t>绩效自评报告</w:t>
      </w:r>
    </w:p>
    <w:p w14:paraId="325F695E">
      <w:pPr>
        <w:spacing w:line="243" w:lineRule="auto"/>
        <w:jc w:val="center"/>
        <w:rPr>
          <w:rFonts w:ascii="Arial"/>
          <w:sz w:val="44"/>
          <w:szCs w:val="44"/>
        </w:rPr>
      </w:pPr>
    </w:p>
    <w:p w14:paraId="177E3D12">
      <w:pPr>
        <w:spacing w:line="243" w:lineRule="auto"/>
        <w:jc w:val="left"/>
        <w:rPr>
          <w:rFonts w:hint="eastAsia" w:ascii="宋体" w:hAnsi="宋体" w:eastAsia="宋体" w:cs="宋体"/>
          <w:b/>
          <w:bCs/>
          <w:spacing w:val="9"/>
          <w:sz w:val="36"/>
          <w:szCs w:val="36"/>
          <w:lang w:val="en-US" w:eastAsia="zh-CN"/>
        </w:rPr>
      </w:pPr>
    </w:p>
    <w:p w14:paraId="5CB31A22">
      <w:pPr>
        <w:spacing w:line="243" w:lineRule="auto"/>
        <w:rPr>
          <w:rFonts w:ascii="Arial"/>
          <w:sz w:val="21"/>
        </w:rPr>
      </w:pPr>
    </w:p>
    <w:p w14:paraId="4798D2E8">
      <w:pPr>
        <w:spacing w:line="243" w:lineRule="auto"/>
        <w:rPr>
          <w:rFonts w:ascii="Arial"/>
          <w:sz w:val="21"/>
        </w:rPr>
      </w:pPr>
    </w:p>
    <w:p w14:paraId="56C2B149">
      <w:pPr>
        <w:spacing w:line="243" w:lineRule="auto"/>
        <w:rPr>
          <w:rFonts w:ascii="Arial"/>
          <w:sz w:val="21"/>
        </w:rPr>
      </w:pPr>
    </w:p>
    <w:p w14:paraId="6B491232">
      <w:pPr>
        <w:spacing w:line="243" w:lineRule="auto"/>
        <w:rPr>
          <w:rFonts w:ascii="Arial"/>
          <w:sz w:val="21"/>
        </w:rPr>
      </w:pPr>
    </w:p>
    <w:p w14:paraId="44249487">
      <w:pPr>
        <w:spacing w:line="243" w:lineRule="auto"/>
        <w:rPr>
          <w:rFonts w:ascii="Arial"/>
          <w:sz w:val="21"/>
        </w:rPr>
      </w:pPr>
    </w:p>
    <w:p w14:paraId="3BC16141">
      <w:pPr>
        <w:spacing w:line="243" w:lineRule="auto"/>
        <w:rPr>
          <w:rFonts w:ascii="Arial"/>
          <w:sz w:val="21"/>
        </w:rPr>
      </w:pPr>
    </w:p>
    <w:p w14:paraId="28C24593">
      <w:pPr>
        <w:spacing w:line="243" w:lineRule="auto"/>
        <w:rPr>
          <w:rFonts w:ascii="Arial"/>
          <w:sz w:val="21"/>
        </w:rPr>
      </w:pPr>
    </w:p>
    <w:p w14:paraId="573CD114">
      <w:pPr>
        <w:spacing w:line="243" w:lineRule="auto"/>
        <w:rPr>
          <w:rFonts w:ascii="Arial"/>
          <w:sz w:val="21"/>
        </w:rPr>
      </w:pPr>
    </w:p>
    <w:p w14:paraId="761172FA">
      <w:pPr>
        <w:spacing w:line="243" w:lineRule="auto"/>
        <w:rPr>
          <w:rFonts w:ascii="Arial"/>
          <w:sz w:val="21"/>
        </w:rPr>
      </w:pPr>
    </w:p>
    <w:p w14:paraId="34293C43">
      <w:pPr>
        <w:spacing w:line="243" w:lineRule="auto"/>
        <w:rPr>
          <w:rFonts w:ascii="Arial"/>
          <w:sz w:val="21"/>
        </w:rPr>
      </w:pPr>
    </w:p>
    <w:p w14:paraId="7C875C23">
      <w:pPr>
        <w:spacing w:line="243" w:lineRule="auto"/>
        <w:rPr>
          <w:rFonts w:ascii="Arial"/>
          <w:sz w:val="21"/>
        </w:rPr>
      </w:pPr>
    </w:p>
    <w:p w14:paraId="7296E686">
      <w:pPr>
        <w:spacing w:line="243" w:lineRule="auto"/>
        <w:rPr>
          <w:rFonts w:ascii="Arial"/>
          <w:sz w:val="21"/>
        </w:rPr>
      </w:pPr>
    </w:p>
    <w:p w14:paraId="5C7A20AD">
      <w:pPr>
        <w:spacing w:line="243" w:lineRule="auto"/>
        <w:rPr>
          <w:rFonts w:ascii="Arial"/>
          <w:sz w:val="21"/>
        </w:rPr>
      </w:pPr>
    </w:p>
    <w:p w14:paraId="6C6F005A">
      <w:pPr>
        <w:spacing w:line="243" w:lineRule="auto"/>
        <w:rPr>
          <w:rFonts w:ascii="Arial"/>
          <w:sz w:val="21"/>
        </w:rPr>
      </w:pPr>
    </w:p>
    <w:p w14:paraId="01BEB972">
      <w:pPr>
        <w:spacing w:line="243" w:lineRule="auto"/>
        <w:rPr>
          <w:rFonts w:ascii="Arial"/>
          <w:sz w:val="21"/>
        </w:rPr>
      </w:pPr>
    </w:p>
    <w:p w14:paraId="4D8D48A6">
      <w:pPr>
        <w:pStyle w:val="5"/>
        <w:spacing w:before="117" w:line="230" w:lineRule="auto"/>
        <w:ind w:left="1975"/>
        <w:rPr>
          <w:sz w:val="31"/>
          <w:szCs w:val="31"/>
        </w:rPr>
      </w:pPr>
      <w:r>
        <w:rPr>
          <w:spacing w:val="6"/>
          <w:sz w:val="36"/>
          <w:szCs w:val="36"/>
        </w:rPr>
        <w:t>部门(单位)名称：</w:t>
      </w:r>
      <w:r>
        <w:rPr>
          <w:spacing w:val="54"/>
          <w:sz w:val="36"/>
          <w:szCs w:val="36"/>
        </w:rPr>
        <w:t xml:space="preserve">  </w:t>
      </w:r>
      <w:r>
        <w:rPr>
          <w:spacing w:val="-89"/>
          <w:position w:val="-2"/>
          <w:sz w:val="31"/>
          <w:szCs w:val="31"/>
          <w:u w:val="single" w:color="auto"/>
        </w:rPr>
        <w:t xml:space="preserve"> </w:t>
      </w:r>
      <w:r>
        <w:rPr>
          <w:spacing w:val="6"/>
          <w:position w:val="-2"/>
          <w:sz w:val="31"/>
          <w:szCs w:val="31"/>
          <w:u w:val="single" w:color="auto"/>
        </w:rPr>
        <w:t>(</w:t>
      </w:r>
      <w:r>
        <w:rPr>
          <w:spacing w:val="-45"/>
          <w:position w:val="-2"/>
          <w:sz w:val="31"/>
          <w:szCs w:val="31"/>
          <w:u w:val="single" w:color="auto"/>
        </w:rPr>
        <w:t xml:space="preserve"> </w:t>
      </w:r>
      <w:r>
        <w:rPr>
          <w:spacing w:val="6"/>
          <w:position w:val="-2"/>
          <w:sz w:val="31"/>
          <w:szCs w:val="31"/>
          <w:u w:val="single" w:color="auto"/>
        </w:rPr>
        <w:t>盖</w:t>
      </w:r>
      <w:r>
        <w:rPr>
          <w:spacing w:val="-51"/>
          <w:position w:val="-2"/>
          <w:sz w:val="31"/>
          <w:szCs w:val="31"/>
          <w:u w:val="single" w:color="auto"/>
        </w:rPr>
        <w:t xml:space="preserve"> </w:t>
      </w:r>
      <w:r>
        <w:rPr>
          <w:spacing w:val="6"/>
          <w:position w:val="-2"/>
          <w:sz w:val="31"/>
          <w:szCs w:val="31"/>
          <w:u w:val="single" w:color="auto"/>
        </w:rPr>
        <w:t>章</w:t>
      </w:r>
      <w:r>
        <w:rPr>
          <w:spacing w:val="-61"/>
          <w:position w:val="-2"/>
          <w:sz w:val="31"/>
          <w:szCs w:val="31"/>
          <w:u w:val="single" w:color="auto"/>
        </w:rPr>
        <w:t xml:space="preserve"> </w:t>
      </w:r>
      <w:r>
        <w:rPr>
          <w:spacing w:val="6"/>
          <w:position w:val="-2"/>
          <w:sz w:val="31"/>
          <w:szCs w:val="31"/>
          <w:u w:val="single" w:color="auto"/>
        </w:rPr>
        <w:t>)</w:t>
      </w:r>
    </w:p>
    <w:p w14:paraId="5AD3DF1E">
      <w:pPr>
        <w:spacing w:line="253" w:lineRule="auto"/>
        <w:rPr>
          <w:rFonts w:ascii="Arial"/>
          <w:sz w:val="21"/>
        </w:rPr>
      </w:pPr>
    </w:p>
    <w:p w14:paraId="4A622E2D">
      <w:pPr>
        <w:spacing w:line="254" w:lineRule="auto"/>
        <w:rPr>
          <w:rFonts w:ascii="Arial"/>
          <w:sz w:val="21"/>
        </w:rPr>
      </w:pPr>
    </w:p>
    <w:p w14:paraId="042D79F9">
      <w:pPr>
        <w:spacing w:line="254" w:lineRule="auto"/>
        <w:rPr>
          <w:rFonts w:ascii="Arial"/>
          <w:sz w:val="21"/>
        </w:rPr>
      </w:pPr>
    </w:p>
    <w:p w14:paraId="609709D5">
      <w:pPr>
        <w:pStyle w:val="5"/>
        <w:spacing w:before="101" w:line="222" w:lineRule="auto"/>
        <w:ind w:left="3085"/>
        <w:rPr>
          <w:sz w:val="31"/>
          <w:szCs w:val="31"/>
        </w:rPr>
      </w:pPr>
      <w:r>
        <w:rPr>
          <w:rFonts w:hint="eastAsia"/>
          <w:spacing w:val="-21"/>
          <w:sz w:val="31"/>
          <w:szCs w:val="31"/>
          <w:lang w:val="en-US" w:eastAsia="zh-CN"/>
        </w:rPr>
        <w:t xml:space="preserve">2024 </w:t>
      </w:r>
      <w:r>
        <w:rPr>
          <w:spacing w:val="-21"/>
          <w:sz w:val="31"/>
          <w:szCs w:val="31"/>
        </w:rPr>
        <w:t>年</w:t>
      </w:r>
      <w:r>
        <w:rPr>
          <w:spacing w:val="47"/>
          <w:sz w:val="31"/>
          <w:szCs w:val="31"/>
        </w:rPr>
        <w:t xml:space="preserve"> </w:t>
      </w:r>
      <w:r>
        <w:rPr>
          <w:rFonts w:hint="eastAsia"/>
          <w:spacing w:val="47"/>
          <w:sz w:val="31"/>
          <w:szCs w:val="31"/>
          <w:lang w:val="en-US" w:eastAsia="zh-CN"/>
        </w:rPr>
        <w:t>05</w:t>
      </w:r>
      <w:r>
        <w:rPr>
          <w:spacing w:val="47"/>
          <w:sz w:val="31"/>
          <w:szCs w:val="31"/>
        </w:rPr>
        <w:t xml:space="preserve"> </w:t>
      </w:r>
      <w:r>
        <w:rPr>
          <w:spacing w:val="-21"/>
          <w:sz w:val="31"/>
          <w:szCs w:val="31"/>
        </w:rPr>
        <w:t>月</w:t>
      </w:r>
      <w:r>
        <w:rPr>
          <w:spacing w:val="16"/>
          <w:sz w:val="31"/>
          <w:szCs w:val="31"/>
        </w:rPr>
        <w:t xml:space="preserve"> </w:t>
      </w:r>
      <w:r>
        <w:rPr>
          <w:rFonts w:hint="eastAsia"/>
          <w:spacing w:val="16"/>
          <w:sz w:val="31"/>
          <w:szCs w:val="31"/>
          <w:lang w:val="en-US" w:eastAsia="zh-CN"/>
        </w:rPr>
        <w:t>30</w:t>
      </w:r>
      <w:r>
        <w:rPr>
          <w:spacing w:val="16"/>
          <w:sz w:val="31"/>
          <w:szCs w:val="31"/>
        </w:rPr>
        <w:t xml:space="preserve"> </w:t>
      </w:r>
      <w:r>
        <w:rPr>
          <w:spacing w:val="-21"/>
          <w:sz w:val="31"/>
          <w:szCs w:val="31"/>
        </w:rPr>
        <w:t>日</w:t>
      </w:r>
    </w:p>
    <w:p w14:paraId="1FD6CF52">
      <w:pPr>
        <w:spacing w:line="260" w:lineRule="auto"/>
        <w:rPr>
          <w:rFonts w:ascii="Arial"/>
          <w:sz w:val="21"/>
        </w:rPr>
      </w:pPr>
    </w:p>
    <w:p w14:paraId="42734A47">
      <w:pPr>
        <w:spacing w:line="261" w:lineRule="auto"/>
        <w:rPr>
          <w:rFonts w:ascii="Arial"/>
          <w:sz w:val="21"/>
        </w:rPr>
      </w:pPr>
    </w:p>
    <w:p w14:paraId="4F5FE53F">
      <w:pPr>
        <w:spacing w:line="261" w:lineRule="auto"/>
        <w:rPr>
          <w:rFonts w:ascii="Arial"/>
          <w:sz w:val="21"/>
        </w:rPr>
      </w:pPr>
    </w:p>
    <w:p w14:paraId="70BD5787">
      <w:pPr>
        <w:pStyle w:val="5"/>
        <w:spacing w:before="101" w:line="224" w:lineRule="auto"/>
        <w:ind w:left="3545"/>
        <w:rPr>
          <w:sz w:val="31"/>
          <w:szCs w:val="31"/>
        </w:rPr>
      </w:pPr>
      <w:r>
        <w:rPr>
          <w:spacing w:val="17"/>
          <w:sz w:val="31"/>
          <w:szCs w:val="31"/>
        </w:rPr>
        <w:t>(此页为封面)</w:t>
      </w:r>
    </w:p>
    <w:p w14:paraId="39D9C951">
      <w:pPr>
        <w:spacing w:line="224" w:lineRule="auto"/>
        <w:rPr>
          <w:sz w:val="31"/>
          <w:szCs w:val="31"/>
        </w:rPr>
        <w:sectPr>
          <w:footerReference r:id="rId5" w:type="default"/>
          <w:pgSz w:w="12140" w:h="16990"/>
          <w:pgMar w:top="1444" w:right="1456" w:bottom="1508" w:left="1644" w:header="0" w:footer="1200" w:gutter="0"/>
          <w:pgNumType w:fmt="decimal"/>
          <w:cols w:space="720" w:num="1"/>
        </w:sectPr>
      </w:pPr>
    </w:p>
    <w:p w14:paraId="51FCDAEA">
      <w:pPr>
        <w:pStyle w:val="5"/>
        <w:spacing w:before="64" w:line="582" w:lineRule="exact"/>
        <w:jc w:val="center"/>
        <w:rPr>
          <w:rFonts w:hint="eastAsia" w:ascii="Times New Roman" w:hAnsi="Times New Roman" w:eastAsia="宋体" w:cs="Times New Roman"/>
          <w:b/>
          <w:bCs/>
          <w:spacing w:val="-8"/>
          <w:position w:val="20"/>
          <w:sz w:val="44"/>
          <w:szCs w:val="44"/>
          <w:lang w:val="en-US" w:eastAsia="zh-CN"/>
        </w:rPr>
      </w:pPr>
    </w:p>
    <w:p w14:paraId="5F9640B8">
      <w:pPr>
        <w:pStyle w:val="5"/>
        <w:spacing w:before="64" w:line="582" w:lineRule="exact"/>
        <w:jc w:val="center"/>
        <w:rPr>
          <w:rFonts w:hint="eastAsia" w:ascii="Times New Roman" w:hAnsi="Times New Roman" w:eastAsia="宋体" w:cs="Times New Roman"/>
          <w:b/>
          <w:bCs/>
          <w:spacing w:val="-8"/>
          <w:position w:val="20"/>
          <w:sz w:val="44"/>
          <w:szCs w:val="44"/>
          <w:lang w:val="en-US" w:eastAsia="zh-CN"/>
        </w:rPr>
      </w:pPr>
    </w:p>
    <w:p w14:paraId="60BA8612">
      <w:pPr>
        <w:spacing w:line="243" w:lineRule="auto"/>
        <w:jc w:val="center"/>
        <w:rPr>
          <w:rFonts w:hint="eastAsia" w:ascii="宋体" w:hAnsi="宋体" w:eastAsia="宋体" w:cs="宋体"/>
          <w:b/>
          <w:bCs/>
          <w:spacing w:val="-8"/>
          <w:position w:val="20"/>
          <w:sz w:val="44"/>
          <w:szCs w:val="44"/>
          <w:lang w:val="en-US" w:eastAsia="zh-CN"/>
        </w:rPr>
      </w:pPr>
      <w:r>
        <w:rPr>
          <w:rFonts w:hint="eastAsia" w:ascii="宋体" w:hAnsi="宋体" w:eastAsia="宋体" w:cs="宋体"/>
          <w:b/>
          <w:bCs/>
          <w:spacing w:val="-8"/>
          <w:position w:val="20"/>
          <w:sz w:val="44"/>
          <w:szCs w:val="44"/>
          <w:lang w:val="en-US" w:eastAsia="zh-CN"/>
        </w:rPr>
        <w:t>2023</w:t>
      </w:r>
      <w:r>
        <w:rPr>
          <w:rFonts w:hint="eastAsia" w:ascii="宋体" w:hAnsi="宋体" w:eastAsia="宋体" w:cs="宋体"/>
          <w:b/>
          <w:bCs/>
          <w:spacing w:val="-10"/>
          <w:position w:val="20"/>
          <w:sz w:val="44"/>
          <w:szCs w:val="44"/>
        </w:rPr>
        <w:t xml:space="preserve"> </w:t>
      </w:r>
      <w:r>
        <w:rPr>
          <w:rFonts w:hint="eastAsia" w:ascii="宋体" w:hAnsi="宋体" w:eastAsia="宋体" w:cs="宋体"/>
          <w:b/>
          <w:bCs/>
          <w:spacing w:val="-8"/>
          <w:position w:val="20"/>
          <w:sz w:val="44"/>
          <w:szCs w:val="44"/>
        </w:rPr>
        <w:t>年度</w:t>
      </w:r>
      <w:bookmarkStart w:id="0" w:name="_GoBack"/>
      <w:bookmarkEnd w:id="0"/>
      <w:r>
        <w:rPr>
          <w:rFonts w:hint="eastAsia" w:ascii="宋体" w:hAnsi="宋体" w:eastAsia="宋体" w:cs="宋体"/>
          <w:b/>
          <w:bCs/>
          <w:spacing w:val="-8"/>
          <w:position w:val="20"/>
          <w:sz w:val="44"/>
          <w:szCs w:val="44"/>
          <w:lang w:val="en-US" w:eastAsia="zh-CN"/>
        </w:rPr>
        <w:t>安化县高明乡卫生院</w:t>
      </w:r>
    </w:p>
    <w:p w14:paraId="690E05A8">
      <w:pPr>
        <w:pStyle w:val="5"/>
        <w:spacing w:before="64" w:line="582" w:lineRule="exact"/>
        <w:jc w:val="center"/>
        <w:rPr>
          <w:rFonts w:hint="eastAsia" w:ascii="宋体" w:hAnsi="宋体" w:eastAsia="宋体" w:cs="宋体"/>
          <w:b/>
          <w:bCs/>
          <w:sz w:val="44"/>
          <w:szCs w:val="44"/>
        </w:rPr>
      </w:pPr>
      <w:r>
        <w:rPr>
          <w:rFonts w:hint="eastAsia" w:ascii="宋体" w:hAnsi="宋体" w:eastAsia="宋体" w:cs="宋体"/>
          <w:b/>
          <w:bCs/>
          <w:spacing w:val="-8"/>
          <w:position w:val="20"/>
          <w:sz w:val="44"/>
          <w:szCs w:val="44"/>
        </w:rPr>
        <w:t>部门整体支出绩效自评报告</w:t>
      </w:r>
    </w:p>
    <w:p w14:paraId="6AB34F86">
      <w:pPr>
        <w:spacing w:line="335" w:lineRule="auto"/>
        <w:rPr>
          <w:rFonts w:ascii="Arial"/>
          <w:sz w:val="21"/>
        </w:rPr>
      </w:pPr>
    </w:p>
    <w:p w14:paraId="160AB36A">
      <w:pPr>
        <w:spacing w:line="336" w:lineRule="auto"/>
        <w:rPr>
          <w:rFonts w:ascii="Arial"/>
          <w:sz w:val="21"/>
        </w:rPr>
      </w:pPr>
    </w:p>
    <w:p w14:paraId="63238044">
      <w:pPr>
        <w:pStyle w:val="2"/>
        <w:rPr>
          <w:rFonts w:ascii="Arial"/>
          <w:sz w:val="21"/>
        </w:rPr>
      </w:pPr>
    </w:p>
    <w:p w14:paraId="7BC2BA61">
      <w:pPr>
        <w:rPr>
          <w:rFonts w:ascii="Arial"/>
          <w:sz w:val="21"/>
        </w:rPr>
      </w:pPr>
    </w:p>
    <w:p w14:paraId="1901A73B">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根据《中共湖南省委办公厅湖南省人民政府办公厅关于全面实施预算绩效管理的实施意见》(湘办发〔2019]10号)、《安化县关于全面实施预算绩效管理的实施意见》(安政发〔2022]19号)等有关文件精神，益阳市安化县财政局《关于开展 2023 年度预算部门支出绩效自评工作的通知》要求，为进一步规范财政资金管理，牢固树立预算绩效理念，强化部门支出责任，提高财政资金使用效益，我院高度重视，积极组织人员对2023年部门整体支出情况进行了清理，现将自评情况公开如下：</w:t>
      </w:r>
    </w:p>
    <w:p w14:paraId="1868AC12">
      <w:pPr>
        <w:pStyle w:val="2"/>
      </w:pPr>
    </w:p>
    <w:p w14:paraId="659119C0">
      <w:pPr>
        <w:spacing w:line="336" w:lineRule="auto"/>
        <w:rPr>
          <w:rFonts w:ascii="Arial"/>
          <w:sz w:val="21"/>
        </w:rPr>
      </w:pPr>
    </w:p>
    <w:p w14:paraId="285DB862">
      <w:pPr>
        <w:spacing w:before="101" w:line="221" w:lineRule="auto"/>
        <w:ind w:left="694"/>
        <w:outlineLvl w:val="0"/>
        <w:rPr>
          <w:rFonts w:hint="eastAsia" w:ascii="黑体" w:hAnsi="黑体" w:eastAsia="黑体" w:cs="黑体"/>
          <w:b/>
          <w:bCs/>
          <w:spacing w:val="-5"/>
          <w:sz w:val="36"/>
          <w:szCs w:val="36"/>
        </w:rPr>
      </w:pPr>
      <w:r>
        <w:rPr>
          <w:rFonts w:hint="eastAsia" w:ascii="黑体" w:hAnsi="黑体" w:eastAsia="黑体" w:cs="黑体"/>
          <w:b/>
          <w:bCs/>
          <w:spacing w:val="-5"/>
          <w:sz w:val="36"/>
          <w:szCs w:val="36"/>
        </w:rPr>
        <w:t>一</w:t>
      </w:r>
      <w:r>
        <w:rPr>
          <w:rFonts w:hint="eastAsia" w:ascii="黑体" w:hAnsi="黑体" w:eastAsia="黑体" w:cs="黑体"/>
          <w:b/>
          <w:bCs/>
          <w:spacing w:val="-83"/>
          <w:sz w:val="36"/>
          <w:szCs w:val="36"/>
        </w:rPr>
        <w:t xml:space="preserve"> </w:t>
      </w:r>
      <w:r>
        <w:rPr>
          <w:rFonts w:hint="eastAsia" w:ascii="黑体" w:hAnsi="黑体" w:eastAsia="黑体" w:cs="黑体"/>
          <w:b/>
          <w:bCs/>
          <w:spacing w:val="-5"/>
          <w:sz w:val="36"/>
          <w:szCs w:val="36"/>
        </w:rPr>
        <w:t>、部门概况</w:t>
      </w:r>
    </w:p>
    <w:p w14:paraId="2DC3E25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803" w:firstLineChars="200"/>
        <w:jc w:val="both"/>
        <w:textAlignment w:val="baseline"/>
        <w:rPr>
          <w:rFonts w:hint="eastAsia" w:ascii="宋体" w:hAnsi="宋体" w:eastAsia="宋体" w:cs="宋体"/>
          <w:b/>
          <w:bCs/>
          <w:snapToGrid w:val="0"/>
          <w:color w:val="000000"/>
          <w:spacing w:val="20"/>
          <w:kern w:val="0"/>
          <w:sz w:val="36"/>
          <w:szCs w:val="36"/>
          <w:lang w:val="en-US" w:eastAsia="zh-CN" w:bidi="ar-SA"/>
        </w:rPr>
      </w:pPr>
      <w:r>
        <w:rPr>
          <w:rFonts w:hint="eastAsia" w:ascii="宋体" w:hAnsi="宋体" w:eastAsia="宋体" w:cs="宋体"/>
          <w:b/>
          <w:bCs/>
          <w:snapToGrid w:val="0"/>
          <w:color w:val="000000"/>
          <w:spacing w:val="20"/>
          <w:kern w:val="0"/>
          <w:sz w:val="36"/>
          <w:szCs w:val="36"/>
          <w:lang w:val="en-US" w:eastAsia="zh-CN" w:bidi="ar-SA"/>
        </w:rPr>
        <w:t>(一)机构设置</w:t>
      </w:r>
    </w:p>
    <w:p w14:paraId="67E0BE3F">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根据编委核定，我院内设科室12个，全部纳入2023年部门预算编制范围。 </w:t>
      </w:r>
    </w:p>
    <w:p w14:paraId="0E96675A">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内设机构包括：公卫办、门诊部、住院部、中医馆、中西药房、放射科、B超室、心电图、化验室、医保办、政工财务室、院务办公室。</w:t>
      </w:r>
    </w:p>
    <w:p w14:paraId="4C6C15C8">
      <w:pPr>
        <w:pStyle w:val="10"/>
      </w:pPr>
    </w:p>
    <w:p w14:paraId="46C86FB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803" w:firstLineChars="200"/>
        <w:jc w:val="both"/>
        <w:textAlignment w:val="baseline"/>
        <w:rPr>
          <w:rFonts w:hint="eastAsia" w:ascii="宋体" w:hAnsi="宋体" w:eastAsia="宋体" w:cs="宋体"/>
          <w:b/>
          <w:bCs/>
          <w:snapToGrid w:val="0"/>
          <w:color w:val="000000"/>
          <w:spacing w:val="20"/>
          <w:kern w:val="0"/>
          <w:sz w:val="36"/>
          <w:szCs w:val="36"/>
          <w:lang w:val="en-US" w:eastAsia="zh-CN" w:bidi="ar-SA"/>
        </w:rPr>
      </w:pPr>
      <w:r>
        <w:rPr>
          <w:rFonts w:hint="eastAsia" w:ascii="宋体" w:hAnsi="宋体" w:eastAsia="宋体" w:cs="宋体"/>
          <w:b/>
          <w:bCs/>
          <w:snapToGrid w:val="0"/>
          <w:color w:val="000000"/>
          <w:spacing w:val="20"/>
          <w:kern w:val="0"/>
          <w:sz w:val="36"/>
          <w:szCs w:val="36"/>
          <w:lang w:val="en-US" w:eastAsia="zh-CN" w:bidi="ar-SA"/>
        </w:rPr>
        <w:t>（二）部门职能</w:t>
      </w:r>
    </w:p>
    <w:p w14:paraId="550216D4">
      <w:pPr>
        <w:keepNext w:val="0"/>
        <w:keepLines w:val="0"/>
        <w:pageBreakBefore w:val="0"/>
        <w:widowControl/>
        <w:kinsoku/>
        <w:wordWrap/>
        <w:overflowPunct/>
        <w:topLinePunct w:val="0"/>
        <w:autoSpaceDE/>
        <w:autoSpaceDN/>
        <w:bidi w:val="0"/>
        <w:adjustRightInd/>
        <w:snapToGrid/>
        <w:spacing w:line="560" w:lineRule="exact"/>
        <w:ind w:firstLine="723" w:firstLineChars="200"/>
        <w:jc w:val="both"/>
        <w:textAlignment w:val="baseline"/>
        <w:rPr>
          <w:rFonts w:hint="eastAsia"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w:t>
      </w:r>
      <w:r>
        <w:rPr>
          <w:rFonts w:hint="eastAsia" w:ascii="微软雅黑" w:hAnsi="微软雅黑" w:eastAsia="微软雅黑" w:cs="微软雅黑"/>
          <w:b/>
          <w:bCs/>
          <w:snapToGrid w:val="0"/>
          <w:color w:val="000000"/>
          <w:spacing w:val="20"/>
          <w:kern w:val="0"/>
          <w:sz w:val="32"/>
          <w:szCs w:val="32"/>
          <w:lang w:val="en-US" w:eastAsia="zh-CN" w:bidi="ar-SA"/>
        </w:rPr>
        <w:t>Ⅰ</w:t>
      </w:r>
      <w:r>
        <w:rPr>
          <w:rFonts w:hint="eastAsia" w:ascii="宋体" w:hAnsi="宋体" w:eastAsia="宋体" w:cs="宋体"/>
          <w:b/>
          <w:bCs/>
          <w:snapToGrid w:val="0"/>
          <w:color w:val="000000"/>
          <w:spacing w:val="20"/>
          <w:kern w:val="0"/>
          <w:sz w:val="32"/>
          <w:szCs w:val="32"/>
          <w:lang w:val="en-US" w:eastAsia="zh-CN" w:bidi="ar-SA"/>
        </w:rPr>
        <w:t>）提供公共卫生服务</w:t>
      </w:r>
    </w:p>
    <w:p w14:paraId="64EE1CC1">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（1）落实农村居民健康档案管理及服务。</w:t>
      </w:r>
    </w:p>
    <w:p w14:paraId="312ECFA5">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（2）普及卫生保健常识，实施重点人群及重点场所健康教育。</w:t>
      </w:r>
    </w:p>
    <w:p w14:paraId="087BC19E">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（3）规范预防接种服务，执行国家免疫规划。</w:t>
      </w:r>
    </w:p>
    <w:p w14:paraId="65F6B178">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（4）及时发现、登记并报告辖区内发现的传染病病例和疑似病例，参与现场疫情处理。</w:t>
      </w:r>
    </w:p>
    <w:p w14:paraId="033C3B56">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（5）开展新生儿访视及儿童保健系统管理，进行体格检查和生长发育监测及评价，开展健康指导。</w:t>
      </w:r>
    </w:p>
    <w:p w14:paraId="1B032555">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（6）开展孕产妇保健系统管理和产后随访，进行一般体格检查及孕期营养，心理健康指导。</w:t>
      </w:r>
    </w:p>
    <w:p w14:paraId="1E728093">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（7）对辖区内65岁及以上老年人进行登记管理，进行健康危险因素调查和一般体格检查，开展健康指导。</w:t>
      </w:r>
    </w:p>
    <w:p w14:paraId="07E7D9BD">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（8）对高血压、糖尿病、肺结核等慢性病高危人群进行指导，对确诊高血压、糖尿病等慢性病病例进行登记管理、定期随访和健康指导。</w:t>
      </w:r>
    </w:p>
    <w:p w14:paraId="68EB1255">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（9）对辖区内重性精神疾病患者进行登记管理、治疗随访和康复指导。</w:t>
      </w:r>
    </w:p>
    <w:p w14:paraId="40BD384B">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（10）协助处理辖区内突发公共卫生事件。</w:t>
      </w:r>
    </w:p>
    <w:p w14:paraId="5552AF9E">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（11）接受县疾控中心和县卫健局委托，对辖区内传染病防治、学校卫生、食品卫生、饮水卫生、职业卫生、以及村级预防保健工作进行指导、培训、考核与监督。</w:t>
      </w:r>
    </w:p>
    <w:p w14:paraId="0229745F">
      <w:pPr>
        <w:keepNext w:val="0"/>
        <w:keepLines w:val="0"/>
        <w:pageBreakBefore w:val="0"/>
        <w:widowControl/>
        <w:kinsoku/>
        <w:wordWrap/>
        <w:overflowPunct/>
        <w:topLinePunct w:val="0"/>
        <w:autoSpaceDE/>
        <w:autoSpaceDN/>
        <w:bidi w:val="0"/>
        <w:adjustRightInd/>
        <w:snapToGrid/>
        <w:spacing w:line="560" w:lineRule="exact"/>
        <w:ind w:firstLine="723" w:firstLineChars="200"/>
        <w:jc w:val="both"/>
        <w:textAlignment w:val="baseline"/>
        <w:rPr>
          <w:rFonts w:hint="eastAsia"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（Ⅱ）提供基本医疗服务</w:t>
      </w:r>
    </w:p>
    <w:p w14:paraId="3B288410">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（1）使用适宜医疗技术和中医药技术正确处理常见病、多发病，对疑难病症进行恰当的处理与转诊。承担乡村现场应急救护、转诊服务和康复服务。</w:t>
      </w:r>
    </w:p>
    <w:p w14:paraId="57808E84">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（2）临床科室重点设置门急诊部、住院部、预防接种室、妇幼保健、儿保室、中医馆等加强急诊急救等建设。</w:t>
      </w:r>
    </w:p>
    <w:p w14:paraId="6BFB615D">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（3）健全消毒隔离制度，遵守无菌操作规程，加强医疗质量管理。做好医疗废物处理和污水污物无害处理。</w:t>
      </w:r>
    </w:p>
    <w:p w14:paraId="43E214CA">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（4）认真执行国家基本药物制度，执行药品集中采集和统一配送政策，实行药品零差率销售。</w:t>
      </w:r>
    </w:p>
    <w:p w14:paraId="485C8B1D">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（5）政府有关部门批准的其他适宜的医疗服务。</w:t>
      </w:r>
    </w:p>
    <w:p w14:paraId="5FE12ADC">
      <w:pPr>
        <w:keepNext w:val="0"/>
        <w:keepLines w:val="0"/>
        <w:pageBreakBefore w:val="0"/>
        <w:widowControl/>
        <w:kinsoku/>
        <w:wordWrap/>
        <w:overflowPunct/>
        <w:topLinePunct w:val="0"/>
        <w:autoSpaceDE/>
        <w:autoSpaceDN/>
        <w:bidi w:val="0"/>
        <w:adjustRightInd/>
        <w:snapToGrid/>
        <w:spacing w:line="560" w:lineRule="exact"/>
        <w:ind w:firstLine="723" w:firstLineChars="200"/>
        <w:jc w:val="both"/>
        <w:textAlignment w:val="baseline"/>
        <w:rPr>
          <w:rFonts w:hint="eastAsia"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w:t>
      </w:r>
      <w:r>
        <w:rPr>
          <w:rFonts w:hint="eastAsia" w:ascii="微软雅黑" w:hAnsi="微软雅黑" w:eastAsia="微软雅黑" w:cs="微软雅黑"/>
          <w:b/>
          <w:bCs/>
          <w:snapToGrid w:val="0"/>
          <w:color w:val="000000"/>
          <w:spacing w:val="20"/>
          <w:kern w:val="0"/>
          <w:sz w:val="32"/>
          <w:szCs w:val="32"/>
          <w:lang w:val="en-US" w:eastAsia="zh-CN" w:bidi="ar-SA"/>
        </w:rPr>
        <w:t>Ⅲ</w:t>
      </w:r>
      <w:r>
        <w:rPr>
          <w:rFonts w:hint="eastAsia" w:ascii="宋体" w:hAnsi="宋体" w:eastAsia="宋体" w:cs="宋体"/>
          <w:b/>
          <w:bCs/>
          <w:snapToGrid w:val="0"/>
          <w:color w:val="000000"/>
          <w:spacing w:val="20"/>
          <w:kern w:val="0"/>
          <w:sz w:val="32"/>
          <w:szCs w:val="32"/>
          <w:lang w:val="en-US" w:eastAsia="zh-CN" w:bidi="ar-SA"/>
        </w:rPr>
        <w:t>）其它职能</w:t>
      </w:r>
    </w:p>
    <w:p w14:paraId="7F6E202E">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（1）严格执行城乡医保政策规定，履行定点医疗机构职责，做好有关的政策宣传、监督及服务工作。</w:t>
      </w:r>
    </w:p>
    <w:p w14:paraId="2C013903">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（2）深入推进乡村卫生服务一体化管理，强化乡镇卫生院对村卫生室的管理职能，负责村卫生室的技术指导和乡村医生培训、考核等工作。</w:t>
      </w:r>
    </w:p>
    <w:p w14:paraId="1053F42D">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（3）充分发挥中医药特色优势，在公共卫生和基本医疗中提供相关的中医药服务。</w:t>
      </w:r>
    </w:p>
    <w:p w14:paraId="2BB4B5CC">
      <w:pPr>
        <w:pStyle w:val="10"/>
        <w:ind w:left="0" w:leftChars="0" w:firstLine="0" w:firstLineChars="0"/>
        <w:rPr>
          <w:rFonts w:hint="eastAsia" w:ascii="宋体" w:hAnsi="宋体" w:eastAsia="宋体" w:cs="宋体"/>
          <w:snapToGrid w:val="0"/>
          <w:color w:val="000000"/>
          <w:spacing w:val="20"/>
          <w:kern w:val="0"/>
          <w:sz w:val="32"/>
          <w:szCs w:val="32"/>
          <w:lang w:val="en-US" w:eastAsia="zh-CN" w:bidi="ar-SA"/>
        </w:rPr>
      </w:pPr>
    </w:p>
    <w:p w14:paraId="6F3DA7D9">
      <w:pPr>
        <w:numPr>
          <w:ilvl w:val="0"/>
          <w:numId w:val="1"/>
        </w:numPr>
        <w:spacing w:before="101" w:line="221" w:lineRule="auto"/>
        <w:ind w:firstLine="623" w:firstLineChars="200"/>
        <w:outlineLvl w:val="0"/>
        <w:rPr>
          <w:rFonts w:hint="eastAsia" w:ascii="宋体" w:hAnsi="宋体" w:eastAsia="宋体" w:cs="宋体"/>
          <w:b/>
          <w:bCs/>
          <w:spacing w:val="-5"/>
          <w:sz w:val="32"/>
          <w:szCs w:val="32"/>
          <w:lang w:val="en-US" w:eastAsia="zh-CN"/>
        </w:rPr>
      </w:pPr>
      <w:r>
        <w:rPr>
          <w:rFonts w:hint="eastAsia" w:ascii="宋体" w:hAnsi="宋体" w:eastAsia="宋体" w:cs="宋体"/>
          <w:b/>
          <w:bCs/>
          <w:spacing w:val="-5"/>
          <w:sz w:val="32"/>
          <w:szCs w:val="32"/>
          <w:lang w:val="en-US" w:eastAsia="zh-CN"/>
        </w:rPr>
        <w:t>年度总体工作和重点工作任务</w:t>
      </w:r>
    </w:p>
    <w:p w14:paraId="2AB4E044">
      <w:pPr>
        <w:pStyle w:val="2"/>
        <w:rPr>
          <w:rFonts w:hint="eastAsia"/>
          <w:lang w:val="en-US" w:eastAsia="zh-CN"/>
        </w:rPr>
      </w:pPr>
    </w:p>
    <w:p w14:paraId="367C06FB">
      <w:pPr>
        <w:keepNext w:val="0"/>
        <w:keepLines w:val="0"/>
        <w:pageBreakBefore w:val="0"/>
        <w:numPr>
          <w:ilvl w:val="0"/>
          <w:numId w:val="0"/>
        </w:numPr>
        <w:kinsoku/>
        <w:wordWrap/>
        <w:overflowPunct/>
        <w:topLinePunct w:val="0"/>
        <w:autoSpaceDE/>
        <w:autoSpaceDN/>
        <w:bidi w:val="0"/>
        <w:adjustRightInd/>
        <w:snapToGrid/>
        <w:spacing w:line="240" w:lineRule="auto"/>
        <w:ind w:right="0" w:rightChars="0" w:firstLine="643" w:firstLineChars="200"/>
        <w:jc w:val="left"/>
        <w:textAlignment w:val="auto"/>
        <w:outlineLvl w:val="9"/>
        <w:rPr>
          <w:rFonts w:hint="eastAsia" w:ascii="宋体" w:hAnsi="宋体" w:eastAsia="宋体" w:cs="宋体"/>
          <w:b/>
          <w:bCs/>
          <w:color w:val="000000"/>
          <w:kern w:val="0"/>
          <w:sz w:val="32"/>
          <w:szCs w:val="32"/>
          <w:lang w:val="en-US"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1</w:t>
      </w: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全面推行6S管理，提升我院整体形象</w:t>
      </w:r>
    </w:p>
    <w:p w14:paraId="7C98B9FA">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宋体" w:hAnsi="宋体" w:eastAsia="宋体" w:cs="宋体"/>
          <w:b/>
          <w:bCs/>
          <w:color w:val="000000"/>
          <w:kern w:val="0"/>
          <w:sz w:val="32"/>
          <w:szCs w:val="32"/>
          <w:lang w:val="en-US"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2</w:t>
      </w: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狠抓医疗质量与安全医疗</w:t>
      </w:r>
    </w:p>
    <w:p w14:paraId="3B2B29F4">
      <w:pPr>
        <w:keepNext w:val="0"/>
        <w:keepLines w:val="0"/>
        <w:pageBreakBefore w:val="0"/>
        <w:kinsoku/>
        <w:wordWrap/>
        <w:overflowPunct/>
        <w:topLinePunct w:val="0"/>
        <w:autoSpaceDE/>
        <w:autoSpaceDN/>
        <w:bidi w:val="0"/>
        <w:adjustRightInd/>
        <w:snapToGrid/>
        <w:spacing w:line="580" w:lineRule="exact"/>
        <w:ind w:left="319" w:leftChars="152" w:firstLine="321" w:firstLineChars="100"/>
        <w:textAlignment w:val="auto"/>
        <w:rPr>
          <w:rFonts w:hint="eastAsia" w:ascii="宋体" w:hAnsi="宋体" w:eastAsia="宋体" w:cs="宋体"/>
          <w:b/>
          <w:bCs/>
          <w:color w:val="000000"/>
          <w:kern w:val="0"/>
          <w:sz w:val="32"/>
          <w:szCs w:val="32"/>
          <w:lang w:val="en-US"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3</w:t>
      </w: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强化基本公共卫生服务执行力度</w:t>
      </w:r>
    </w:p>
    <w:p w14:paraId="17253250">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宋体" w:hAnsi="宋体" w:eastAsia="宋体" w:cs="宋体"/>
          <w:b/>
          <w:bCs/>
          <w:color w:val="000000"/>
          <w:kern w:val="0"/>
          <w:sz w:val="32"/>
          <w:szCs w:val="32"/>
          <w:lang w:val="en"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4</w:t>
      </w: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强化医疗保障工作，促进工作</w:t>
      </w:r>
      <w:r>
        <w:rPr>
          <w:rFonts w:hint="eastAsia" w:ascii="宋体" w:hAnsi="宋体" w:eastAsia="宋体" w:cs="宋体"/>
          <w:b/>
          <w:bCs/>
          <w:color w:val="000000"/>
          <w:kern w:val="0"/>
          <w:sz w:val="32"/>
          <w:szCs w:val="32"/>
          <w:lang w:val="en" w:eastAsia="zh-CN" w:bidi="ar-SA"/>
        </w:rPr>
        <w:t>稳步开展</w:t>
      </w:r>
    </w:p>
    <w:p w14:paraId="555062CA">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宋体" w:hAnsi="宋体" w:eastAsia="宋体" w:cs="宋体"/>
          <w:b/>
          <w:bCs/>
          <w:color w:val="000000"/>
          <w:kern w:val="0"/>
          <w:sz w:val="32"/>
          <w:szCs w:val="32"/>
          <w:lang w:val="en"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5</w:t>
      </w:r>
      <w:r>
        <w:rPr>
          <w:rFonts w:hint="eastAsia" w:ascii="宋体" w:hAnsi="宋体" w:eastAsia="宋体" w:cs="宋体"/>
          <w:b/>
          <w:bCs/>
          <w:color w:val="000000"/>
          <w:kern w:val="0"/>
          <w:sz w:val="32"/>
          <w:szCs w:val="32"/>
          <w:lang w:val="en" w:eastAsia="zh-CN" w:bidi="ar-SA"/>
        </w:rPr>
        <w:t xml:space="preserve">）严格执行医改政策，完善基本药物制度 </w:t>
      </w:r>
    </w:p>
    <w:p w14:paraId="7458D459">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宋体" w:hAnsi="宋体" w:eastAsia="宋体" w:cs="宋体"/>
          <w:b/>
          <w:bCs/>
          <w:color w:val="000000"/>
          <w:kern w:val="0"/>
          <w:sz w:val="32"/>
          <w:szCs w:val="32"/>
          <w:lang w:val="en"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6</w:t>
      </w:r>
      <w:r>
        <w:rPr>
          <w:rFonts w:hint="eastAsia" w:ascii="宋体" w:hAnsi="宋体" w:eastAsia="宋体" w:cs="宋体"/>
          <w:b/>
          <w:bCs/>
          <w:color w:val="000000"/>
          <w:kern w:val="0"/>
          <w:sz w:val="32"/>
          <w:szCs w:val="32"/>
          <w:lang w:val="en" w:eastAsia="zh-CN" w:bidi="ar-SA"/>
        </w:rPr>
        <w:t>）全面抓好党建各项工作，落实党建责任</w:t>
      </w:r>
    </w:p>
    <w:p w14:paraId="39B176A6">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宋体" w:hAnsi="宋体" w:eastAsia="宋体" w:cs="宋体"/>
          <w:b/>
          <w:bCs/>
          <w:color w:val="000000"/>
          <w:kern w:val="0"/>
          <w:sz w:val="32"/>
          <w:szCs w:val="32"/>
          <w:lang w:val="en"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7</w:t>
      </w: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全力做好乡村振兴各项工作</w:t>
      </w:r>
    </w:p>
    <w:p w14:paraId="632A3E85">
      <w:pPr>
        <w:pStyle w:val="10"/>
        <w:ind w:left="0" w:leftChars="0" w:firstLine="0" w:firstLineChars="0"/>
        <w:rPr>
          <w:sz w:val="31"/>
          <w:szCs w:val="31"/>
        </w:rPr>
      </w:pPr>
    </w:p>
    <w:p w14:paraId="7780643A">
      <w:pPr>
        <w:pStyle w:val="10"/>
        <w:ind w:left="0" w:leftChars="0" w:firstLine="0" w:firstLineChars="0"/>
        <w:rPr>
          <w:sz w:val="31"/>
          <w:szCs w:val="31"/>
        </w:rPr>
      </w:pPr>
    </w:p>
    <w:p w14:paraId="7733DA79">
      <w:pPr>
        <w:spacing w:before="194" w:line="221" w:lineRule="auto"/>
        <w:ind w:left="694"/>
        <w:outlineLvl w:val="0"/>
        <w:rPr>
          <w:rFonts w:hint="eastAsia" w:ascii="黑体" w:hAnsi="黑体" w:eastAsia="黑体" w:cs="黑体"/>
          <w:sz w:val="36"/>
          <w:szCs w:val="36"/>
        </w:rPr>
      </w:pPr>
      <w:r>
        <w:rPr>
          <w:rFonts w:hint="eastAsia" w:ascii="黑体" w:hAnsi="黑体" w:eastAsia="黑体" w:cs="黑体"/>
          <w:b/>
          <w:bCs/>
          <w:spacing w:val="-2"/>
          <w:sz w:val="36"/>
          <w:szCs w:val="36"/>
        </w:rPr>
        <w:t>二、</w:t>
      </w:r>
      <w:r>
        <w:rPr>
          <w:rFonts w:hint="eastAsia" w:ascii="黑体" w:hAnsi="黑体" w:eastAsia="黑体" w:cs="黑体"/>
          <w:spacing w:val="-68"/>
          <w:sz w:val="36"/>
          <w:szCs w:val="36"/>
        </w:rPr>
        <w:t xml:space="preserve"> </w:t>
      </w:r>
      <w:r>
        <w:rPr>
          <w:rFonts w:hint="eastAsia" w:ascii="黑体" w:hAnsi="黑体" w:eastAsia="黑体" w:cs="黑体"/>
          <w:b/>
          <w:bCs/>
          <w:spacing w:val="-2"/>
          <w:sz w:val="36"/>
          <w:szCs w:val="36"/>
        </w:rPr>
        <w:t>一般公共预算支出情况</w:t>
      </w:r>
    </w:p>
    <w:p w14:paraId="7E624707">
      <w:pPr>
        <w:spacing w:before="194" w:line="221" w:lineRule="auto"/>
        <w:ind w:left="694"/>
        <w:outlineLvl w:val="0"/>
        <w:rPr>
          <w:rFonts w:hint="eastAsia" w:ascii="宋体" w:hAnsi="宋体" w:eastAsia="宋体" w:cs="宋体"/>
          <w:b/>
          <w:bCs/>
          <w:spacing w:val="-2"/>
          <w:sz w:val="32"/>
          <w:szCs w:val="32"/>
          <w:lang w:val="en-US" w:eastAsia="zh-CN"/>
        </w:rPr>
      </w:pPr>
      <w:r>
        <w:rPr>
          <w:rFonts w:hint="eastAsia" w:ascii="宋体" w:hAnsi="宋体" w:eastAsia="宋体" w:cs="宋体"/>
          <w:b/>
          <w:bCs/>
          <w:spacing w:val="-2"/>
          <w:sz w:val="32"/>
          <w:szCs w:val="32"/>
          <w:lang w:val="en-US" w:eastAsia="zh-CN"/>
        </w:rPr>
        <w:t>(一）基本支出安排及使用情况</w:t>
      </w:r>
    </w:p>
    <w:p w14:paraId="1B269E1F">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我院2023年度基本支出整体状况良好，总支出542.7万元（其中：财政拨款支出297.49万元），全部根据预算制度规范执行。其中人员经费188.51万元，主要用于人员的基本工资、津补贴、绩效工资、基本养老保险缴费、职业年金缴费、其他社会保障缴费、住房公积金、其他工资福利支出、其他对个人和家庭的补助支出等。日常公用经费354.19万元，主要用于单位办公费、印刷费、电费、差旅费、维修费、专用材料费、劳务费、培训费、工会经费、福利费、其他交通费、其他商品和服务支出支出。</w:t>
      </w:r>
    </w:p>
    <w:p w14:paraId="1A4CFD13">
      <w:pPr>
        <w:rPr>
          <w:rFonts w:hint="eastAsia" w:ascii="宋体" w:hAnsi="宋体" w:eastAsia="宋体" w:cs="宋体"/>
          <w:color w:val="FF0000"/>
          <w:sz w:val="32"/>
          <w:szCs w:val="32"/>
        </w:rPr>
      </w:pPr>
    </w:p>
    <w:p w14:paraId="484C594E">
      <w:pPr>
        <w:spacing w:before="194" w:line="221" w:lineRule="auto"/>
        <w:ind w:left="694"/>
        <w:outlineLvl w:val="0"/>
        <w:rPr>
          <w:rFonts w:hint="eastAsia" w:ascii="宋体" w:hAnsi="宋体" w:eastAsia="宋体" w:cs="宋体"/>
          <w:b/>
          <w:bCs/>
          <w:spacing w:val="-2"/>
          <w:sz w:val="32"/>
          <w:szCs w:val="32"/>
          <w:lang w:val="en-US" w:eastAsia="zh-CN"/>
        </w:rPr>
      </w:pPr>
      <w:r>
        <w:rPr>
          <w:rFonts w:hint="eastAsia" w:ascii="宋体" w:hAnsi="宋体" w:eastAsia="宋体" w:cs="宋体"/>
          <w:b/>
          <w:bCs/>
          <w:spacing w:val="-2"/>
          <w:sz w:val="32"/>
          <w:szCs w:val="32"/>
          <w:lang w:val="en-US" w:eastAsia="zh-CN"/>
        </w:rPr>
        <w:t>（二）项目支出安排及使用情况</w:t>
      </w:r>
    </w:p>
    <w:p w14:paraId="6F4BF009">
      <w:pPr>
        <w:spacing w:before="194" w:line="221" w:lineRule="auto"/>
        <w:ind w:left="694" w:firstLine="317" w:firstLineChars="100"/>
        <w:outlineLvl w:val="0"/>
        <w:rPr>
          <w:rFonts w:hint="eastAsia" w:ascii="宋体" w:hAnsi="宋体" w:eastAsia="宋体" w:cs="宋体"/>
          <w:b/>
          <w:bCs/>
          <w:spacing w:val="-2"/>
          <w:sz w:val="32"/>
          <w:szCs w:val="32"/>
          <w:lang w:val="en-US" w:eastAsia="zh-CN"/>
        </w:rPr>
      </w:pPr>
      <w:r>
        <w:rPr>
          <w:rFonts w:hint="eastAsia" w:ascii="宋体" w:hAnsi="宋体" w:eastAsia="宋体" w:cs="宋体"/>
          <w:b/>
          <w:bCs/>
          <w:spacing w:val="-2"/>
          <w:sz w:val="32"/>
          <w:szCs w:val="32"/>
          <w:lang w:val="en-US" w:eastAsia="zh-CN"/>
        </w:rPr>
        <w:t>无</w:t>
      </w:r>
    </w:p>
    <w:p w14:paraId="6B180E17">
      <w:pPr>
        <w:spacing w:before="194" w:line="221" w:lineRule="auto"/>
        <w:ind w:left="694"/>
        <w:outlineLvl w:val="0"/>
        <w:rPr>
          <w:rFonts w:hint="eastAsia" w:ascii="宋体" w:hAnsi="宋体" w:eastAsia="宋体" w:cs="宋体"/>
          <w:b/>
          <w:bCs/>
          <w:spacing w:val="-2"/>
          <w:sz w:val="32"/>
          <w:szCs w:val="32"/>
          <w:lang w:val="en-US" w:eastAsia="zh-CN"/>
        </w:rPr>
      </w:pPr>
    </w:p>
    <w:p w14:paraId="5F76EF27">
      <w:pPr>
        <w:spacing w:before="194" w:line="221" w:lineRule="auto"/>
        <w:ind w:left="694"/>
        <w:outlineLvl w:val="0"/>
        <w:rPr>
          <w:rFonts w:hint="eastAsia" w:ascii="黑体" w:hAnsi="黑体" w:eastAsia="黑体" w:cs="黑体"/>
          <w:b/>
          <w:bCs/>
          <w:spacing w:val="-2"/>
          <w:sz w:val="36"/>
          <w:szCs w:val="36"/>
        </w:rPr>
      </w:pPr>
      <w:r>
        <w:rPr>
          <w:rFonts w:hint="eastAsia" w:ascii="黑体" w:hAnsi="黑体" w:eastAsia="黑体" w:cs="黑体"/>
          <w:b/>
          <w:bCs/>
          <w:spacing w:val="-2"/>
          <w:sz w:val="36"/>
          <w:szCs w:val="36"/>
          <w:lang w:val="en-US" w:eastAsia="zh-CN"/>
        </w:rPr>
        <w:t>三、</w:t>
      </w:r>
      <w:r>
        <w:rPr>
          <w:rFonts w:hint="eastAsia" w:ascii="黑体" w:hAnsi="黑体" w:eastAsia="黑体" w:cs="黑体"/>
          <w:b/>
          <w:bCs/>
          <w:spacing w:val="-2"/>
          <w:sz w:val="36"/>
          <w:szCs w:val="36"/>
        </w:rPr>
        <w:t>部门整体支出绩效情况</w:t>
      </w:r>
    </w:p>
    <w:p w14:paraId="481FF655">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本部门履职及履职效益情况良好，在资金使用上一直按照国家财经法规和本部门财务管理制度规定以及有关专项资金管理办法的规定收支，资金拨付有完整的审批程序和手续，按照财经制度的有关要求，有计划地安排、使用资金，严格财务审批制度保证资金使用合法合规，同时资金使用无截留、挤占、挪用、虚列支出等情况。</w:t>
      </w:r>
    </w:p>
    <w:p w14:paraId="752BE07D">
      <w:pPr>
        <w:keepNext w:val="0"/>
        <w:keepLines w:val="0"/>
        <w:pageBreakBefore w:val="0"/>
        <w:numPr>
          <w:ilvl w:val="0"/>
          <w:numId w:val="0"/>
        </w:numPr>
        <w:kinsoku/>
        <w:wordWrap/>
        <w:overflowPunct/>
        <w:topLinePunct w:val="0"/>
        <w:autoSpaceDE/>
        <w:autoSpaceDN/>
        <w:bidi w:val="0"/>
        <w:adjustRightInd/>
        <w:snapToGrid/>
        <w:spacing w:line="240" w:lineRule="auto"/>
        <w:ind w:leftChars="200" w:right="0" w:rightChars="0" w:firstLine="321" w:firstLineChars="100"/>
        <w:jc w:val="left"/>
        <w:textAlignment w:val="auto"/>
        <w:outlineLvl w:val="9"/>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（一）</w:t>
      </w:r>
      <w:r>
        <w:rPr>
          <w:rFonts w:hint="eastAsia" w:ascii="宋体" w:hAnsi="宋体" w:eastAsia="宋体" w:cs="宋体"/>
          <w:b/>
          <w:bCs/>
          <w:i w:val="0"/>
          <w:caps w:val="0"/>
          <w:color w:val="auto"/>
          <w:spacing w:val="0"/>
          <w:sz w:val="32"/>
          <w:szCs w:val="32"/>
          <w:lang w:eastAsia="zh-CN"/>
        </w:rPr>
        <w:t>全面推行</w:t>
      </w:r>
      <w:r>
        <w:rPr>
          <w:rFonts w:hint="eastAsia" w:ascii="宋体" w:hAnsi="宋体" w:eastAsia="宋体" w:cs="宋体"/>
          <w:b/>
          <w:bCs/>
          <w:i w:val="0"/>
          <w:caps w:val="0"/>
          <w:color w:val="auto"/>
          <w:spacing w:val="0"/>
          <w:sz w:val="32"/>
          <w:szCs w:val="32"/>
          <w:lang w:val="en-US" w:eastAsia="zh-CN"/>
        </w:rPr>
        <w:t>6S管理，</w:t>
      </w:r>
      <w:r>
        <w:rPr>
          <w:rFonts w:hint="eastAsia" w:ascii="宋体" w:hAnsi="宋体" w:eastAsia="宋体" w:cs="宋体"/>
          <w:b/>
          <w:bCs/>
          <w:i w:val="0"/>
          <w:caps w:val="0"/>
          <w:color w:val="auto"/>
          <w:spacing w:val="0"/>
          <w:sz w:val="32"/>
          <w:szCs w:val="32"/>
        </w:rPr>
        <w:t>提升我院整体形象</w:t>
      </w:r>
    </w:p>
    <w:p w14:paraId="0387F802">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积极响应县局要求，促进医院可持续发展，我院在2023年开始推行6S管理，进一步给患者提供安全、舒适、温馨的就医环境，提升干职工素养，塑造良好的职业形象，全面提升了我院的整体形象。</w:t>
      </w:r>
    </w:p>
    <w:p w14:paraId="1A8CD211">
      <w:pPr>
        <w:keepNext w:val="0"/>
        <w:keepLines w:val="0"/>
        <w:pageBreakBefore w:val="0"/>
        <w:numPr>
          <w:ilvl w:val="0"/>
          <w:numId w:val="0"/>
        </w:numPr>
        <w:kinsoku/>
        <w:wordWrap/>
        <w:overflowPunct/>
        <w:topLinePunct w:val="0"/>
        <w:autoSpaceDE/>
        <w:autoSpaceDN/>
        <w:bidi w:val="0"/>
        <w:adjustRightInd/>
        <w:snapToGrid/>
        <w:spacing w:line="240" w:lineRule="auto"/>
        <w:ind w:leftChars="200" w:right="0" w:rightChars="0" w:firstLine="321" w:firstLineChars="100"/>
        <w:jc w:val="left"/>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（二）狠抓医疗质量与安全医疗，强化医疗业务收入</w:t>
      </w:r>
    </w:p>
    <w:p w14:paraId="6B5FD2E3">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w:t>
      </w:r>
      <w:r>
        <w:rPr>
          <w:rFonts w:hint="eastAsia" w:ascii="宋体" w:hAnsi="宋体" w:eastAsia="宋体" w:cs="宋体"/>
          <w:b/>
          <w:bCs/>
          <w:color w:val="000000"/>
          <w:sz w:val="32"/>
          <w:szCs w:val="32"/>
          <w:lang w:val="en-US" w:eastAsia="zh-CN"/>
        </w:rPr>
        <w:t>（1）收入情况。</w:t>
      </w:r>
      <w:r>
        <w:rPr>
          <w:rFonts w:hint="eastAsia" w:ascii="宋体" w:hAnsi="宋体" w:eastAsia="宋体" w:cs="宋体"/>
          <w:color w:val="000000"/>
          <w:sz w:val="32"/>
          <w:szCs w:val="32"/>
          <w:lang w:val="en-US" w:eastAsia="zh-CN"/>
        </w:rPr>
        <w:t>2023年，门诊诊次为12455人次，住院人数844人，总收入565.53万元，其中医疗收入239.61万元(药品收入139.97万元)、财政收入297.49万元，基本公共卫生经费补助147.78万元）、其他收入5.59万元。</w:t>
      </w:r>
    </w:p>
    <w:p w14:paraId="537420E9">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（2）加强医务人员素质培养</w:t>
      </w:r>
      <w:r>
        <w:rPr>
          <w:rFonts w:hint="eastAsia" w:ascii="宋体" w:hAnsi="宋体" w:eastAsia="宋体" w:cs="宋体"/>
          <w:color w:val="000000"/>
          <w:sz w:val="32"/>
          <w:szCs w:val="32"/>
          <w:lang w:val="en-US" w:eastAsia="zh-CN"/>
        </w:rPr>
        <w:t xml:space="preserve">。加强了医务人员医学理论知识及个人综合素质的培训，举办了多种形式的培训，使医务人员业务水平不断提高。  </w:t>
      </w:r>
    </w:p>
    <w:p w14:paraId="31FFD6CC">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（3）建立医疗事故防范机制</w:t>
      </w:r>
      <w:r>
        <w:rPr>
          <w:rFonts w:hint="eastAsia" w:ascii="宋体" w:hAnsi="宋体" w:eastAsia="宋体" w:cs="宋体"/>
          <w:color w:val="000000"/>
          <w:sz w:val="32"/>
          <w:szCs w:val="32"/>
          <w:lang w:val="en-US" w:eastAsia="zh-CN"/>
        </w:rPr>
        <w:t xml:space="preserve">。坚持查房制度，不断加强了对《医疗事故处理条例》及相关配套文件的学习，提高了医务人员的责任意识，确保了医疗安全。  </w:t>
      </w:r>
    </w:p>
    <w:p w14:paraId="08A19F33">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（4）强化医疗质量意识。</w:t>
      </w:r>
      <w:r>
        <w:rPr>
          <w:rFonts w:hint="eastAsia" w:ascii="宋体" w:hAnsi="宋体" w:eastAsia="宋体" w:cs="宋体"/>
          <w:color w:val="000000"/>
          <w:sz w:val="32"/>
          <w:szCs w:val="32"/>
          <w:lang w:val="en-US" w:eastAsia="zh-CN"/>
        </w:rPr>
        <w:t xml:space="preserve">始终把提高医疗服务质量作为医院工作的主线，建立健全了各项医疗管理制度，开展了定期与不定期的医疗服务质量考评活动。  </w:t>
      </w:r>
    </w:p>
    <w:p w14:paraId="0C3BAD19">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（5）加强门、急诊工作。</w:t>
      </w:r>
      <w:r>
        <w:rPr>
          <w:rFonts w:hint="eastAsia" w:ascii="宋体" w:hAnsi="宋体" w:eastAsia="宋体" w:cs="宋体"/>
          <w:color w:val="000000"/>
          <w:sz w:val="32"/>
          <w:szCs w:val="32"/>
          <w:lang w:val="en-US" w:eastAsia="zh-CN"/>
        </w:rPr>
        <w:t xml:space="preserve">提高应急救治能力。门、急诊工作运行有序，急救设施齐备，各专业值班人员坚守工作岗位，处理及时、操作熟练，确保了工作的正常运行。  </w:t>
      </w:r>
    </w:p>
    <w:p w14:paraId="05E98F6F">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（6）加强药品管理。</w:t>
      </w:r>
      <w:r>
        <w:rPr>
          <w:rFonts w:hint="eastAsia" w:ascii="宋体" w:hAnsi="宋体" w:eastAsia="宋体" w:cs="宋体"/>
          <w:color w:val="000000"/>
          <w:sz w:val="32"/>
          <w:szCs w:val="32"/>
          <w:lang w:val="en-US" w:eastAsia="zh-CN"/>
        </w:rPr>
        <w:t xml:space="preserve">保证用药安全有效。加强对精神药品的管理。狠抓临床合理用药，安全用药，完善《临床药师查房制度》、《药物不良反应监测报告制度》、《医师合理用药评价通报及执行制度》等规章制度。坚持做到合理使用抗生素，保证患者用药安全。  </w:t>
      </w:r>
    </w:p>
    <w:p w14:paraId="3C845679">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（7）提高服务意识。</w:t>
      </w:r>
      <w:r>
        <w:rPr>
          <w:rFonts w:hint="eastAsia" w:ascii="宋体" w:hAnsi="宋体" w:eastAsia="宋体" w:cs="宋体"/>
          <w:color w:val="000000"/>
          <w:sz w:val="32"/>
          <w:szCs w:val="32"/>
          <w:lang w:val="en-US" w:eastAsia="zh-CN"/>
        </w:rPr>
        <w:t xml:space="preserve">切实解决患者就医的各种不便现象，卫生院改进和简化了就医流程，为病人提供更优质，更快捷的服务。    </w:t>
      </w:r>
    </w:p>
    <w:p w14:paraId="5CD5384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240" w:lineRule="auto"/>
        <w:ind w:right="0" w:rightChars="0"/>
        <w:jc w:val="left"/>
        <w:textAlignment w:val="auto"/>
        <w:outlineLvl w:val="9"/>
        <w:rPr>
          <w:rFonts w:hint="default" w:ascii="仿宋" w:hAnsi="仿宋" w:eastAsia="仿宋" w:cs="仿宋"/>
          <w:b w:val="0"/>
          <w:i w:val="0"/>
          <w:caps w:val="0"/>
          <w:color w:val="auto"/>
          <w:spacing w:val="0"/>
          <w:sz w:val="32"/>
          <w:szCs w:val="32"/>
          <w:lang w:val="en-US" w:eastAsia="zh-CN"/>
        </w:rPr>
      </w:pPr>
      <w:r>
        <w:rPr>
          <w:rFonts w:hint="eastAsia" w:ascii="仿宋" w:hAnsi="仿宋" w:eastAsia="仿宋" w:cs="仿宋"/>
          <w:b w:val="0"/>
          <w:i w:val="0"/>
          <w:caps w:val="0"/>
          <w:color w:val="auto"/>
          <w:spacing w:val="0"/>
          <w:sz w:val="32"/>
          <w:szCs w:val="32"/>
          <w:lang w:val="en-US" w:eastAsia="zh-CN"/>
        </w:rPr>
        <w:t xml:space="preserve"> </w:t>
      </w:r>
      <w:r>
        <w:rPr>
          <w:rFonts w:hint="eastAsia" w:ascii="宋体" w:hAnsi="宋体" w:eastAsia="宋体" w:cs="宋体"/>
          <w:b/>
          <w:bCs/>
          <w:snapToGrid w:val="0"/>
          <w:color w:val="auto"/>
          <w:kern w:val="0"/>
          <w:sz w:val="32"/>
          <w:szCs w:val="32"/>
          <w:lang w:val="en-US" w:eastAsia="zh-CN" w:bidi="ar-SA"/>
        </w:rPr>
        <w:t xml:space="preserve">    （三）强化基本公共卫生服务执行力度，高效完成公共卫生服务工作</w:t>
      </w:r>
    </w:p>
    <w:p w14:paraId="26F44313">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（1）健康教育方面。</w:t>
      </w:r>
      <w:r>
        <w:rPr>
          <w:rFonts w:hint="eastAsia" w:ascii="宋体" w:hAnsi="宋体" w:eastAsia="宋体" w:cs="宋体"/>
          <w:color w:val="000000"/>
          <w:sz w:val="32"/>
          <w:szCs w:val="32"/>
          <w:lang w:val="en-US" w:eastAsia="zh-CN"/>
        </w:rPr>
        <w:t xml:space="preserve">2023年全乡共印制发放健康教育资料种18508份，播放音像资料40种360次，设置健康教育宣传栏18个，宣传栏内容每月更新，共更新216次，举办健康知识讲座73次，开展公众健康咨询活动9期。通过以上多种形式的健康知识讲座，老百姓的健康意识有所提高，防病意识得到了提升。    </w:t>
      </w:r>
    </w:p>
    <w:p w14:paraId="42728051">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（2）健康档案工作方面。</w:t>
      </w:r>
      <w:r>
        <w:rPr>
          <w:rFonts w:hint="eastAsia" w:ascii="宋体" w:hAnsi="宋体" w:eastAsia="宋体" w:cs="宋体"/>
          <w:color w:val="000000"/>
          <w:sz w:val="32"/>
          <w:szCs w:val="32"/>
          <w:lang w:val="en-US" w:eastAsia="zh-CN"/>
        </w:rPr>
        <w:t>全乡公卫拨款核定人数为14819人，已建居民电子健康档案17483人。其中65岁以上老年人、慢性病患者、0-6岁儿童、孕产妇、肺结核患者等重点人群管理率均超国家指标，健康档案的使用率达100%，健康档案合格率100%；居民健康档案认领率达100%。</w:t>
      </w:r>
    </w:p>
    <w:p w14:paraId="36A403E1">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（3）妇幼保健方面。</w:t>
      </w:r>
      <w:r>
        <w:rPr>
          <w:rFonts w:hint="eastAsia" w:ascii="宋体" w:hAnsi="宋体" w:eastAsia="宋体" w:cs="宋体"/>
          <w:color w:val="000000"/>
          <w:sz w:val="32"/>
          <w:szCs w:val="32"/>
          <w:lang w:val="en-US" w:eastAsia="zh-CN"/>
        </w:rPr>
        <w:t>2023年全乡孕产妇总数为81人，其中早孕建卡76人，孕产妇系统管理81人，住院分娩81人，产后访视81人，母乳喂养81人，筛查出高危68例，电子建档68人，长期在外孕产26人，异动孕产妇21人。进行全程跟踪管理，使高危孕妇管理率和住院分娩率达100 %。</w:t>
      </w:r>
    </w:p>
    <w:p w14:paraId="606C6D4D">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（4）儿童保健方面。</w:t>
      </w:r>
      <w:r>
        <w:rPr>
          <w:rFonts w:hint="eastAsia" w:ascii="宋体" w:hAnsi="宋体" w:eastAsia="宋体" w:cs="宋体"/>
          <w:color w:val="000000"/>
          <w:sz w:val="32"/>
          <w:szCs w:val="32"/>
          <w:lang w:val="en-US" w:eastAsia="zh-CN"/>
        </w:rPr>
        <w:t>2023年新生儿出生人数为82人，建档81人，建档率达98%。今乡7岁以下儿童共807人，5岁以下儿童660人，3岁以下儿童 371人，0-6岁儿童健康管理586人,系统管理率为92.7%。管理中发现新生儿低体重出生儿童3人,贫血患病17人，中重度贫血0人，5岁以下儿童死亡数1人。6个月内婴儿母乳喂养调查人数81人，其中母乳喂养68人，纯母乳喂养48人，混合喂养20人，人工喂养13人。儿童保健知识知晓率100%。   </w:t>
      </w:r>
    </w:p>
    <w:p w14:paraId="3BBB8016">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（5）预防接种工作方面。</w:t>
      </w:r>
      <w:r>
        <w:rPr>
          <w:rFonts w:hint="eastAsia" w:ascii="宋体" w:hAnsi="宋体" w:eastAsia="宋体" w:cs="宋体"/>
          <w:color w:val="000000"/>
          <w:sz w:val="32"/>
          <w:szCs w:val="32"/>
          <w:lang w:val="en-US" w:eastAsia="zh-CN"/>
        </w:rPr>
        <w:t>认真落实预防接种规范流程。全乡全年为适龄儿童新建预防接种证82人次，建证率100%；全乡各种疫苗接种率达98%以上，其中乙肝疫苗362针次、卡介苗92针次、脊灰减毒疫苗248针次、IPV疫苗124针次、百白破疫苗434针次、白破疫苗312针次、含麻类风疫苗352针次、A群疫苗288针次、A+C群流脑疫苗347针次、乙脑减毒疫苗315针次、甲肝减毒疫苗216针次，儿童健康得到有效保障。</w:t>
      </w:r>
    </w:p>
    <w:p w14:paraId="67A1BD28">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（6）传染病防治和处理工作方面。</w:t>
      </w:r>
      <w:r>
        <w:rPr>
          <w:rFonts w:hint="eastAsia" w:ascii="宋体" w:hAnsi="宋体" w:eastAsia="宋体" w:cs="宋体"/>
          <w:color w:val="000000"/>
          <w:sz w:val="32"/>
          <w:szCs w:val="32"/>
          <w:lang w:val="en-US" w:eastAsia="zh-CN"/>
        </w:rPr>
        <w:t>全乡共登记报告传染病2例，疫情报告率100%，报告及时率100%，其中手足口病1例、AFP 1例。无突发公共卫生事件发生。</w:t>
      </w:r>
    </w:p>
    <w:p w14:paraId="18548F73">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（7）肺结核患者健康管理服务。</w:t>
      </w:r>
      <w:r>
        <w:rPr>
          <w:rFonts w:hint="eastAsia" w:ascii="宋体" w:hAnsi="宋体" w:eastAsia="宋体" w:cs="宋体"/>
          <w:color w:val="000000"/>
          <w:sz w:val="32"/>
          <w:szCs w:val="32"/>
          <w:lang w:val="en-US" w:eastAsia="zh-CN"/>
        </w:rPr>
        <w:t>2023年我乡开展了对村卫生室人员肺结核患者健康管理服务规范培训，全乡对我乡糖尿病人进行了结核症状筛查4次，65岁以上老年人筛查1次，共筛查2931人次，对128人进行了胸片检查。1-12月份，全乡共有肺结核患者4人，其中自服药患者1人，追踪到位率100%。</w:t>
      </w:r>
    </w:p>
    <w:p w14:paraId="41A0803D">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（8）老年人健康管理。</w:t>
      </w:r>
      <w:r>
        <w:rPr>
          <w:rFonts w:hint="eastAsia" w:ascii="宋体" w:hAnsi="宋体" w:eastAsia="宋体" w:cs="宋体"/>
          <w:color w:val="000000"/>
          <w:sz w:val="32"/>
          <w:szCs w:val="32"/>
          <w:lang w:val="en-US" w:eastAsia="zh-CN"/>
        </w:rPr>
        <w:t>按《规范》要求积极开展65岁以上老年人健康管理服务，免费提供健康体检、健康评估 ，体检项目齐全并及时反馈体检结果，体检表及时归入个人健康档案。2023年，全乡共登记管理65岁及以上老年人2623人，规范管理1853人，管理率达70.67%。</w:t>
      </w:r>
    </w:p>
    <w:p w14:paraId="14CD8DE0">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（9）慢病管理工作方面。</w:t>
      </w:r>
      <w:r>
        <w:rPr>
          <w:rFonts w:hint="eastAsia" w:ascii="宋体" w:hAnsi="宋体" w:eastAsia="宋体" w:cs="宋体"/>
          <w:color w:val="000000"/>
          <w:sz w:val="32"/>
          <w:szCs w:val="32"/>
          <w:lang w:val="en-US" w:eastAsia="zh-CN"/>
        </w:rPr>
        <w:t>严格按照《规范》要求，对辖区内确诊的35岁及以上原发性高血压患者和2型糖尿病患者进行随访评估、分类干预、健康体检。2023年，我乡共建高血压专案1901人，规范管理高血压患者1245人，健康规范管理率65.51%，最后一次血压达标率94 %；共建2型糖尿病专案582人，规范管387人，规范管理率66.55%，最后一次血糖达标率94.66%。</w:t>
      </w:r>
    </w:p>
    <w:p w14:paraId="15AE0008">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（10）严重精神障碍患者管理。</w:t>
      </w:r>
      <w:r>
        <w:rPr>
          <w:rFonts w:hint="eastAsia" w:ascii="宋体" w:hAnsi="宋体" w:eastAsia="宋体" w:cs="宋体"/>
          <w:color w:val="000000"/>
          <w:sz w:val="32"/>
          <w:szCs w:val="32"/>
          <w:lang w:val="en-US" w:eastAsia="zh-CN"/>
        </w:rPr>
        <w:t>扎实开展严重精神障碍线索调查登记工作，积极发现目标人群并纳入管理。为严重精神障碍患者提供随访、评估、分类干预及健康体检等服务。全乡共有重性精神障碍患者102人，规范管理率100%，病情稳定率98.5 %。</w:t>
      </w:r>
    </w:p>
    <w:p w14:paraId="16BC84C3">
      <w:pPr>
        <w:keepNext w:val="0"/>
        <w:keepLines w:val="0"/>
        <w:pageBreakBefore w:val="0"/>
        <w:widowControl/>
        <w:kinsoku/>
        <w:wordWrap/>
        <w:overflowPunct/>
        <w:topLinePunct w:val="0"/>
        <w:autoSpaceDE/>
        <w:autoSpaceDN/>
        <w:bidi w:val="0"/>
        <w:adjustRightInd/>
        <w:snapToGrid/>
        <w:spacing w:line="560" w:lineRule="exact"/>
        <w:ind w:firstLine="321" w:firstLineChars="1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 xml:space="preserve"> （11）中医药健康管理服务。</w:t>
      </w:r>
      <w:r>
        <w:rPr>
          <w:rFonts w:hint="eastAsia" w:ascii="宋体" w:hAnsi="宋体" w:eastAsia="宋体" w:cs="宋体"/>
          <w:color w:val="000000"/>
          <w:sz w:val="32"/>
          <w:szCs w:val="32"/>
          <w:lang w:val="en-US" w:eastAsia="zh-CN"/>
        </w:rPr>
        <w:t>积极做好中医药健康管理服务的宣传工作，全年举办中医药服务方面的讲座42次，开展公众健康咨询5次，更换宣传栏42次，发放宣传资料10000余份。老年人中医药健康管理服务1850人，管理服务率70%，服务记录表完整率100%。0-3岁儿童中医药健康指导435人，管理服务率92%。</w:t>
      </w:r>
    </w:p>
    <w:p w14:paraId="530F1CDA">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（12）卫生监督协管。</w:t>
      </w:r>
      <w:r>
        <w:rPr>
          <w:rFonts w:hint="eastAsia" w:ascii="宋体" w:hAnsi="宋体" w:eastAsia="宋体" w:cs="宋体"/>
          <w:color w:val="000000"/>
          <w:sz w:val="32"/>
          <w:szCs w:val="32"/>
          <w:lang w:val="en-US" w:eastAsia="zh-CN"/>
        </w:rPr>
        <w:t>认真开展卫生监督巡查，及时上报卫生监督信息并协助处理，协助开展饮用水卫生安全、学校卫生、非法行医和非法采供血实地巡查30次。全年对学校进行了2次传染病督导检查。</w:t>
      </w:r>
    </w:p>
    <w:p w14:paraId="43E86AA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（13）家庭医生签约服务扎实推进。</w:t>
      </w:r>
      <w:r>
        <w:rPr>
          <w:rFonts w:hint="eastAsia" w:ascii="宋体" w:hAnsi="宋体" w:eastAsia="宋体" w:cs="宋体"/>
          <w:color w:val="000000"/>
          <w:sz w:val="32"/>
          <w:szCs w:val="32"/>
          <w:lang w:val="en-US" w:eastAsia="zh-CN"/>
        </w:rPr>
        <w:t xml:space="preserve">我乡共成立了12个家庭医生签约服务团队，2023年共签约17180人，签约率达98.2%，其中脱贫人口3923人、监测人口300人、重点人群签约率达100%。 </w:t>
      </w:r>
    </w:p>
    <w:p w14:paraId="3691F690">
      <w:pPr>
        <w:pStyle w:val="2"/>
        <w:rPr>
          <w:rFonts w:hint="eastAsia"/>
          <w:lang w:eastAsia="zh-CN"/>
        </w:rPr>
      </w:pPr>
    </w:p>
    <w:p w14:paraId="232DE1A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宋体" w:hAnsi="宋体" w:eastAsia="宋体" w:cs="宋体"/>
          <w:b/>
          <w:bCs/>
          <w:snapToGrid w:val="0"/>
          <w:color w:val="auto"/>
          <w:kern w:val="0"/>
          <w:sz w:val="32"/>
          <w:szCs w:val="32"/>
          <w:lang w:val="en-US" w:eastAsia="zh-CN" w:bidi="ar-SA"/>
        </w:rPr>
      </w:pPr>
      <w:r>
        <w:rPr>
          <w:rFonts w:hint="eastAsia" w:ascii="宋体" w:hAnsi="宋体" w:eastAsia="宋体" w:cs="宋体"/>
          <w:b/>
          <w:bCs/>
          <w:snapToGrid w:val="0"/>
          <w:color w:val="auto"/>
          <w:kern w:val="0"/>
          <w:sz w:val="32"/>
          <w:szCs w:val="32"/>
          <w:lang w:val="en-US" w:eastAsia="zh-CN" w:bidi="ar-SA"/>
        </w:rPr>
        <w:t>（四）强化医疗保障工作，促进工作稳步开展</w:t>
      </w:r>
    </w:p>
    <w:p w14:paraId="3DED6C6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强化组织领导，成立了医保工作领导小组，组织相关人员学习了相关的规章制度；并定期组织召开院务会成员会议，商讨解决存在的问题。2023年，共收治医保患者11215人次，统筹基金支付140.8万元（其中门诊医保患者10378人次，统筹基金支付38.88万元，住院医保患者837人次，统筹基金支付101.94万元）。</w:t>
      </w:r>
    </w:p>
    <w:p w14:paraId="133426A3">
      <w:pPr>
        <w:pStyle w:val="2"/>
        <w:rPr>
          <w:rFonts w:hint="eastAsia" w:ascii="宋体" w:hAnsi="宋体" w:eastAsia="宋体" w:cs="宋体"/>
          <w:color w:val="000000"/>
          <w:sz w:val="32"/>
          <w:szCs w:val="32"/>
          <w:lang w:val="en-US" w:eastAsia="zh-CN"/>
        </w:rPr>
      </w:pPr>
    </w:p>
    <w:p w14:paraId="0CEBE53B">
      <w:pPr>
        <w:rPr>
          <w:rFonts w:hint="eastAsia"/>
          <w:lang w:val="en-US" w:eastAsia="zh-CN"/>
        </w:rPr>
      </w:pPr>
    </w:p>
    <w:p w14:paraId="264A31E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黑体" w:hAnsi="黑体" w:eastAsia="黑体" w:cs="黑体"/>
          <w:color w:val="auto"/>
          <w:sz w:val="32"/>
          <w:szCs w:val="32"/>
          <w:lang w:eastAsia="zh-CN"/>
        </w:rPr>
      </w:pPr>
      <w:r>
        <w:rPr>
          <w:rFonts w:hint="eastAsia" w:ascii="宋体" w:hAnsi="宋体" w:eastAsia="宋体" w:cs="宋体"/>
          <w:b/>
          <w:bCs/>
          <w:snapToGrid w:val="0"/>
          <w:color w:val="auto"/>
          <w:kern w:val="0"/>
          <w:sz w:val="32"/>
          <w:szCs w:val="32"/>
          <w:lang w:val="en-US" w:eastAsia="zh-CN" w:bidi="ar-SA"/>
        </w:rPr>
        <w:t xml:space="preserve">（五）严格执行医改政策，完善基本药物制度  </w:t>
      </w:r>
      <w:r>
        <w:rPr>
          <w:rFonts w:hint="eastAsia" w:ascii="黑体" w:hAnsi="黑体" w:eastAsia="黑体" w:cs="黑体"/>
          <w:color w:val="auto"/>
          <w:sz w:val="32"/>
          <w:szCs w:val="32"/>
          <w:lang w:eastAsia="zh-CN"/>
        </w:rPr>
        <w:t xml:space="preserve"> </w:t>
      </w:r>
    </w:p>
    <w:p w14:paraId="1BAECA7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根据上级文件精神，年初我院成立了基本药物制度领导小组，组织全院职工学习基本药物制度及基本药物的相关知识，使全院职工对基本药物制度及基本药物有了全面了解。确保基本药物制度在我院得以继续顺利实施，所有药品、卫材实行零利润销售，减轻了患病农民的负担。严格执行村卫生室代购制度，公卫办组织药剂科人员每季度对村卫生室进行督导，规范村卫生室基药管理。</w:t>
      </w:r>
    </w:p>
    <w:p w14:paraId="476F962D">
      <w:pPr>
        <w:pStyle w:val="2"/>
        <w:rPr>
          <w:rFonts w:hint="eastAsia"/>
          <w:lang w:val="en-US" w:eastAsia="zh-CN"/>
        </w:rPr>
      </w:pPr>
    </w:p>
    <w:p w14:paraId="2CF61A05">
      <w:pPr>
        <w:pStyle w:val="2"/>
        <w:rPr>
          <w:rFonts w:hint="eastAsia"/>
          <w:lang w:val="en-US" w:eastAsia="zh-CN"/>
        </w:rPr>
      </w:pPr>
    </w:p>
    <w:p w14:paraId="719BE95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宋体" w:hAnsi="宋体" w:eastAsia="宋体" w:cs="宋体"/>
          <w:b/>
          <w:bCs/>
          <w:snapToGrid w:val="0"/>
          <w:color w:val="auto"/>
          <w:kern w:val="0"/>
          <w:sz w:val="32"/>
          <w:szCs w:val="32"/>
          <w:lang w:val="en-US" w:eastAsia="zh-CN" w:bidi="ar-SA"/>
        </w:rPr>
      </w:pPr>
      <w:r>
        <w:rPr>
          <w:rFonts w:hint="eastAsia" w:ascii="宋体" w:hAnsi="宋体" w:eastAsia="宋体" w:cs="宋体"/>
          <w:b/>
          <w:bCs/>
          <w:snapToGrid w:val="0"/>
          <w:color w:val="auto"/>
          <w:kern w:val="0"/>
          <w:sz w:val="32"/>
          <w:szCs w:val="32"/>
          <w:lang w:val="en-US" w:eastAsia="zh-CN" w:bidi="ar-SA"/>
        </w:rPr>
        <w:t>（六）全面抓好党建各项工作，落实党建责任</w:t>
      </w:r>
    </w:p>
    <w:p w14:paraId="7BC588F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baseline"/>
        <w:rPr>
          <w:rFonts w:hint="default"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始终把党建工作摆在全院工作的突出位置，明确工作责任，细化工作措施，形成一级抓一级、层层抓落实的工作格局。年初下发了党建工作要点，对党建工作进行全面的部署， 定期召开“三会”，组织党员参加党支部活动，落实支部书记讲党课制度。一年来，通过各种形式对医院党组织建设、医院管理、家庭医生签约等工作进行督导</w:t>
      </w:r>
      <w:r>
        <w:rPr>
          <w:rFonts w:hint="default" w:ascii="宋体" w:hAnsi="宋体" w:eastAsia="宋体" w:cs="宋体"/>
          <w:color w:val="000000"/>
          <w:sz w:val="32"/>
          <w:szCs w:val="32"/>
          <w:lang w:val="en-US" w:eastAsia="zh-CN"/>
        </w:rPr>
        <w:t>。</w:t>
      </w:r>
    </w:p>
    <w:p w14:paraId="4A2D12ED">
      <w:pPr>
        <w:pStyle w:val="2"/>
        <w:rPr>
          <w:rFonts w:hint="default" w:ascii="宋体" w:hAnsi="宋体" w:eastAsia="宋体" w:cs="宋体"/>
          <w:color w:val="000000"/>
          <w:sz w:val="32"/>
          <w:szCs w:val="32"/>
          <w:lang w:val="en-US" w:eastAsia="zh-CN"/>
        </w:rPr>
      </w:pPr>
    </w:p>
    <w:p w14:paraId="1F642155">
      <w:pPr>
        <w:rPr>
          <w:rFonts w:hint="default"/>
          <w:lang w:val="en-US" w:eastAsia="zh-CN"/>
        </w:rPr>
      </w:pPr>
    </w:p>
    <w:p w14:paraId="09D7FD4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宋体" w:hAnsi="宋体" w:eastAsia="宋体" w:cs="宋体"/>
          <w:b/>
          <w:bCs/>
          <w:snapToGrid w:val="0"/>
          <w:color w:val="auto"/>
          <w:kern w:val="0"/>
          <w:sz w:val="32"/>
          <w:szCs w:val="32"/>
          <w:lang w:val="en-US" w:eastAsia="zh-CN" w:bidi="ar-SA"/>
        </w:rPr>
      </w:pPr>
      <w:r>
        <w:rPr>
          <w:rFonts w:hint="eastAsia" w:ascii="宋体" w:hAnsi="宋体" w:eastAsia="宋体" w:cs="宋体"/>
          <w:b/>
          <w:bCs/>
          <w:snapToGrid w:val="0"/>
          <w:color w:val="auto"/>
          <w:kern w:val="0"/>
          <w:sz w:val="32"/>
          <w:szCs w:val="32"/>
          <w:lang w:val="en-US" w:eastAsia="zh-CN" w:bidi="ar-SA"/>
        </w:rPr>
        <w:t xml:space="preserve"> （七）全力做好乡村振兴各项工作</w:t>
      </w:r>
    </w:p>
    <w:p w14:paraId="63BC14FB">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（1）脱贫人口全面参保</w:t>
      </w:r>
      <w:r>
        <w:rPr>
          <w:rFonts w:hint="eastAsia" w:ascii="宋体" w:hAnsi="宋体" w:eastAsia="宋体" w:cs="宋体"/>
          <w:color w:val="000000"/>
          <w:sz w:val="32"/>
          <w:szCs w:val="32"/>
          <w:lang w:val="en-US" w:eastAsia="zh-CN"/>
        </w:rPr>
        <w:t>。核查特困人员、低保对象、脱贫人口、监测户等困难群众参加2023年度城乡居民基本医疗保险或职工基本医疗保险的问题。</w:t>
      </w:r>
    </w:p>
    <w:p w14:paraId="08C7A0BE">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（2）大病保险等医疗保障政策落实。</w:t>
      </w:r>
      <w:r>
        <w:rPr>
          <w:rFonts w:hint="eastAsia" w:ascii="宋体" w:hAnsi="宋体" w:eastAsia="宋体" w:cs="宋体"/>
          <w:color w:val="000000"/>
          <w:sz w:val="32"/>
          <w:szCs w:val="32"/>
          <w:lang w:val="en-US" w:eastAsia="zh-CN"/>
        </w:rPr>
        <w:t>严格落实困难群众因病住院，经基本医保报销后，符合医保政策规定的个人自付费用，享受起付线降低50%、报销比例提高5个百分点、取消封顶线的大病保险倾斜政策。</w:t>
      </w:r>
    </w:p>
    <w:p w14:paraId="418ED0F6">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（3）医疗救助托底保障。</w:t>
      </w:r>
      <w:r>
        <w:rPr>
          <w:rFonts w:hint="eastAsia" w:ascii="宋体" w:hAnsi="宋体" w:eastAsia="宋体" w:cs="宋体"/>
          <w:color w:val="000000"/>
          <w:sz w:val="32"/>
          <w:szCs w:val="32"/>
          <w:lang w:val="en-US" w:eastAsia="zh-CN"/>
        </w:rPr>
        <w:t>落实困难群众因病住院，经基本医保、大病保险报销后，符合医保政策规定的年度累计个人自付费用，超过起付线、低于年度限额的部分，享受50%以上医疗救</w:t>
      </w:r>
      <w:r>
        <w:rPr>
          <w:rFonts w:hint="eastAsia" w:ascii="宋体" w:hAnsi="宋体" w:eastAsia="宋体" w:cs="宋体"/>
          <w:b/>
          <w:bCs/>
          <w:color w:val="000000"/>
          <w:sz w:val="32"/>
          <w:szCs w:val="32"/>
          <w:lang w:val="en-US" w:eastAsia="zh-CN"/>
        </w:rPr>
        <w:t>助。</w:t>
      </w:r>
    </w:p>
    <w:p w14:paraId="4371F90D">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（4）慢病签约管理服务。</w:t>
      </w:r>
      <w:r>
        <w:rPr>
          <w:rFonts w:hint="eastAsia" w:ascii="宋体" w:hAnsi="宋体" w:eastAsia="宋体" w:cs="宋体"/>
          <w:color w:val="000000"/>
          <w:sz w:val="32"/>
          <w:szCs w:val="32"/>
          <w:lang w:val="en-US" w:eastAsia="zh-CN"/>
        </w:rPr>
        <w:t>对全乡已脱贫人口、监测人口四类慢病患者 (高血压513人、糖尿病131人、严重精神障碍患者38人，共计744人)利用健康医生APP进行了电子签约，发放了纸质版协议书，每季度上门服务1次。</w:t>
      </w:r>
    </w:p>
    <w:p w14:paraId="7286C32B">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baseline"/>
        <w:rPr>
          <w:rFonts w:hint="eastAsia" w:ascii="宋体" w:hAnsi="宋体" w:eastAsia="宋体" w:cs="宋体"/>
          <w:color w:val="000000"/>
          <w:sz w:val="32"/>
          <w:szCs w:val="32"/>
          <w:lang w:val="en-US" w:eastAsia="zh-CN"/>
        </w:rPr>
      </w:pPr>
      <w:r>
        <w:rPr>
          <w:rFonts w:hint="eastAsia" w:ascii="宋体" w:hAnsi="宋体" w:eastAsia="宋体" w:cs="宋体"/>
          <w:b/>
          <w:bCs/>
          <w:color w:val="000000"/>
          <w:sz w:val="32"/>
          <w:szCs w:val="32"/>
          <w:lang w:val="en-US" w:eastAsia="zh-CN"/>
        </w:rPr>
        <w:t>（5）乡村医疗卫生服务有效覆盖</w:t>
      </w:r>
      <w:r>
        <w:rPr>
          <w:rFonts w:hint="eastAsia" w:ascii="宋体" w:hAnsi="宋体" w:eastAsia="宋体" w:cs="宋体"/>
          <w:color w:val="000000"/>
          <w:sz w:val="32"/>
          <w:szCs w:val="32"/>
          <w:lang w:val="en-US" w:eastAsia="zh-CN"/>
        </w:rPr>
        <w:t>。我乡共有10个行政村卫生室，5家个人卫生室，共有20个乡村医生在岗，无空白村卫生室，开展国家基本公共卫生服务和医疗保健服务。</w:t>
      </w:r>
    </w:p>
    <w:p w14:paraId="1168B173">
      <w:pPr>
        <w:keepNext w:val="0"/>
        <w:keepLines w:val="0"/>
        <w:pageBreakBefore w:val="0"/>
        <w:widowControl/>
        <w:kinsoku/>
        <w:wordWrap/>
        <w:overflowPunct/>
        <w:topLinePunct w:val="0"/>
        <w:autoSpaceDE/>
        <w:autoSpaceDN/>
        <w:bidi w:val="0"/>
        <w:adjustRightInd/>
        <w:snapToGrid/>
        <w:spacing w:line="560" w:lineRule="exact"/>
        <w:jc w:val="left"/>
        <w:textAlignment w:val="baseline"/>
        <w:rPr>
          <w:rFonts w:hint="eastAsia" w:ascii="宋体" w:hAnsi="宋体" w:eastAsia="宋体" w:cs="宋体"/>
          <w:color w:val="000000"/>
          <w:sz w:val="32"/>
          <w:szCs w:val="32"/>
          <w:lang w:val="en-US" w:eastAsia="zh-CN"/>
        </w:rPr>
      </w:pPr>
    </w:p>
    <w:p w14:paraId="39029832">
      <w:pPr>
        <w:pStyle w:val="10"/>
        <w:numPr>
          <w:ilvl w:val="0"/>
          <w:numId w:val="0"/>
        </w:numPr>
        <w:kinsoku w:val="0"/>
        <w:autoSpaceDE w:val="0"/>
        <w:autoSpaceDN w:val="0"/>
        <w:adjustRightInd w:val="0"/>
        <w:snapToGrid w:val="0"/>
        <w:spacing w:line="240" w:lineRule="auto"/>
        <w:jc w:val="left"/>
        <w:textAlignment w:val="baseline"/>
      </w:pPr>
    </w:p>
    <w:p w14:paraId="30C6F2D6">
      <w:pPr>
        <w:spacing w:before="196" w:line="222" w:lineRule="auto"/>
        <w:ind w:left="794"/>
        <w:outlineLvl w:val="0"/>
        <w:rPr>
          <w:rFonts w:hint="eastAsia" w:ascii="黑体" w:hAnsi="黑体" w:eastAsia="黑体" w:cs="黑体"/>
          <w:b/>
          <w:bCs/>
          <w:spacing w:val="-3"/>
          <w:sz w:val="36"/>
          <w:szCs w:val="36"/>
        </w:rPr>
      </w:pPr>
      <w:r>
        <w:rPr>
          <w:rFonts w:hint="eastAsia" w:ascii="黑体" w:hAnsi="黑体" w:eastAsia="黑体" w:cs="黑体"/>
          <w:b/>
          <w:bCs/>
          <w:spacing w:val="-3"/>
          <w:sz w:val="36"/>
          <w:szCs w:val="36"/>
        </w:rPr>
        <w:t>四</w:t>
      </w:r>
      <w:r>
        <w:rPr>
          <w:rFonts w:hint="eastAsia" w:ascii="黑体" w:hAnsi="黑体" w:eastAsia="黑体" w:cs="黑体"/>
          <w:spacing w:val="-46"/>
          <w:sz w:val="36"/>
          <w:szCs w:val="36"/>
        </w:rPr>
        <w:t xml:space="preserve"> </w:t>
      </w:r>
      <w:r>
        <w:rPr>
          <w:rFonts w:hint="eastAsia" w:ascii="黑体" w:hAnsi="黑体" w:eastAsia="黑体" w:cs="黑体"/>
          <w:b/>
          <w:bCs/>
          <w:spacing w:val="-3"/>
          <w:sz w:val="36"/>
          <w:szCs w:val="36"/>
        </w:rPr>
        <w:t>、总体评价和自评得分情况</w:t>
      </w:r>
    </w:p>
    <w:p w14:paraId="0C49DD50">
      <w:pPr>
        <w:pStyle w:val="8"/>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通过对部门整体支出情况的概述和实际支出情况的分析，2023年度</w:t>
      </w:r>
      <w:r>
        <w:rPr>
          <w:rFonts w:hint="eastAsia" w:cs="宋体"/>
          <w:b w:val="0"/>
          <w:bCs w:val="0"/>
          <w:snapToGrid w:val="0"/>
          <w:color w:val="000000"/>
          <w:spacing w:val="20"/>
          <w:kern w:val="0"/>
          <w:sz w:val="32"/>
          <w:szCs w:val="32"/>
          <w:lang w:val="en-US" w:eastAsia="zh-CN" w:bidi="ar-SA"/>
        </w:rPr>
        <w:t>我院</w:t>
      </w:r>
      <w:r>
        <w:rPr>
          <w:rFonts w:hint="eastAsia" w:ascii="宋体" w:hAnsi="宋体" w:eastAsia="宋体" w:cs="宋体"/>
          <w:b w:val="0"/>
          <w:bCs w:val="0"/>
          <w:snapToGrid w:val="0"/>
          <w:color w:val="000000"/>
          <w:spacing w:val="20"/>
          <w:kern w:val="0"/>
          <w:sz w:val="32"/>
          <w:szCs w:val="32"/>
          <w:lang w:val="en-US" w:eastAsia="zh-CN" w:bidi="ar-SA"/>
        </w:rPr>
        <w:t>部门整体支出绩效自评分值为99分，自评结论为“优”。具体评价如下：</w:t>
      </w:r>
    </w:p>
    <w:p w14:paraId="2F9F319F">
      <w:pPr>
        <w:pStyle w:val="8"/>
        <w:keepNext w:val="0"/>
        <w:keepLines w:val="0"/>
        <w:pageBreakBefore w:val="0"/>
        <w:widowControl w:val="0"/>
        <w:numPr>
          <w:ilvl w:val="0"/>
          <w:numId w:val="2"/>
        </w:numPr>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723" w:firstLineChars="200"/>
        <w:jc w:val="both"/>
        <w:textAlignment w:val="auto"/>
        <w:rPr>
          <w:rFonts w:hint="eastAsia" w:cs="宋体"/>
          <w:b w:val="0"/>
          <w:bCs w:val="0"/>
          <w:snapToGrid w:val="0"/>
          <w:color w:val="000000"/>
          <w:spacing w:val="20"/>
          <w:kern w:val="0"/>
          <w:sz w:val="32"/>
          <w:szCs w:val="32"/>
          <w:lang w:val="en-US" w:eastAsia="zh-CN" w:bidi="ar-SA"/>
        </w:rPr>
      </w:pPr>
      <w:r>
        <w:rPr>
          <w:rFonts w:hint="eastAsia" w:cs="宋体"/>
          <w:b/>
          <w:bCs/>
          <w:snapToGrid w:val="0"/>
          <w:color w:val="000000"/>
          <w:spacing w:val="20"/>
          <w:kern w:val="0"/>
          <w:sz w:val="32"/>
          <w:szCs w:val="32"/>
          <w:lang w:val="en-US" w:eastAsia="zh-CN" w:bidi="ar-SA"/>
        </w:rPr>
        <w:t>经济性评价 预算配置方面：</w:t>
      </w:r>
      <w:r>
        <w:rPr>
          <w:rFonts w:hint="eastAsia" w:cs="宋体"/>
          <w:b w:val="0"/>
          <w:bCs w:val="0"/>
          <w:snapToGrid w:val="0"/>
          <w:color w:val="000000"/>
          <w:spacing w:val="20"/>
          <w:kern w:val="0"/>
          <w:sz w:val="32"/>
          <w:szCs w:val="32"/>
          <w:lang w:val="en-US" w:eastAsia="zh-CN" w:bidi="ar-SA"/>
        </w:rPr>
        <w:t>我院2023年“三公经费”预算总额为0，同时，财政供养人员控制在预算编制以内，从源头严格控制和降低了行政成本。</w:t>
      </w:r>
      <w:r>
        <w:rPr>
          <w:rFonts w:hint="eastAsia" w:cs="宋体"/>
          <w:b/>
          <w:bCs/>
          <w:snapToGrid w:val="0"/>
          <w:color w:val="000000"/>
          <w:spacing w:val="20"/>
          <w:kern w:val="0"/>
          <w:sz w:val="32"/>
          <w:szCs w:val="32"/>
          <w:lang w:val="en-US" w:eastAsia="zh-CN" w:bidi="ar-SA"/>
        </w:rPr>
        <w:t>预算执行方面：</w:t>
      </w:r>
      <w:r>
        <w:rPr>
          <w:rFonts w:hint="eastAsia" w:cs="宋体"/>
          <w:b w:val="0"/>
          <w:bCs w:val="0"/>
          <w:snapToGrid w:val="0"/>
          <w:color w:val="000000"/>
          <w:spacing w:val="20"/>
          <w:kern w:val="0"/>
          <w:sz w:val="32"/>
          <w:szCs w:val="32"/>
          <w:lang w:val="en-US" w:eastAsia="zh-CN" w:bidi="ar-SA"/>
        </w:rPr>
        <w:t>严格落实《预算法》和预算管理相关规定，各项支出按照批准的预算审核列支，严格控制在预算额度内使用，支出的范围和标准符合相关规定。支出主要用于保障单位正常运转、完成日常工作任务而发生的支出。</w:t>
      </w:r>
      <w:r>
        <w:rPr>
          <w:rFonts w:hint="eastAsia" w:cs="宋体"/>
          <w:b/>
          <w:bCs/>
          <w:snapToGrid w:val="0"/>
          <w:color w:val="000000"/>
          <w:spacing w:val="20"/>
          <w:kern w:val="0"/>
          <w:sz w:val="32"/>
          <w:szCs w:val="32"/>
          <w:lang w:val="en-US" w:eastAsia="zh-CN" w:bidi="ar-SA"/>
        </w:rPr>
        <w:t>预算管理方面：</w:t>
      </w:r>
      <w:r>
        <w:rPr>
          <w:rFonts w:hint="eastAsia" w:cs="宋体"/>
          <w:b w:val="0"/>
          <w:bCs w:val="0"/>
          <w:snapToGrid w:val="0"/>
          <w:color w:val="000000"/>
          <w:spacing w:val="20"/>
          <w:kern w:val="0"/>
          <w:sz w:val="32"/>
          <w:szCs w:val="32"/>
          <w:lang w:val="en-US" w:eastAsia="zh-CN" w:bidi="ar-SA"/>
        </w:rPr>
        <w:t>部门整体支出能有效按照预算要求基本执行，预算支出范围合理，预算支出项目细化，资金使用方向明确，管理合规，且决算工作精细到位，基本体现了部门整体支出情况的数据统筹性和宏观性。</w:t>
      </w:r>
      <w:r>
        <w:rPr>
          <w:rFonts w:hint="eastAsia" w:cs="宋体"/>
          <w:b/>
          <w:bCs/>
          <w:snapToGrid w:val="0"/>
          <w:color w:val="000000"/>
          <w:spacing w:val="20"/>
          <w:kern w:val="0"/>
          <w:sz w:val="32"/>
          <w:szCs w:val="32"/>
          <w:lang w:val="en-US" w:eastAsia="zh-CN" w:bidi="ar-SA"/>
        </w:rPr>
        <w:t>资产管理方面：</w:t>
      </w:r>
      <w:r>
        <w:rPr>
          <w:rFonts w:hint="eastAsia" w:cs="宋体"/>
          <w:b w:val="0"/>
          <w:bCs w:val="0"/>
          <w:snapToGrid w:val="0"/>
          <w:color w:val="000000"/>
          <w:spacing w:val="20"/>
          <w:kern w:val="0"/>
          <w:sz w:val="32"/>
          <w:szCs w:val="32"/>
          <w:lang w:val="en-US" w:eastAsia="zh-CN" w:bidi="ar-SA"/>
        </w:rPr>
        <w:t>我们进一步加强资产的管理，明确了具体责任人，完善了固定资产档案，严格报批、销审等手续，做好资产统计工作，单位无固定资产流失现象。</w:t>
      </w:r>
    </w:p>
    <w:p w14:paraId="075D4EDA">
      <w:pPr>
        <w:pStyle w:val="8"/>
        <w:keepNext w:val="0"/>
        <w:keepLines w:val="0"/>
        <w:pageBreakBefore w:val="0"/>
        <w:widowControl w:val="0"/>
        <w:numPr>
          <w:ilvl w:val="0"/>
          <w:numId w:val="3"/>
        </w:numPr>
        <w:suppressLineNumbers w:val="0"/>
        <w:shd w:val="clear" w:color="auto" w:fill="auto"/>
        <w:kinsoku/>
        <w:wordWrap/>
        <w:overflowPunct/>
        <w:topLinePunct w:val="0"/>
        <w:autoSpaceDE/>
        <w:autoSpaceDN/>
        <w:bidi w:val="0"/>
        <w:adjustRightInd/>
        <w:snapToGrid/>
        <w:spacing w:before="0" w:beforeAutospacing="0" w:afterAutospacing="0" w:line="560" w:lineRule="exact"/>
        <w:ind w:left="0" w:leftChars="0" w:right="0" w:rightChars="0" w:firstLine="723" w:firstLineChars="200"/>
        <w:jc w:val="both"/>
        <w:textAlignment w:val="auto"/>
        <w:rPr>
          <w:rFonts w:hint="eastAsia" w:cs="宋体"/>
          <w:b w:val="0"/>
          <w:bCs w:val="0"/>
          <w:snapToGrid w:val="0"/>
          <w:color w:val="000000"/>
          <w:spacing w:val="20"/>
          <w:kern w:val="0"/>
          <w:sz w:val="32"/>
          <w:szCs w:val="32"/>
          <w:lang w:val="en-US" w:eastAsia="zh-CN" w:bidi="ar-SA"/>
        </w:rPr>
      </w:pPr>
      <w:r>
        <w:rPr>
          <w:rFonts w:hint="eastAsia" w:cs="宋体"/>
          <w:b/>
          <w:bCs/>
          <w:snapToGrid w:val="0"/>
          <w:color w:val="000000"/>
          <w:spacing w:val="20"/>
          <w:kern w:val="0"/>
          <w:sz w:val="32"/>
          <w:szCs w:val="32"/>
          <w:lang w:val="en-US" w:eastAsia="zh-CN" w:bidi="ar-SA"/>
        </w:rPr>
        <w:t xml:space="preserve">效率性评价和有效性评价 </w:t>
      </w:r>
      <w:r>
        <w:rPr>
          <w:rFonts w:hint="eastAsia" w:cs="宋体"/>
          <w:b w:val="0"/>
          <w:bCs w:val="0"/>
          <w:snapToGrid w:val="0"/>
          <w:color w:val="000000"/>
          <w:spacing w:val="20"/>
          <w:kern w:val="0"/>
          <w:sz w:val="32"/>
          <w:szCs w:val="32"/>
          <w:lang w:val="en-US" w:eastAsia="zh-CN" w:bidi="ar-SA"/>
        </w:rPr>
        <w:t>我院整体支出重点用于基本支出，完成了当年度6S管理、基本公卫、妇幼保健、同保健、疫苗接种、传染病防治、</w:t>
      </w:r>
      <w:r>
        <w:rPr>
          <w:rFonts w:hint="eastAsia" w:ascii="宋体" w:hAnsi="宋体" w:eastAsia="宋体" w:cs="宋体"/>
          <w:b w:val="0"/>
          <w:bCs w:val="0"/>
          <w:snapToGrid w:val="0"/>
          <w:color w:val="000000"/>
          <w:spacing w:val="20"/>
          <w:kern w:val="0"/>
          <w:sz w:val="32"/>
          <w:szCs w:val="32"/>
          <w:lang w:val="en-US" w:eastAsia="zh-CN" w:bidi="ar-SA"/>
        </w:rPr>
        <w:t>肺结核患者健康管理、老年人健康管理、慢病管理、严重精神障碍患者管理、中医药健康管理、卫生监督等工作，有效对其实行了监管，确</w:t>
      </w:r>
      <w:r>
        <w:rPr>
          <w:rFonts w:hint="eastAsia" w:cs="宋体"/>
          <w:b w:val="0"/>
          <w:bCs w:val="0"/>
          <w:snapToGrid w:val="0"/>
          <w:color w:val="000000"/>
          <w:spacing w:val="20"/>
          <w:kern w:val="0"/>
          <w:sz w:val="32"/>
          <w:szCs w:val="32"/>
          <w:lang w:val="en-US" w:eastAsia="zh-CN" w:bidi="ar-SA"/>
        </w:rPr>
        <w:t xml:space="preserve">保了资金的合规性；对于基本支出能遵守各项规章制度，人员经费安排基本得当，业务工作经费、人员经费安排配比率良好。  </w:t>
      </w:r>
    </w:p>
    <w:p w14:paraId="11C80053">
      <w:pPr>
        <w:pStyle w:val="8"/>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cs="宋体"/>
          <w:b w:val="0"/>
          <w:bCs w:val="0"/>
          <w:snapToGrid w:val="0"/>
          <w:color w:val="FF0000"/>
          <w:spacing w:val="20"/>
          <w:kern w:val="0"/>
          <w:sz w:val="32"/>
          <w:szCs w:val="32"/>
          <w:lang w:val="en-US" w:eastAsia="zh-CN" w:bidi="ar-SA"/>
        </w:rPr>
      </w:pPr>
    </w:p>
    <w:p w14:paraId="40B3550A">
      <w:pPr>
        <w:pStyle w:val="8"/>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jc w:val="both"/>
        <w:textAlignment w:val="auto"/>
        <w:rPr>
          <w:rFonts w:hint="eastAsia" w:ascii="宋体" w:hAnsi="宋体" w:eastAsia="宋体" w:cs="宋体"/>
          <w:snapToGrid w:val="0"/>
          <w:color w:val="000000"/>
          <w:spacing w:val="20"/>
          <w:kern w:val="0"/>
          <w:sz w:val="32"/>
          <w:szCs w:val="32"/>
          <w:lang w:val="en-US" w:eastAsia="zh-CN" w:bidi="ar-SA"/>
        </w:rPr>
      </w:pPr>
    </w:p>
    <w:p w14:paraId="2B5894E6">
      <w:pPr>
        <w:spacing w:before="196" w:line="222" w:lineRule="auto"/>
        <w:ind w:left="794"/>
        <w:outlineLvl w:val="0"/>
        <w:rPr>
          <w:rFonts w:hint="eastAsia" w:ascii="黑体" w:hAnsi="黑体" w:eastAsia="黑体" w:cs="黑体"/>
          <w:b/>
          <w:bCs/>
          <w:spacing w:val="-3"/>
          <w:sz w:val="36"/>
          <w:szCs w:val="36"/>
          <w:lang w:val="en-US" w:eastAsia="zh-CN"/>
        </w:rPr>
      </w:pPr>
      <w:r>
        <w:rPr>
          <w:rFonts w:ascii="黑体" w:hAnsi="黑体" w:eastAsia="黑体" w:cs="黑体"/>
          <w:b/>
          <w:bCs/>
          <w:spacing w:val="-3"/>
          <w:sz w:val="36"/>
          <w:szCs w:val="36"/>
        </w:rPr>
        <w:t>五、 存在的问题及原因分析</w:t>
      </w:r>
    </w:p>
    <w:p w14:paraId="2B758C6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（一）绩效目标及绩效指标填报质量有待加强。</w:t>
      </w:r>
      <w:r>
        <w:rPr>
          <w:rFonts w:hint="eastAsia" w:ascii="宋体" w:hAnsi="宋体" w:eastAsia="宋体" w:cs="宋体"/>
          <w:snapToGrid w:val="0"/>
          <w:color w:val="000000"/>
          <w:spacing w:val="20"/>
          <w:kern w:val="0"/>
          <w:sz w:val="32"/>
          <w:szCs w:val="32"/>
          <w:lang w:val="en-US" w:eastAsia="zh-CN" w:bidi="ar-SA"/>
        </w:rPr>
        <w:t>绩效指标编制不完整，提炼不出绩效指标，体现不出工作实现效果。主要原因是科室预算绩效管理理念还未深入，预算绩效管理主体意识不强，部门未将预算绩效管理作为加强预算管理，提升资金使用绩效的有效管理模式，绩效管理工作大都为被动应付，存在被财政推着走的情况。</w:t>
      </w:r>
    </w:p>
    <w:p w14:paraId="4C358A3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（二）编制绩效目标的不确定因素较多，绩效指标设置难以全面涵盖。</w:t>
      </w:r>
      <w:r>
        <w:rPr>
          <w:rFonts w:hint="eastAsia" w:ascii="宋体" w:hAnsi="宋体" w:eastAsia="宋体" w:cs="宋体"/>
          <w:snapToGrid w:val="0"/>
          <w:color w:val="000000"/>
          <w:spacing w:val="20"/>
          <w:kern w:val="0"/>
          <w:sz w:val="32"/>
          <w:szCs w:val="32"/>
          <w:lang w:val="en-US" w:eastAsia="zh-CN" w:bidi="ar-SA"/>
        </w:rPr>
        <w:t>由于预算编制绩效目标时间（上年底）与每年工作重点、改革任务变化大、安排时间（当年初）有偏差，绩效目标设置出现漏项、过时项，不能反映当年绩效目标任务。</w:t>
      </w:r>
    </w:p>
    <w:p w14:paraId="12857C3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p>
    <w:p w14:paraId="3A7A3FE9">
      <w:pPr>
        <w:numPr>
          <w:ilvl w:val="0"/>
          <w:numId w:val="0"/>
        </w:numPr>
        <w:spacing w:before="250" w:line="222" w:lineRule="auto"/>
        <w:ind w:left="624" w:leftChars="0"/>
        <w:rPr>
          <w:rFonts w:ascii="黑体" w:hAnsi="黑体" w:eastAsia="黑体" w:cs="黑体"/>
          <w:b/>
          <w:bCs/>
          <w:spacing w:val="8"/>
          <w:sz w:val="36"/>
          <w:szCs w:val="36"/>
        </w:rPr>
      </w:pPr>
      <w:r>
        <w:rPr>
          <w:rFonts w:hint="eastAsia" w:ascii="黑体" w:hAnsi="黑体" w:eastAsia="黑体" w:cs="黑体"/>
          <w:b/>
          <w:bCs/>
          <w:spacing w:val="8"/>
          <w:sz w:val="36"/>
          <w:szCs w:val="36"/>
          <w:lang w:val="en-US" w:eastAsia="zh-CN"/>
        </w:rPr>
        <w:t>六、</w:t>
      </w:r>
      <w:r>
        <w:rPr>
          <w:rFonts w:ascii="黑体" w:hAnsi="黑体" w:eastAsia="黑体" w:cs="黑体"/>
          <w:b/>
          <w:bCs/>
          <w:spacing w:val="8"/>
          <w:sz w:val="36"/>
          <w:szCs w:val="36"/>
        </w:rPr>
        <w:t>下一步改进措施</w:t>
      </w:r>
    </w:p>
    <w:p w14:paraId="3409F0F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（一）高度重视绩效管理工作。</w:t>
      </w:r>
      <w:r>
        <w:rPr>
          <w:rFonts w:hint="eastAsia" w:ascii="宋体" w:hAnsi="宋体" w:eastAsia="宋体" w:cs="宋体"/>
          <w:b w:val="0"/>
          <w:bCs w:val="0"/>
          <w:snapToGrid w:val="0"/>
          <w:color w:val="000000"/>
          <w:spacing w:val="20"/>
          <w:kern w:val="0"/>
          <w:sz w:val="32"/>
          <w:szCs w:val="32"/>
          <w:lang w:val="en-US" w:eastAsia="zh-CN" w:bidi="ar-SA"/>
        </w:rPr>
        <w:t>财政预算绩效管理工作是提高行政效能和财务管理水平的重要举措，树立绩效意识，将预算绩效管理渗透到各项内部管理和业务工作中提高部门绩效管理质量和水平。</w:t>
      </w:r>
    </w:p>
    <w:p w14:paraId="55DFE2B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（二）筑牢制度基础。</w:t>
      </w:r>
      <w:r>
        <w:rPr>
          <w:rFonts w:hint="eastAsia" w:ascii="宋体" w:hAnsi="宋体" w:eastAsia="宋体" w:cs="宋体"/>
          <w:b w:val="0"/>
          <w:bCs w:val="0"/>
          <w:snapToGrid w:val="0"/>
          <w:color w:val="000000"/>
          <w:spacing w:val="20"/>
          <w:kern w:val="0"/>
          <w:sz w:val="32"/>
          <w:szCs w:val="32"/>
          <w:lang w:val="en-US" w:eastAsia="zh-CN" w:bidi="ar-SA"/>
        </w:rPr>
        <w:t>强化各项预算绩效指标收集整理和分析，形成具有行业特点的评价标准，不断完善绩效指标体系，进一步规范预算编制、预算执行、绩效监督、绩效评价结果运用和绩效问责等全过程管理。</w:t>
      </w:r>
    </w:p>
    <w:p w14:paraId="1CCDAC0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（三）探索绩效评价结果运用长效机制。</w:t>
      </w:r>
      <w:r>
        <w:rPr>
          <w:rFonts w:hint="eastAsia" w:ascii="宋体" w:hAnsi="宋体" w:eastAsia="宋体" w:cs="宋体"/>
          <w:b w:val="0"/>
          <w:bCs w:val="0"/>
          <w:snapToGrid w:val="0"/>
          <w:color w:val="000000"/>
          <w:spacing w:val="20"/>
          <w:kern w:val="0"/>
          <w:sz w:val="32"/>
          <w:szCs w:val="32"/>
          <w:lang w:val="en-US" w:eastAsia="zh-CN" w:bidi="ar-SA"/>
        </w:rPr>
        <w:t>绩效评价结果运用是优化财政支出结构，提高资金管理水平和使用效益的重要手段。我院将加强部门间沟通协调，提高预算绩效管理参与度。</w:t>
      </w:r>
    </w:p>
    <w:p w14:paraId="50F5F4F3">
      <w:pPr>
        <w:pStyle w:val="10"/>
        <w:rPr>
          <w:rFonts w:hint="default"/>
          <w:lang w:val="en-US" w:eastAsia="zh-CN"/>
        </w:rPr>
      </w:pPr>
      <w:r>
        <w:rPr>
          <w:rFonts w:hint="eastAsia" w:ascii="宋体" w:hAnsi="宋体" w:cs="宋体"/>
          <w:b w:val="0"/>
          <w:bCs w:val="0"/>
          <w:snapToGrid w:val="0"/>
          <w:color w:val="000000"/>
          <w:spacing w:val="20"/>
          <w:kern w:val="0"/>
          <w:sz w:val="32"/>
          <w:szCs w:val="32"/>
          <w:lang w:val="en-US" w:eastAsia="zh-CN" w:bidi="ar-SA"/>
        </w:rPr>
        <w:t xml:space="preserve"> </w:t>
      </w:r>
    </w:p>
    <w:p w14:paraId="2FBADA38">
      <w:pPr>
        <w:spacing w:before="196" w:line="222" w:lineRule="auto"/>
        <w:ind w:left="794"/>
        <w:outlineLvl w:val="0"/>
        <w:rPr>
          <w:rFonts w:hint="eastAsia" w:ascii="宋体" w:hAnsi="宋体" w:eastAsia="宋体" w:cs="宋体"/>
          <w:b/>
          <w:bCs/>
          <w:snapToGrid w:val="0"/>
          <w:color w:val="000000"/>
          <w:spacing w:val="20"/>
          <w:kern w:val="0"/>
          <w:sz w:val="32"/>
          <w:szCs w:val="32"/>
          <w:lang w:val="en-US" w:eastAsia="zh-CN" w:bidi="ar-SA"/>
        </w:rPr>
      </w:pPr>
      <w:r>
        <w:rPr>
          <w:rFonts w:ascii="黑体" w:hAnsi="黑体" w:eastAsia="黑体" w:cs="黑体"/>
          <w:b/>
          <w:bCs/>
          <w:spacing w:val="-3"/>
          <w:sz w:val="36"/>
          <w:szCs w:val="36"/>
        </w:rPr>
        <w:t>七、整体支出绩效自评结果拟应用和公开情况。</w:t>
      </w:r>
    </w:p>
    <w:p w14:paraId="30CE8C4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 xml:space="preserve">（一）绩效自评结果拟应用 </w:t>
      </w:r>
      <w:r>
        <w:rPr>
          <w:rFonts w:hint="eastAsia" w:ascii="宋体" w:hAnsi="宋体" w:eastAsia="宋体" w:cs="宋体"/>
          <w:b w:val="0"/>
          <w:bCs w:val="0"/>
          <w:snapToGrid w:val="0"/>
          <w:color w:val="000000"/>
          <w:spacing w:val="20"/>
          <w:kern w:val="0"/>
          <w:sz w:val="32"/>
          <w:szCs w:val="32"/>
          <w:lang w:val="en-US" w:eastAsia="zh-CN" w:bidi="ar-SA"/>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14:paraId="68EA4C00">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right="0" w:rightChars="0" w:firstLine="723" w:firstLineChars="200"/>
        <w:jc w:val="both"/>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(二)绩效自评结果公开情况</w:t>
      </w:r>
      <w:r>
        <w:rPr>
          <w:rFonts w:hint="eastAsia" w:ascii="宋体" w:hAnsi="宋体" w:eastAsia="宋体" w:cs="宋体"/>
          <w:b w:val="0"/>
          <w:bCs w:val="0"/>
          <w:snapToGrid w:val="0"/>
          <w:color w:val="000000"/>
          <w:spacing w:val="20"/>
          <w:kern w:val="0"/>
          <w:sz w:val="32"/>
          <w:szCs w:val="32"/>
          <w:lang w:val="en-US" w:eastAsia="zh-CN" w:bidi="ar-SA"/>
        </w:rPr>
        <w:t xml:space="preserve"> 按照统一部署，在安化县门户网站公开我单位2023年度部门整体支出绩效自评报告，向社会公开，广泛接受群众监督。   </w:t>
      </w:r>
    </w:p>
    <w:p w14:paraId="51180A0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p>
    <w:p w14:paraId="2A881C3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p>
    <w:p w14:paraId="4C54CDC8">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p>
    <w:p w14:paraId="29975F71">
      <w:pPr>
        <w:pStyle w:val="10"/>
        <w:rPr>
          <w:rFonts w:ascii="黑体" w:hAnsi="黑体" w:eastAsia="黑体" w:cs="黑体"/>
          <w:spacing w:val="6"/>
          <w:sz w:val="31"/>
          <w:szCs w:val="31"/>
        </w:rPr>
      </w:pPr>
    </w:p>
    <w:p w14:paraId="67F2707E">
      <w:pPr>
        <w:pStyle w:val="10"/>
        <w:rPr>
          <w:rFonts w:ascii="黑体" w:hAnsi="黑体" w:eastAsia="黑体" w:cs="黑体"/>
          <w:spacing w:val="6"/>
          <w:sz w:val="31"/>
          <w:szCs w:val="31"/>
        </w:rPr>
      </w:pPr>
    </w:p>
    <w:p w14:paraId="7C2B8F46">
      <w:pPr>
        <w:pStyle w:val="10"/>
        <w:rPr>
          <w:rFonts w:ascii="黑体" w:hAnsi="黑体" w:eastAsia="黑体" w:cs="黑体"/>
          <w:spacing w:val="6"/>
          <w:sz w:val="31"/>
          <w:szCs w:val="31"/>
        </w:rPr>
      </w:pPr>
    </w:p>
    <w:p w14:paraId="01DFC67E">
      <w:pPr>
        <w:pStyle w:val="10"/>
        <w:rPr>
          <w:rFonts w:ascii="黑体" w:hAnsi="黑体" w:eastAsia="黑体" w:cs="黑体"/>
          <w:spacing w:val="6"/>
          <w:sz w:val="31"/>
          <w:szCs w:val="31"/>
        </w:rPr>
      </w:pPr>
    </w:p>
    <w:p w14:paraId="774D25D6">
      <w:pPr>
        <w:pStyle w:val="10"/>
        <w:ind w:left="0" w:leftChars="0" w:firstLine="0" w:firstLineChars="0"/>
        <w:rPr>
          <w:rFonts w:ascii="黑体" w:hAnsi="黑体" w:eastAsia="黑体" w:cs="黑体"/>
          <w:spacing w:val="6"/>
          <w:sz w:val="31"/>
          <w:szCs w:val="31"/>
        </w:rPr>
      </w:pPr>
    </w:p>
    <w:p w14:paraId="14FD0B75">
      <w:pPr>
        <w:pStyle w:val="10"/>
        <w:rPr>
          <w:rFonts w:ascii="黑体" w:hAnsi="黑体" w:eastAsia="黑体" w:cs="黑体"/>
          <w:spacing w:val="6"/>
          <w:sz w:val="31"/>
          <w:szCs w:val="31"/>
        </w:rPr>
      </w:pPr>
    </w:p>
    <w:p w14:paraId="72363000">
      <w:pPr>
        <w:spacing w:line="243" w:lineRule="auto"/>
        <w:jc w:val="center"/>
        <w:rPr>
          <w:rFonts w:hint="eastAsia" w:ascii="宋体" w:hAnsi="宋体" w:eastAsia="宋体" w:cs="宋体"/>
          <w:b/>
          <w:bCs/>
          <w:spacing w:val="9"/>
          <w:sz w:val="30"/>
          <w:szCs w:val="30"/>
          <w:lang w:val="en-US" w:eastAsia="zh-CN"/>
        </w:rPr>
      </w:pPr>
      <w:r>
        <w:rPr>
          <w:rFonts w:ascii="宋体" w:hAnsi="宋体" w:eastAsia="宋体" w:cs="宋体"/>
          <w:b/>
          <w:bCs/>
          <w:spacing w:val="9"/>
          <w:sz w:val="30"/>
          <w:szCs w:val="30"/>
        </w:rPr>
        <w:t>2023年度</w:t>
      </w:r>
      <w:r>
        <w:rPr>
          <w:rFonts w:hint="eastAsia" w:ascii="宋体" w:hAnsi="宋体" w:eastAsia="宋体" w:cs="宋体"/>
          <w:b/>
          <w:bCs/>
          <w:spacing w:val="9"/>
          <w:sz w:val="30"/>
          <w:szCs w:val="30"/>
          <w:lang w:val="en-US" w:eastAsia="zh-CN"/>
        </w:rPr>
        <w:t>益阳市安化县高明乡卫生院基础数据表</w:t>
      </w:r>
    </w:p>
    <w:p w14:paraId="41CD72AA">
      <w:pPr>
        <w:pStyle w:val="10"/>
        <w:jc w:val="right"/>
        <w:rPr>
          <w:rFonts w:hint="eastAsia" w:ascii="宋体" w:hAnsi="宋体" w:eastAsia="宋体" w:cs="宋体"/>
          <w:spacing w:val="6"/>
          <w:sz w:val="28"/>
          <w:szCs w:val="28"/>
          <w:lang w:eastAsia="zh-CN"/>
        </w:rPr>
      </w:pPr>
      <w:r>
        <w:rPr>
          <w:rFonts w:hint="eastAsia" w:ascii="宋体" w:hAnsi="宋体" w:eastAsia="宋体" w:cs="宋体"/>
          <w:spacing w:val="6"/>
          <w:sz w:val="28"/>
          <w:szCs w:val="28"/>
          <w:lang w:eastAsia="zh-CN"/>
        </w:rPr>
        <w:t>单位：万元</w:t>
      </w:r>
    </w:p>
    <w:tbl>
      <w:tblPr>
        <w:tblStyle w:val="11"/>
        <w:tblW w:w="9402"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19"/>
        <w:gridCol w:w="1542"/>
        <w:gridCol w:w="2034"/>
        <w:gridCol w:w="780"/>
        <w:gridCol w:w="1208"/>
        <w:gridCol w:w="19"/>
      </w:tblGrid>
      <w:tr w14:paraId="7217D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9" w:type="dxa"/>
          <w:trHeight w:val="384" w:hRule="atLeast"/>
        </w:trPr>
        <w:tc>
          <w:tcPr>
            <w:tcW w:w="381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BF5C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财政供养人员情况</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A24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编制数</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BA8B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2023年实际在职人数</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77C5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控制率</w:t>
            </w:r>
          </w:p>
        </w:tc>
      </w:tr>
      <w:tr w14:paraId="0461C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BD5A">
            <w:pPr>
              <w:jc w:val="center"/>
              <w:rPr>
                <w:rFonts w:hint="eastAsia" w:ascii="宋体" w:hAnsi="宋体" w:eastAsia="宋体" w:cs="宋体"/>
                <w:b/>
                <w:bCs/>
                <w:i w:val="0"/>
                <w:iCs w:val="0"/>
                <w:color w:val="000000"/>
                <w:sz w:val="22"/>
                <w:szCs w:val="22"/>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8F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159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32</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E9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w:t>
            </w:r>
          </w:p>
        </w:tc>
      </w:tr>
      <w:tr w14:paraId="011A8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9500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经费控制情况(万元)</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695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2022年决算数</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20F9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2023年预算数</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CDC9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2023年决算数</w:t>
            </w:r>
          </w:p>
        </w:tc>
      </w:tr>
      <w:tr w14:paraId="46631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42D7C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三公经费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39C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447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D33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507D5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6088B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1、公务用车购置和维护经费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1F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569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24A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4E548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0F3E0A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其中：公车购置</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90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5F6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6C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1FD3D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337A70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公车运行维护</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BD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14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BD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68685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717669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2、出国经费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01A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827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22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14411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21380B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3、公务接待</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28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28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AD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3F82E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2AB74D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项目支出：</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B5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69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BE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098C1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5B6936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1、业务工作经费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74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88E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E7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4D8E2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329366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2、运行维护经费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07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34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E9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1602E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19F28F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3、本级专项资金（一个专项一行）</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99B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3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205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410E4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66A770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公用经费：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5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309.93</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A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354.19</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1E0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354.19</w:t>
            </w:r>
          </w:p>
        </w:tc>
      </w:tr>
      <w:tr w14:paraId="45822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46F86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其中：办公经费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B2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5DB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8.44</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09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8.44</w:t>
            </w:r>
          </w:p>
        </w:tc>
      </w:tr>
      <w:tr w14:paraId="05D7C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3A8AB0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水费、电费、差旅费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8E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12.84</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B6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12.6</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821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12.6</w:t>
            </w:r>
          </w:p>
        </w:tc>
      </w:tr>
      <w:tr w14:paraId="2825F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17755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会议费、培训费</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A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1.25</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879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2.84</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3A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2.84</w:t>
            </w:r>
          </w:p>
        </w:tc>
      </w:tr>
      <w:tr w14:paraId="15723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5A40A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政府采购金额</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F18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16.71</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74B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37.41</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B19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37.41</w:t>
            </w:r>
          </w:p>
        </w:tc>
      </w:tr>
      <w:tr w14:paraId="34417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90" w:hRule="atLeast"/>
        </w:trPr>
        <w:tc>
          <w:tcPr>
            <w:tcW w:w="3819" w:type="dxa"/>
            <w:tcBorders>
              <w:top w:val="single" w:color="000000" w:sz="4" w:space="0"/>
              <w:left w:val="single" w:color="000000" w:sz="4" w:space="0"/>
              <w:bottom w:val="single" w:color="000000" w:sz="4" w:space="0"/>
              <w:right w:val="nil"/>
            </w:tcBorders>
            <w:shd w:val="clear" w:color="auto" w:fill="auto"/>
            <w:noWrap/>
            <w:vAlign w:val="center"/>
          </w:tcPr>
          <w:p w14:paraId="61913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 xml:space="preserve">部门基本支出预算调整 </w:t>
            </w: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125FA">
            <w:pPr>
              <w:jc w:val="center"/>
              <w:rPr>
                <w:rFonts w:hint="eastAsia" w:ascii="宋体" w:hAnsi="宋体" w:eastAsia="宋体" w:cs="宋体"/>
                <w:i w:val="0"/>
                <w:iCs w:val="0"/>
                <w:color w:val="000000"/>
                <w:sz w:val="22"/>
                <w:szCs w:val="22"/>
                <w:u w:val="none"/>
              </w:rPr>
            </w:pP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A9B51">
            <w:pPr>
              <w:jc w:val="center"/>
              <w:rPr>
                <w:rFonts w:hint="eastAsia" w:ascii="宋体" w:hAnsi="宋体" w:eastAsia="宋体" w:cs="宋体"/>
                <w:i w:val="0"/>
                <w:iCs w:val="0"/>
                <w:color w:val="000000"/>
                <w:sz w:val="22"/>
                <w:szCs w:val="22"/>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4A082">
            <w:pPr>
              <w:jc w:val="center"/>
              <w:rPr>
                <w:rFonts w:hint="eastAsia" w:ascii="宋体" w:hAnsi="宋体" w:eastAsia="宋体" w:cs="宋体"/>
                <w:i w:val="0"/>
                <w:iCs w:val="0"/>
                <w:color w:val="000000"/>
                <w:sz w:val="22"/>
                <w:szCs w:val="22"/>
                <w:u w:val="none"/>
              </w:rPr>
            </w:pPr>
          </w:p>
        </w:tc>
      </w:tr>
      <w:tr w14:paraId="2C47C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89FF5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 xml:space="preserve">楼堂馆所控制情况 </w:t>
            </w:r>
            <w:r>
              <w:rPr>
                <w:rFonts w:hint="eastAsia" w:ascii="宋体" w:hAnsi="宋体" w:eastAsia="宋体" w:cs="宋体"/>
                <w:b/>
                <w:bCs/>
                <w:i w:val="0"/>
                <w:iCs w:val="0"/>
                <w:snapToGrid w:val="0"/>
                <w:color w:val="000000"/>
                <w:kern w:val="0"/>
                <w:sz w:val="22"/>
                <w:szCs w:val="22"/>
                <w:u w:val="none"/>
                <w:lang w:val="en-US" w:eastAsia="zh-CN" w:bidi="ar"/>
              </w:rPr>
              <w:br w:type="textWrapping"/>
            </w:r>
            <w:r>
              <w:rPr>
                <w:rFonts w:hint="eastAsia" w:ascii="宋体" w:hAnsi="宋体" w:eastAsia="宋体" w:cs="宋体"/>
                <w:b/>
                <w:bCs/>
                <w:i w:val="0"/>
                <w:iCs w:val="0"/>
                <w:snapToGrid w:val="0"/>
                <w:color w:val="000000"/>
                <w:kern w:val="0"/>
                <w:sz w:val="22"/>
                <w:szCs w:val="22"/>
                <w:u w:val="none"/>
                <w:lang w:val="en-US" w:eastAsia="zh-CN" w:bidi="ar"/>
              </w:rPr>
              <w:t>（2023年完工项目）</w:t>
            </w:r>
          </w:p>
        </w:tc>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BB42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 xml:space="preserve">批复规模 </w:t>
            </w:r>
            <w:r>
              <w:rPr>
                <w:rFonts w:hint="eastAsia" w:ascii="宋体" w:hAnsi="宋体" w:eastAsia="宋体" w:cs="宋体"/>
                <w:b/>
                <w:bCs/>
                <w:i w:val="0"/>
                <w:iCs w:val="0"/>
                <w:snapToGrid w:val="0"/>
                <w:color w:val="000000"/>
                <w:kern w:val="0"/>
                <w:sz w:val="22"/>
                <w:szCs w:val="22"/>
                <w:u w:val="none"/>
                <w:lang w:val="en-US" w:eastAsia="zh-CN" w:bidi="ar"/>
              </w:rPr>
              <w:br w:type="textWrapping"/>
            </w:r>
            <w:r>
              <w:rPr>
                <w:rFonts w:hint="eastAsia" w:ascii="宋体" w:hAnsi="宋体" w:eastAsia="宋体" w:cs="宋体"/>
                <w:b/>
                <w:bCs/>
                <w:i w:val="0"/>
                <w:iCs w:val="0"/>
                <w:snapToGrid w:val="0"/>
                <w:color w:val="000000"/>
                <w:kern w:val="0"/>
                <w:sz w:val="22"/>
                <w:szCs w:val="22"/>
                <w:u w:val="none"/>
                <w:lang w:val="en-US" w:eastAsia="zh-CN" w:bidi="ar"/>
              </w:rPr>
              <w:t>（㎡）</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DAA8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规模控制率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0646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实际投资</w:t>
            </w:r>
            <w:r>
              <w:rPr>
                <w:rFonts w:hint="eastAsia" w:ascii="宋体" w:hAnsi="宋体" w:eastAsia="宋体" w:cs="宋体"/>
                <w:b/>
                <w:bCs/>
                <w:i w:val="0"/>
                <w:iCs w:val="0"/>
                <w:snapToGrid w:val="0"/>
                <w:color w:val="000000"/>
                <w:kern w:val="0"/>
                <w:sz w:val="22"/>
                <w:szCs w:val="22"/>
                <w:u w:val="none"/>
                <w:lang w:val="en-US" w:eastAsia="zh-CN" w:bidi="ar"/>
              </w:rPr>
              <w:br w:type="textWrapping"/>
            </w:r>
            <w:r>
              <w:rPr>
                <w:rFonts w:hint="eastAsia" w:ascii="宋体" w:hAnsi="宋体" w:eastAsia="宋体" w:cs="宋体"/>
                <w:b/>
                <w:bCs/>
                <w:i w:val="0"/>
                <w:iCs w:val="0"/>
                <w:snapToGrid w:val="0"/>
                <w:color w:val="000000"/>
                <w:kern w:val="0"/>
                <w:sz w:val="22"/>
                <w:szCs w:val="22"/>
                <w:u w:val="none"/>
                <w:lang w:val="en-US" w:eastAsia="zh-CN" w:bidi="ar"/>
              </w:rPr>
              <w:t>（万元）</w:t>
            </w: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7783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投资概算控制率</w:t>
            </w:r>
          </w:p>
        </w:tc>
      </w:tr>
      <w:tr w14:paraId="70F22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B1D33">
            <w:pPr>
              <w:jc w:val="center"/>
              <w:rPr>
                <w:rFonts w:hint="eastAsia" w:ascii="宋体" w:hAnsi="宋体" w:eastAsia="宋体" w:cs="宋体"/>
                <w:b/>
                <w:bCs/>
                <w:i w:val="0"/>
                <w:iCs w:val="0"/>
                <w:color w:val="000000"/>
                <w:sz w:val="22"/>
                <w:szCs w:val="22"/>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7CB8B">
            <w:pPr>
              <w:jc w:val="center"/>
              <w:rPr>
                <w:rFonts w:hint="eastAsia" w:ascii="宋体" w:hAnsi="宋体" w:eastAsia="宋体" w:cs="宋体"/>
                <w:i w:val="0"/>
                <w:iCs w:val="0"/>
                <w:color w:val="000000"/>
                <w:sz w:val="22"/>
                <w:szCs w:val="22"/>
                <w:u w:val="none"/>
              </w:rPr>
            </w:pP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7B96A">
            <w:pPr>
              <w:jc w:val="center"/>
              <w:rPr>
                <w:rFonts w:hint="eastAsia" w:ascii="宋体" w:hAnsi="宋体" w:eastAsia="宋体" w:cs="宋体"/>
                <w:i w:val="0"/>
                <w:iCs w:val="0"/>
                <w:color w:val="000000"/>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C21CD">
            <w:pPr>
              <w:jc w:val="center"/>
              <w:rPr>
                <w:rFonts w:hint="eastAsia" w:ascii="宋体" w:hAnsi="宋体" w:eastAsia="宋体" w:cs="宋体"/>
                <w:i w:val="0"/>
                <w:iCs w:val="0"/>
                <w:color w:val="000000"/>
                <w:sz w:val="22"/>
                <w:szCs w:val="22"/>
                <w:u w:val="none"/>
              </w:rPr>
            </w:pPr>
          </w:p>
        </w:tc>
        <w:tc>
          <w:tcPr>
            <w:tcW w:w="12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986D7">
            <w:pPr>
              <w:jc w:val="center"/>
              <w:rPr>
                <w:rFonts w:hint="eastAsia" w:ascii="宋体" w:hAnsi="宋体" w:eastAsia="宋体" w:cs="宋体"/>
                <w:i w:val="0"/>
                <w:iCs w:val="0"/>
                <w:color w:val="000000"/>
                <w:sz w:val="22"/>
                <w:szCs w:val="22"/>
                <w:u w:val="none"/>
              </w:rPr>
            </w:pPr>
          </w:p>
        </w:tc>
      </w:tr>
      <w:tr w14:paraId="46918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9" w:type="dxa"/>
          <w:trHeight w:val="2296" w:hRule="atLeast"/>
        </w:trPr>
        <w:tc>
          <w:tcPr>
            <w:tcW w:w="3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C355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厉行节约保障措施</w:t>
            </w:r>
          </w:p>
        </w:tc>
        <w:tc>
          <w:tcPr>
            <w:tcW w:w="55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F6F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加强单位对厉行节俭的督促检查，定期公布各项费用支出情况，对浪费现象严重的及时予以通报批评;2、认真落实上级提出的有关费用实行零增长的要求，严格预算支出管理，降低行政运行成本;3、狠抓各项制度和措施的贯彻落实，对违反规定的，要依据党纪政纪和有关法律法规，严肃追究责任。</w:t>
            </w:r>
          </w:p>
        </w:tc>
      </w:tr>
    </w:tbl>
    <w:p w14:paraId="7797038A">
      <w:pPr>
        <w:pStyle w:val="10"/>
        <w:rPr>
          <w:rFonts w:ascii="黑体" w:hAnsi="黑体" w:eastAsia="黑体" w:cs="黑体"/>
          <w:spacing w:val="6"/>
          <w:sz w:val="31"/>
          <w:szCs w:val="31"/>
        </w:rPr>
      </w:pPr>
    </w:p>
    <w:p w14:paraId="35AF4533">
      <w:pPr>
        <w:pStyle w:val="10"/>
        <w:rPr>
          <w:rFonts w:ascii="黑体" w:hAnsi="黑体" w:eastAsia="黑体" w:cs="黑体"/>
          <w:spacing w:val="6"/>
          <w:sz w:val="31"/>
          <w:szCs w:val="31"/>
        </w:rPr>
      </w:pPr>
    </w:p>
    <w:p w14:paraId="23FF66D7">
      <w:pPr>
        <w:pStyle w:val="10"/>
        <w:rPr>
          <w:rFonts w:ascii="黑体" w:hAnsi="黑体" w:eastAsia="黑体" w:cs="黑体"/>
          <w:spacing w:val="6"/>
          <w:sz w:val="31"/>
          <w:szCs w:val="31"/>
        </w:rPr>
      </w:pPr>
    </w:p>
    <w:p w14:paraId="14A07686">
      <w:pPr>
        <w:pStyle w:val="10"/>
        <w:rPr>
          <w:rFonts w:ascii="黑体" w:hAnsi="黑体" w:eastAsia="黑体" w:cs="黑体"/>
          <w:spacing w:val="6"/>
          <w:sz w:val="31"/>
          <w:szCs w:val="31"/>
        </w:rPr>
      </w:pPr>
    </w:p>
    <w:p w14:paraId="43FE2BF6">
      <w:pPr>
        <w:pStyle w:val="10"/>
        <w:rPr>
          <w:rFonts w:ascii="黑体" w:hAnsi="黑体" w:eastAsia="黑体" w:cs="黑体"/>
          <w:spacing w:val="6"/>
          <w:sz w:val="31"/>
          <w:szCs w:val="31"/>
        </w:rPr>
      </w:pPr>
    </w:p>
    <w:p w14:paraId="1753002A">
      <w:pPr>
        <w:pStyle w:val="10"/>
        <w:rPr>
          <w:rFonts w:ascii="黑体" w:hAnsi="黑体" w:eastAsia="黑体" w:cs="黑体"/>
          <w:spacing w:val="6"/>
          <w:sz w:val="31"/>
          <w:szCs w:val="31"/>
        </w:rPr>
      </w:pPr>
    </w:p>
    <w:p w14:paraId="07BD0018">
      <w:pPr>
        <w:pStyle w:val="10"/>
        <w:rPr>
          <w:rFonts w:ascii="黑体" w:hAnsi="黑体" w:eastAsia="黑体" w:cs="黑体"/>
          <w:spacing w:val="6"/>
          <w:sz w:val="31"/>
          <w:szCs w:val="31"/>
        </w:rPr>
      </w:pPr>
    </w:p>
    <w:p w14:paraId="7BC120AD">
      <w:pPr>
        <w:spacing w:line="243" w:lineRule="auto"/>
        <w:jc w:val="center"/>
        <w:rPr>
          <w:rFonts w:hint="eastAsia" w:ascii="宋体" w:hAnsi="宋体" w:eastAsia="宋体" w:cs="宋体"/>
          <w:b/>
          <w:bCs/>
          <w:spacing w:val="9"/>
          <w:sz w:val="30"/>
          <w:szCs w:val="30"/>
          <w:lang w:val="en-US" w:eastAsia="zh-CN"/>
        </w:rPr>
      </w:pPr>
      <w:r>
        <w:rPr>
          <w:rFonts w:ascii="宋体" w:hAnsi="宋体" w:eastAsia="宋体" w:cs="宋体"/>
          <w:b/>
          <w:bCs/>
          <w:spacing w:val="9"/>
          <w:sz w:val="30"/>
          <w:szCs w:val="30"/>
        </w:rPr>
        <w:t>2023年度</w:t>
      </w:r>
      <w:r>
        <w:rPr>
          <w:rFonts w:hint="eastAsia" w:ascii="宋体" w:hAnsi="宋体" w:eastAsia="宋体" w:cs="宋体"/>
          <w:b/>
          <w:bCs/>
          <w:spacing w:val="9"/>
          <w:sz w:val="30"/>
          <w:szCs w:val="30"/>
          <w:lang w:val="en-US" w:eastAsia="zh-CN"/>
        </w:rPr>
        <w:t>益阳市安化县高明乡卫生院自评表</w:t>
      </w:r>
    </w:p>
    <w:p w14:paraId="4012D8EF">
      <w:pPr>
        <w:pStyle w:val="10"/>
        <w:jc w:val="right"/>
        <w:rPr>
          <w:rFonts w:ascii="黑体" w:hAnsi="黑体" w:eastAsia="黑体" w:cs="黑体"/>
          <w:spacing w:val="6"/>
          <w:sz w:val="24"/>
          <w:szCs w:val="24"/>
        </w:rPr>
      </w:pPr>
      <w:r>
        <w:rPr>
          <w:rFonts w:hint="eastAsia" w:ascii="宋体" w:hAnsi="宋体" w:eastAsia="宋体" w:cs="宋体"/>
          <w:spacing w:val="6"/>
          <w:sz w:val="24"/>
          <w:szCs w:val="24"/>
          <w:lang w:eastAsia="zh-CN"/>
        </w:rPr>
        <w:t>单位：万元</w:t>
      </w:r>
    </w:p>
    <w:tbl>
      <w:tblPr>
        <w:tblStyle w:val="11"/>
        <w:tblW w:w="918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5"/>
        <w:gridCol w:w="720"/>
        <w:gridCol w:w="915"/>
        <w:gridCol w:w="1275"/>
        <w:gridCol w:w="660"/>
        <w:gridCol w:w="1375"/>
        <w:gridCol w:w="710"/>
        <w:gridCol w:w="945"/>
        <w:gridCol w:w="570"/>
        <w:gridCol w:w="825"/>
        <w:gridCol w:w="788"/>
      </w:tblGrid>
      <w:tr w14:paraId="22F7B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1" w:hRule="atLeast"/>
        </w:trPr>
        <w:tc>
          <w:tcPr>
            <w:tcW w:w="204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9342D7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预算部门名称</w:t>
            </w:r>
          </w:p>
        </w:tc>
        <w:tc>
          <w:tcPr>
            <w:tcW w:w="7148"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14:paraId="754B8FD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益阳市安化县高明乡卫生院</w:t>
            </w:r>
          </w:p>
        </w:tc>
      </w:tr>
      <w:tr w14:paraId="3BDD6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204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7570F6">
            <w:pPr>
              <w:keepNext w:val="0"/>
              <w:keepLines w:val="0"/>
              <w:widowControl/>
              <w:suppressLineNumbers w:val="0"/>
              <w:jc w:val="center"/>
              <w:textAlignment w:val="center"/>
              <w:rPr>
                <w:rFonts w:ascii="Microsoft YaHei UI" w:hAnsi="Microsoft YaHei UI" w:eastAsia="Microsoft YaHei UI" w:cs="Microsoft YaHei UI"/>
                <w:i w:val="0"/>
                <w:iCs w:val="0"/>
                <w:color w:val="000000"/>
                <w:sz w:val="20"/>
                <w:szCs w:val="20"/>
                <w:u w:val="none"/>
              </w:rPr>
            </w:pPr>
            <w:r>
              <w:rPr>
                <w:rFonts w:hint="default" w:ascii="Microsoft YaHei UI" w:hAnsi="Microsoft YaHei UI" w:eastAsia="Microsoft YaHei UI" w:cs="Microsoft YaHei UI"/>
                <w:b/>
                <w:bCs/>
                <w:i w:val="0"/>
                <w:iCs w:val="0"/>
                <w:snapToGrid w:val="0"/>
                <w:color w:val="000000"/>
                <w:kern w:val="0"/>
                <w:sz w:val="20"/>
                <w:szCs w:val="20"/>
                <w:u w:val="none"/>
                <w:lang w:val="en-US" w:eastAsia="zh-CN" w:bidi="ar"/>
              </w:rPr>
              <w:t>年度预算申请</w:t>
            </w:r>
            <w:r>
              <w:rPr>
                <w:rFonts w:hint="default" w:ascii="Microsoft YaHei UI" w:hAnsi="Microsoft YaHei UI" w:eastAsia="Microsoft YaHei UI" w:cs="Microsoft YaHei UI"/>
                <w:b/>
                <w:bCs/>
                <w:i w:val="0"/>
                <w:iCs w:val="0"/>
                <w:snapToGrid w:val="0"/>
                <w:color w:val="000000"/>
                <w:kern w:val="0"/>
                <w:sz w:val="20"/>
                <w:szCs w:val="20"/>
                <w:u w:val="none"/>
                <w:lang w:val="en-US" w:eastAsia="zh-CN" w:bidi="ar"/>
              </w:rPr>
              <w:br w:type="textWrapping"/>
            </w:r>
            <w:r>
              <w:rPr>
                <w:rFonts w:hint="default" w:ascii="Microsoft YaHei UI" w:hAnsi="Microsoft YaHei UI" w:eastAsia="Microsoft YaHei UI" w:cs="Microsoft YaHei UI"/>
                <w:b/>
                <w:bCs/>
                <w:i w:val="0"/>
                <w:iCs w:val="0"/>
                <w:snapToGrid w:val="0"/>
                <w:color w:val="000000"/>
                <w:kern w:val="0"/>
                <w:sz w:val="20"/>
                <w:szCs w:val="20"/>
                <w:u w:val="none"/>
                <w:lang w:val="en-US" w:eastAsia="zh-CN" w:bidi="ar"/>
              </w:rPr>
              <w:t>(万元)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7D4FA2D">
            <w:pPr>
              <w:jc w:val="center"/>
              <w:rPr>
                <w:rFonts w:hint="eastAsia" w:ascii="宋体" w:hAnsi="宋体" w:eastAsia="宋体" w:cs="宋体"/>
                <w:i w:val="0"/>
                <w:iCs w:val="0"/>
                <w:color w:val="000000"/>
                <w:sz w:val="20"/>
                <w:szCs w:val="20"/>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14:paraId="05411B70">
            <w:pPr>
              <w:keepNext w:val="0"/>
              <w:keepLines w:val="0"/>
              <w:widowControl/>
              <w:suppressLineNumbers w:val="0"/>
              <w:jc w:val="center"/>
              <w:textAlignment w:val="center"/>
              <w:rPr>
                <w:rFonts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年初预算数(万元)</w:t>
            </w:r>
          </w:p>
        </w:tc>
        <w:tc>
          <w:tcPr>
            <w:tcW w:w="137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E0E13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全年预算数（万元）</w:t>
            </w:r>
          </w:p>
        </w:tc>
        <w:tc>
          <w:tcPr>
            <w:tcW w:w="165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CD931B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全年执行数（万元）</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14:paraId="29E01E3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分值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8BDD32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执行率</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4B119116">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得分</w:t>
            </w:r>
          </w:p>
        </w:tc>
      </w:tr>
      <w:tr w14:paraId="4D160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2040" w:type="dxa"/>
            <w:gridSpan w:val="3"/>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630C616">
            <w:pPr>
              <w:jc w:val="center"/>
              <w:rPr>
                <w:rFonts w:hint="default" w:ascii="Microsoft YaHei UI" w:hAnsi="Microsoft YaHei UI" w:eastAsia="Microsoft YaHei UI" w:cs="Microsoft YaHei UI"/>
                <w:i w:val="0"/>
                <w:iCs w:val="0"/>
                <w:color w:val="000000"/>
                <w:sz w:val="20"/>
                <w:szCs w:val="20"/>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4D428C2E">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年度资金总额：</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14:paraId="20DD286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27.61</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6FE6D357">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542.7</w:t>
            </w:r>
          </w:p>
        </w:tc>
        <w:tc>
          <w:tcPr>
            <w:tcW w:w="16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B036F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542.7</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14:paraId="2F31123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10</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31B8F5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100.00%</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7E6A668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10.00</w:t>
            </w:r>
          </w:p>
        </w:tc>
      </w:tr>
      <w:tr w14:paraId="65A91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2040" w:type="dxa"/>
            <w:gridSpan w:val="3"/>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35AB4CC">
            <w:pPr>
              <w:jc w:val="center"/>
              <w:rPr>
                <w:rFonts w:hint="default" w:ascii="Microsoft YaHei UI" w:hAnsi="Microsoft YaHei UI" w:eastAsia="Microsoft YaHei UI" w:cs="Microsoft YaHei UI"/>
                <w:i w:val="0"/>
                <w:iCs w:val="0"/>
                <w:color w:val="000000"/>
                <w:sz w:val="20"/>
                <w:szCs w:val="20"/>
                <w:u w:val="none"/>
              </w:rPr>
            </w:pPr>
          </w:p>
        </w:tc>
        <w:tc>
          <w:tcPr>
            <w:tcW w:w="496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0549E4A">
            <w:pPr>
              <w:keepNext w:val="0"/>
              <w:keepLines w:val="0"/>
              <w:widowControl/>
              <w:suppressLineNumbers w:val="0"/>
              <w:jc w:val="left"/>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按收入性质分：</w:t>
            </w:r>
          </w:p>
        </w:tc>
        <w:tc>
          <w:tcPr>
            <w:tcW w:w="21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B6CF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按支出性质分：</w:t>
            </w:r>
          </w:p>
        </w:tc>
      </w:tr>
      <w:tr w14:paraId="0D77E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2040" w:type="dxa"/>
            <w:gridSpan w:val="3"/>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7CA8D954">
            <w:pPr>
              <w:jc w:val="center"/>
              <w:rPr>
                <w:rFonts w:hint="default" w:ascii="Microsoft YaHei UI" w:hAnsi="Microsoft YaHei UI" w:eastAsia="Microsoft YaHei UI" w:cs="Microsoft YaHei UI"/>
                <w:i w:val="0"/>
                <w:iCs w:val="0"/>
                <w:color w:val="000000"/>
                <w:sz w:val="20"/>
                <w:szCs w:val="20"/>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54274D53">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一般公共预算：</w:t>
            </w:r>
          </w:p>
        </w:tc>
        <w:tc>
          <w:tcPr>
            <w:tcW w:w="369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FC3340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297.49</w:t>
            </w:r>
          </w:p>
        </w:tc>
        <w:tc>
          <w:tcPr>
            <w:tcW w:w="5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45510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其中:基本支出：</w:t>
            </w:r>
          </w:p>
        </w:tc>
        <w:tc>
          <w:tcPr>
            <w:tcW w:w="161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7ED58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542.7</w:t>
            </w:r>
          </w:p>
        </w:tc>
      </w:tr>
      <w:tr w14:paraId="106FA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2040" w:type="dxa"/>
            <w:gridSpan w:val="3"/>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78FC402C">
            <w:pPr>
              <w:jc w:val="center"/>
              <w:rPr>
                <w:rFonts w:hint="default" w:ascii="Microsoft YaHei UI" w:hAnsi="Microsoft YaHei UI" w:eastAsia="Microsoft YaHei UI" w:cs="Microsoft YaHei UI"/>
                <w:i w:val="0"/>
                <w:iCs w:val="0"/>
                <w:color w:val="000000"/>
                <w:sz w:val="20"/>
                <w:szCs w:val="20"/>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60CA93D9">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政府性基金拨款：</w:t>
            </w:r>
          </w:p>
        </w:tc>
        <w:tc>
          <w:tcPr>
            <w:tcW w:w="369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15AFAB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0.00</w:t>
            </w:r>
          </w:p>
        </w:tc>
        <w:tc>
          <w:tcPr>
            <w:tcW w:w="5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EF5BAC">
            <w:pPr>
              <w:jc w:val="center"/>
              <w:rPr>
                <w:rFonts w:hint="eastAsia" w:ascii="宋体" w:hAnsi="宋体" w:eastAsia="宋体" w:cs="宋体"/>
                <w:b/>
                <w:bCs/>
                <w:i w:val="0"/>
                <w:iCs w:val="0"/>
                <w:color w:val="000000"/>
                <w:sz w:val="20"/>
                <w:szCs w:val="20"/>
                <w:u w:val="none"/>
              </w:rPr>
            </w:pPr>
          </w:p>
        </w:tc>
        <w:tc>
          <w:tcPr>
            <w:tcW w:w="161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4D0136">
            <w:pPr>
              <w:jc w:val="center"/>
              <w:rPr>
                <w:rFonts w:hint="default" w:ascii="Times New Roman" w:hAnsi="Times New Roman" w:eastAsia="宋体" w:cs="Times New Roman"/>
                <w:i w:val="0"/>
                <w:iCs w:val="0"/>
                <w:color w:val="000000"/>
                <w:sz w:val="20"/>
                <w:szCs w:val="20"/>
                <w:u w:val="none"/>
              </w:rPr>
            </w:pPr>
          </w:p>
        </w:tc>
      </w:tr>
      <w:tr w14:paraId="7038C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1" w:hRule="atLeast"/>
        </w:trPr>
        <w:tc>
          <w:tcPr>
            <w:tcW w:w="2040" w:type="dxa"/>
            <w:gridSpan w:val="3"/>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15C9407">
            <w:pPr>
              <w:jc w:val="center"/>
              <w:rPr>
                <w:rFonts w:hint="default" w:ascii="Microsoft YaHei UI" w:hAnsi="Microsoft YaHei UI" w:eastAsia="Microsoft YaHei UI" w:cs="Microsoft YaHei UI"/>
                <w:i w:val="0"/>
                <w:iCs w:val="0"/>
                <w:color w:val="000000"/>
                <w:sz w:val="20"/>
                <w:szCs w:val="20"/>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5376012B">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纳入专户管理的非税收入拨款：</w:t>
            </w:r>
          </w:p>
        </w:tc>
        <w:tc>
          <w:tcPr>
            <w:tcW w:w="369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095EB5C">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0.00</w:t>
            </w:r>
          </w:p>
        </w:tc>
        <w:tc>
          <w:tcPr>
            <w:tcW w:w="5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A6287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项目支出：</w:t>
            </w:r>
          </w:p>
        </w:tc>
        <w:tc>
          <w:tcPr>
            <w:tcW w:w="161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F12405">
            <w:pPr>
              <w:jc w:val="center"/>
              <w:rPr>
                <w:rFonts w:hint="default" w:ascii="Times New Roman" w:hAnsi="Times New Roman" w:eastAsia="宋体" w:cs="Times New Roman"/>
                <w:i w:val="0"/>
                <w:iCs w:val="0"/>
                <w:color w:val="000000"/>
                <w:sz w:val="20"/>
                <w:szCs w:val="20"/>
                <w:u w:val="none"/>
              </w:rPr>
            </w:pPr>
          </w:p>
        </w:tc>
      </w:tr>
      <w:tr w14:paraId="4D2BA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2040" w:type="dxa"/>
            <w:gridSpan w:val="3"/>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332433C">
            <w:pPr>
              <w:jc w:val="center"/>
              <w:rPr>
                <w:rFonts w:hint="default" w:ascii="Microsoft YaHei UI" w:hAnsi="Microsoft YaHei UI" w:eastAsia="Microsoft YaHei UI" w:cs="Microsoft YaHei UI"/>
                <w:i w:val="0"/>
                <w:iCs w:val="0"/>
                <w:color w:val="000000"/>
                <w:sz w:val="20"/>
                <w:szCs w:val="20"/>
                <w:u w:val="none"/>
              </w:rPr>
            </w:pPr>
          </w:p>
        </w:tc>
        <w:tc>
          <w:tcPr>
            <w:tcW w:w="1275" w:type="dxa"/>
            <w:tcBorders>
              <w:top w:val="single" w:color="auto" w:sz="4" w:space="0"/>
              <w:left w:val="single" w:color="000000" w:sz="4" w:space="0"/>
              <w:bottom w:val="nil"/>
              <w:right w:val="single" w:color="000000" w:sz="4" w:space="0"/>
            </w:tcBorders>
            <w:shd w:val="clear" w:color="auto" w:fill="auto"/>
            <w:vAlign w:val="center"/>
          </w:tcPr>
          <w:p w14:paraId="7A60713A">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其他资金</w:t>
            </w:r>
          </w:p>
        </w:tc>
        <w:tc>
          <w:tcPr>
            <w:tcW w:w="3690" w:type="dxa"/>
            <w:gridSpan w:val="4"/>
            <w:tcBorders>
              <w:top w:val="single" w:color="auto" w:sz="4" w:space="0"/>
              <w:left w:val="single" w:color="000000" w:sz="4" w:space="0"/>
              <w:bottom w:val="nil"/>
              <w:right w:val="single" w:color="000000" w:sz="4" w:space="0"/>
            </w:tcBorders>
            <w:shd w:val="clear" w:color="auto" w:fill="auto"/>
            <w:vAlign w:val="center"/>
          </w:tcPr>
          <w:p w14:paraId="7160E2D6">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5.59</w:t>
            </w:r>
          </w:p>
        </w:tc>
        <w:tc>
          <w:tcPr>
            <w:tcW w:w="570" w:type="dxa"/>
            <w:vMerge w:val="continue"/>
            <w:tcBorders>
              <w:top w:val="single" w:color="auto" w:sz="4" w:space="0"/>
              <w:left w:val="single" w:color="000000" w:sz="4" w:space="0"/>
              <w:bottom w:val="nil"/>
              <w:right w:val="single" w:color="000000" w:sz="4" w:space="0"/>
            </w:tcBorders>
            <w:shd w:val="clear" w:color="auto" w:fill="auto"/>
            <w:vAlign w:val="center"/>
          </w:tcPr>
          <w:p w14:paraId="16DB3A2D">
            <w:pPr>
              <w:jc w:val="center"/>
              <w:rPr>
                <w:rFonts w:hint="eastAsia" w:ascii="宋体" w:hAnsi="宋体" w:eastAsia="宋体" w:cs="宋体"/>
                <w:b/>
                <w:bCs/>
                <w:i w:val="0"/>
                <w:iCs w:val="0"/>
                <w:color w:val="000000"/>
                <w:sz w:val="20"/>
                <w:szCs w:val="20"/>
                <w:u w:val="none"/>
              </w:rPr>
            </w:pPr>
          </w:p>
        </w:tc>
        <w:tc>
          <w:tcPr>
            <w:tcW w:w="1613" w:type="dxa"/>
            <w:gridSpan w:val="2"/>
            <w:vMerge w:val="continue"/>
            <w:tcBorders>
              <w:top w:val="single" w:color="auto" w:sz="4" w:space="0"/>
              <w:left w:val="nil"/>
              <w:bottom w:val="nil"/>
              <w:right w:val="single" w:color="auto" w:sz="4" w:space="0"/>
            </w:tcBorders>
            <w:shd w:val="clear" w:color="auto" w:fill="auto"/>
            <w:vAlign w:val="center"/>
          </w:tcPr>
          <w:p w14:paraId="21E66B26">
            <w:pPr>
              <w:jc w:val="center"/>
              <w:rPr>
                <w:rFonts w:hint="default" w:ascii="Times New Roman" w:hAnsi="Times New Roman" w:eastAsia="宋体" w:cs="Times New Roman"/>
                <w:i w:val="0"/>
                <w:iCs w:val="0"/>
                <w:color w:val="000000"/>
                <w:sz w:val="20"/>
                <w:szCs w:val="20"/>
                <w:u w:val="none"/>
              </w:rPr>
            </w:pPr>
          </w:p>
        </w:tc>
      </w:tr>
      <w:tr w14:paraId="011CD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20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4E0409">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年度总体目标</w:t>
            </w:r>
          </w:p>
        </w:tc>
        <w:tc>
          <w:tcPr>
            <w:tcW w:w="4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63993D">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预期目标</w:t>
            </w:r>
          </w:p>
        </w:tc>
        <w:tc>
          <w:tcPr>
            <w:tcW w:w="2183" w:type="dxa"/>
            <w:gridSpan w:val="3"/>
            <w:tcBorders>
              <w:top w:val="single" w:color="000000" w:sz="4" w:space="0"/>
              <w:left w:val="nil"/>
              <w:bottom w:val="single" w:color="000000" w:sz="4" w:space="0"/>
              <w:right w:val="single" w:color="000000" w:sz="4" w:space="0"/>
            </w:tcBorders>
            <w:shd w:val="clear" w:color="auto" w:fill="auto"/>
            <w:vAlign w:val="center"/>
          </w:tcPr>
          <w:p w14:paraId="30518F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实际完成情况</w:t>
            </w:r>
          </w:p>
        </w:tc>
      </w:tr>
      <w:tr w14:paraId="61E38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1" w:hRule="atLeast"/>
        </w:trPr>
        <w:tc>
          <w:tcPr>
            <w:tcW w:w="20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39E70">
            <w:pPr>
              <w:jc w:val="center"/>
              <w:rPr>
                <w:rFonts w:hint="default" w:ascii="仿宋_GB2312" w:hAnsi="宋体" w:eastAsia="仿宋_GB2312" w:cs="仿宋_GB2312"/>
                <w:b/>
                <w:bCs/>
                <w:i w:val="0"/>
                <w:iCs w:val="0"/>
                <w:color w:val="000000"/>
                <w:sz w:val="20"/>
                <w:szCs w:val="20"/>
                <w:u w:val="none"/>
              </w:rPr>
            </w:pPr>
          </w:p>
        </w:tc>
        <w:tc>
          <w:tcPr>
            <w:tcW w:w="4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AC8395">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（1）全面推行6S管理，提升我院整体形象</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（2）狠抓医疗质量与安全医疗</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（3）强化基本公共卫生服务执行力度</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（4）强化医疗保障工作，促进工作稳步开展</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 xml:space="preserve">（5）严格执行医改政策，完善基本药物制度 </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（6）全面抓好党建各项工作，落实党建责任</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（7）全力做好乡村振兴各项工作</w:t>
            </w:r>
          </w:p>
        </w:tc>
        <w:tc>
          <w:tcPr>
            <w:tcW w:w="2183" w:type="dxa"/>
            <w:gridSpan w:val="3"/>
            <w:tcBorders>
              <w:top w:val="single" w:color="000000" w:sz="4" w:space="0"/>
              <w:left w:val="nil"/>
              <w:bottom w:val="single" w:color="000000" w:sz="4" w:space="0"/>
              <w:right w:val="single" w:color="000000" w:sz="4" w:space="0"/>
            </w:tcBorders>
            <w:shd w:val="clear" w:color="auto" w:fill="auto"/>
            <w:vAlign w:val="center"/>
          </w:tcPr>
          <w:p w14:paraId="38AD7B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已完成</w:t>
            </w:r>
          </w:p>
        </w:tc>
      </w:tr>
      <w:tr w14:paraId="0760B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AA9779">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绩效指标</w:t>
            </w:r>
          </w:p>
        </w:tc>
        <w:tc>
          <w:tcPr>
            <w:tcW w:w="720" w:type="dxa"/>
            <w:vMerge w:val="restart"/>
            <w:tcBorders>
              <w:top w:val="single" w:color="000000" w:sz="4" w:space="0"/>
              <w:left w:val="single" w:color="000000" w:sz="4" w:space="0"/>
              <w:bottom w:val="single" w:color="000000" w:sz="4" w:space="0"/>
              <w:right w:val="nil"/>
            </w:tcBorders>
            <w:shd w:val="clear" w:color="auto" w:fill="auto"/>
            <w:vAlign w:val="center"/>
          </w:tcPr>
          <w:p w14:paraId="7AA759E0">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一级指标</w:t>
            </w:r>
          </w:p>
        </w:tc>
        <w:tc>
          <w:tcPr>
            <w:tcW w:w="915" w:type="dxa"/>
            <w:vMerge w:val="restart"/>
            <w:tcBorders>
              <w:top w:val="single" w:color="000000" w:sz="4" w:space="0"/>
              <w:left w:val="single" w:color="000000" w:sz="4" w:space="0"/>
              <w:bottom w:val="single" w:color="000000" w:sz="4" w:space="0"/>
              <w:right w:val="nil"/>
            </w:tcBorders>
            <w:shd w:val="clear" w:color="auto" w:fill="auto"/>
            <w:noWrap/>
            <w:vAlign w:val="center"/>
          </w:tcPr>
          <w:p w14:paraId="7BA87B3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二级指标</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9EE3FC">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三级指标</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46BF59">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年度指标值</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D90D4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实际完成值</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716968">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分值</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5FCBBC">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得分</w:t>
            </w:r>
          </w:p>
        </w:tc>
        <w:tc>
          <w:tcPr>
            <w:tcW w:w="2183" w:type="dxa"/>
            <w:gridSpan w:val="3"/>
            <w:vMerge w:val="restart"/>
            <w:tcBorders>
              <w:top w:val="single" w:color="000000" w:sz="4" w:space="0"/>
              <w:left w:val="nil"/>
              <w:bottom w:val="nil"/>
              <w:right w:val="single" w:color="000000" w:sz="4" w:space="0"/>
            </w:tcBorders>
            <w:shd w:val="clear" w:color="auto" w:fill="auto"/>
            <w:noWrap/>
            <w:vAlign w:val="center"/>
          </w:tcPr>
          <w:p w14:paraId="7D214A4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偏差原因分析及改进措施</w:t>
            </w:r>
          </w:p>
        </w:tc>
      </w:tr>
      <w:tr w14:paraId="4E72F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89EC1">
            <w:pPr>
              <w:jc w:val="center"/>
              <w:rPr>
                <w:rFonts w:hint="default" w:ascii="仿宋_GB2312" w:hAnsi="宋体" w:eastAsia="仿宋_GB2312" w:cs="仿宋_GB2312"/>
                <w:b/>
                <w:bCs/>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vAlign w:val="center"/>
          </w:tcPr>
          <w:p w14:paraId="1C247DA6">
            <w:pPr>
              <w:jc w:val="center"/>
              <w:rPr>
                <w:rFonts w:hint="default" w:ascii="仿宋_GB2312" w:hAnsi="宋体" w:eastAsia="仿宋_GB2312" w:cs="仿宋_GB2312"/>
                <w:b/>
                <w:bCs/>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nil"/>
            </w:tcBorders>
            <w:shd w:val="clear" w:color="auto" w:fill="auto"/>
            <w:noWrap/>
            <w:vAlign w:val="center"/>
          </w:tcPr>
          <w:p w14:paraId="5EE8C116">
            <w:pPr>
              <w:jc w:val="center"/>
              <w:rPr>
                <w:rFonts w:hint="eastAsia" w:ascii="宋体" w:hAnsi="宋体" w:eastAsia="宋体" w:cs="宋体"/>
                <w:b/>
                <w:bCs/>
                <w:i w:val="0"/>
                <w:iCs w:val="0"/>
                <w:color w:val="000000"/>
                <w:sz w:val="22"/>
                <w:szCs w:val="22"/>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5F482">
            <w:pPr>
              <w:jc w:val="center"/>
              <w:rPr>
                <w:rFonts w:hint="default" w:ascii="仿宋_GB2312" w:hAnsi="宋体" w:eastAsia="仿宋_GB2312" w:cs="仿宋_GB2312"/>
                <w:b/>
                <w:bCs/>
                <w:i w:val="0"/>
                <w:iCs w:val="0"/>
                <w:color w:val="000000"/>
                <w:sz w:val="20"/>
                <w:szCs w:val="20"/>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70410">
            <w:pPr>
              <w:jc w:val="center"/>
              <w:rPr>
                <w:rFonts w:hint="default" w:ascii="仿宋_GB2312" w:hAnsi="宋体" w:eastAsia="仿宋_GB2312" w:cs="仿宋_GB2312"/>
                <w:b/>
                <w:bCs/>
                <w:i w:val="0"/>
                <w:iCs w:val="0"/>
                <w:color w:val="000000"/>
                <w:sz w:val="20"/>
                <w:szCs w:val="20"/>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3B3A0">
            <w:pPr>
              <w:jc w:val="center"/>
              <w:rPr>
                <w:rFonts w:hint="eastAsia" w:ascii="宋体" w:hAnsi="宋体" w:eastAsia="宋体" w:cs="宋体"/>
                <w:b/>
                <w:bCs/>
                <w:i w:val="0"/>
                <w:iCs w:val="0"/>
                <w:color w:val="000000"/>
                <w:sz w:val="20"/>
                <w:szCs w:val="20"/>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32FD4">
            <w:pPr>
              <w:jc w:val="center"/>
              <w:rPr>
                <w:rFonts w:hint="default" w:ascii="仿宋_GB2312" w:hAnsi="宋体" w:eastAsia="仿宋_GB2312" w:cs="仿宋_GB2312"/>
                <w:b/>
                <w:bCs/>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FADAF">
            <w:pPr>
              <w:jc w:val="center"/>
              <w:rPr>
                <w:rFonts w:hint="default" w:ascii="仿宋_GB2312" w:hAnsi="宋体" w:eastAsia="仿宋_GB2312" w:cs="仿宋_GB2312"/>
                <w:b/>
                <w:bCs/>
                <w:i w:val="0"/>
                <w:iCs w:val="0"/>
                <w:color w:val="000000"/>
                <w:sz w:val="20"/>
                <w:szCs w:val="20"/>
                <w:u w:val="none"/>
              </w:rPr>
            </w:pPr>
          </w:p>
        </w:tc>
        <w:tc>
          <w:tcPr>
            <w:tcW w:w="2183" w:type="dxa"/>
            <w:gridSpan w:val="3"/>
            <w:vMerge w:val="continue"/>
            <w:tcBorders>
              <w:top w:val="single" w:color="000000" w:sz="4" w:space="0"/>
              <w:left w:val="nil"/>
              <w:bottom w:val="nil"/>
              <w:right w:val="single" w:color="000000" w:sz="4" w:space="0"/>
            </w:tcBorders>
            <w:shd w:val="clear" w:color="auto" w:fill="auto"/>
            <w:noWrap/>
            <w:vAlign w:val="center"/>
          </w:tcPr>
          <w:p w14:paraId="27ADB608">
            <w:pPr>
              <w:jc w:val="center"/>
              <w:rPr>
                <w:rFonts w:hint="eastAsia" w:ascii="宋体" w:hAnsi="宋体" w:eastAsia="宋体" w:cs="宋体"/>
                <w:b/>
                <w:bCs/>
                <w:i w:val="0"/>
                <w:iCs w:val="0"/>
                <w:color w:val="000000"/>
                <w:sz w:val="22"/>
                <w:szCs w:val="22"/>
                <w:u w:val="none"/>
              </w:rPr>
            </w:pPr>
          </w:p>
        </w:tc>
      </w:tr>
      <w:tr w14:paraId="705D3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B43F35">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绩效指标</w:t>
            </w:r>
          </w:p>
        </w:tc>
        <w:tc>
          <w:tcPr>
            <w:tcW w:w="720" w:type="dxa"/>
            <w:vMerge w:val="restart"/>
            <w:tcBorders>
              <w:top w:val="single" w:color="000000" w:sz="4" w:space="0"/>
              <w:left w:val="single" w:color="000000" w:sz="4" w:space="0"/>
              <w:bottom w:val="single" w:color="000000" w:sz="4" w:space="0"/>
              <w:right w:val="nil"/>
            </w:tcBorders>
            <w:shd w:val="clear" w:color="auto" w:fill="auto"/>
            <w:noWrap/>
            <w:vAlign w:val="center"/>
          </w:tcPr>
          <w:p w14:paraId="6A93DD0A">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产出指标</w:t>
            </w:r>
          </w:p>
        </w:tc>
        <w:tc>
          <w:tcPr>
            <w:tcW w:w="915" w:type="dxa"/>
            <w:vMerge w:val="restart"/>
            <w:tcBorders>
              <w:top w:val="single" w:color="000000" w:sz="4" w:space="0"/>
              <w:left w:val="single" w:color="000000" w:sz="4" w:space="0"/>
              <w:bottom w:val="single" w:color="000000" w:sz="4" w:space="0"/>
              <w:right w:val="nil"/>
            </w:tcBorders>
            <w:shd w:val="clear" w:color="auto" w:fill="auto"/>
            <w:noWrap/>
            <w:vAlign w:val="center"/>
          </w:tcPr>
          <w:p w14:paraId="12735E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数量指标</w:t>
            </w:r>
          </w:p>
        </w:tc>
        <w:tc>
          <w:tcPr>
            <w:tcW w:w="1275" w:type="dxa"/>
            <w:tcBorders>
              <w:top w:val="nil"/>
              <w:left w:val="single" w:color="000000" w:sz="4" w:space="0"/>
              <w:bottom w:val="single" w:color="000000" w:sz="4" w:space="0"/>
              <w:right w:val="nil"/>
            </w:tcBorders>
            <w:shd w:val="clear" w:color="auto" w:fill="auto"/>
            <w:vAlign w:val="center"/>
          </w:tcPr>
          <w:p w14:paraId="0F4FDF10">
            <w:pPr>
              <w:keepNext w:val="0"/>
              <w:keepLines w:val="0"/>
              <w:widowControl/>
              <w:suppressLineNumbers w:val="0"/>
              <w:jc w:val="center"/>
              <w:textAlignment w:val="center"/>
              <w:rPr>
                <w:rFonts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建立电子健康档案</w:t>
            </w:r>
          </w:p>
        </w:tc>
        <w:tc>
          <w:tcPr>
            <w:tcW w:w="660" w:type="dxa"/>
            <w:tcBorders>
              <w:top w:val="nil"/>
              <w:left w:val="single" w:color="000000" w:sz="4" w:space="0"/>
              <w:bottom w:val="single" w:color="000000" w:sz="4" w:space="0"/>
              <w:right w:val="nil"/>
            </w:tcBorders>
            <w:shd w:val="clear" w:color="auto" w:fill="auto"/>
            <w:vAlign w:val="center"/>
          </w:tcPr>
          <w:p w14:paraId="126AC11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≥14800人</w:t>
            </w:r>
          </w:p>
        </w:tc>
        <w:tc>
          <w:tcPr>
            <w:tcW w:w="1375" w:type="dxa"/>
            <w:tcBorders>
              <w:top w:val="nil"/>
              <w:left w:val="single" w:color="000000" w:sz="4" w:space="0"/>
              <w:bottom w:val="single" w:color="000000" w:sz="4" w:space="0"/>
              <w:right w:val="nil"/>
            </w:tcBorders>
            <w:shd w:val="clear" w:color="auto" w:fill="auto"/>
            <w:vAlign w:val="center"/>
          </w:tcPr>
          <w:p w14:paraId="01A90FF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17483人</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70B99">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1E58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28749">
            <w:pPr>
              <w:jc w:val="center"/>
              <w:rPr>
                <w:rFonts w:hint="eastAsia" w:ascii="宋体" w:hAnsi="宋体" w:eastAsia="宋体" w:cs="宋体"/>
                <w:i w:val="0"/>
                <w:iCs w:val="0"/>
                <w:color w:val="000000"/>
                <w:sz w:val="22"/>
                <w:szCs w:val="22"/>
                <w:u w:val="none"/>
              </w:rPr>
            </w:pPr>
          </w:p>
        </w:tc>
      </w:tr>
      <w:tr w14:paraId="2E3FE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064BA">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31846C38">
            <w:pPr>
              <w:rPr>
                <w:rFonts w:hint="default" w:ascii="仿宋_GB2312" w:hAnsi="宋体" w:eastAsia="仿宋_GB2312" w:cs="仿宋_GB2312"/>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nil"/>
            </w:tcBorders>
            <w:shd w:val="clear" w:color="auto" w:fill="auto"/>
            <w:noWrap/>
            <w:vAlign w:val="center"/>
          </w:tcPr>
          <w:p w14:paraId="3DB3B630">
            <w:pPr>
              <w:rPr>
                <w:rFonts w:hint="eastAsia" w:ascii="宋体" w:hAnsi="宋体" w:eastAsia="宋体" w:cs="宋体"/>
                <w:i w:val="0"/>
                <w:iCs w:val="0"/>
                <w:color w:val="000000"/>
                <w:sz w:val="22"/>
                <w:szCs w:val="22"/>
                <w:u w:val="none"/>
              </w:rPr>
            </w:pPr>
          </w:p>
        </w:tc>
        <w:tc>
          <w:tcPr>
            <w:tcW w:w="1275" w:type="dxa"/>
            <w:tcBorders>
              <w:top w:val="nil"/>
              <w:left w:val="single" w:color="000000" w:sz="4" w:space="0"/>
              <w:bottom w:val="single" w:color="000000" w:sz="4" w:space="0"/>
              <w:right w:val="nil"/>
            </w:tcBorders>
            <w:shd w:val="clear" w:color="auto" w:fill="auto"/>
            <w:vAlign w:val="center"/>
          </w:tcPr>
          <w:p w14:paraId="2BF1AAE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家庭医生签约人数</w:t>
            </w:r>
          </w:p>
        </w:tc>
        <w:tc>
          <w:tcPr>
            <w:tcW w:w="660" w:type="dxa"/>
            <w:tcBorders>
              <w:top w:val="nil"/>
              <w:left w:val="single" w:color="000000" w:sz="4" w:space="0"/>
              <w:bottom w:val="single" w:color="000000" w:sz="4" w:space="0"/>
              <w:right w:val="nil"/>
            </w:tcBorders>
            <w:shd w:val="clear" w:color="auto" w:fill="auto"/>
            <w:vAlign w:val="center"/>
          </w:tcPr>
          <w:p w14:paraId="138046F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≥17500人</w:t>
            </w:r>
          </w:p>
        </w:tc>
        <w:tc>
          <w:tcPr>
            <w:tcW w:w="1375" w:type="dxa"/>
            <w:tcBorders>
              <w:top w:val="nil"/>
              <w:left w:val="single" w:color="000000" w:sz="4" w:space="0"/>
              <w:bottom w:val="single" w:color="000000" w:sz="4" w:space="0"/>
              <w:right w:val="nil"/>
            </w:tcBorders>
            <w:shd w:val="clear" w:color="auto" w:fill="auto"/>
            <w:vAlign w:val="center"/>
          </w:tcPr>
          <w:p w14:paraId="308BB8DA">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17180人</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BFA3A">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1455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4</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215D48">
            <w:pPr>
              <w:keepNext w:val="0"/>
              <w:keepLines w:val="0"/>
              <w:widowControl/>
              <w:suppressLineNumbers w:val="0"/>
              <w:jc w:val="left"/>
              <w:textAlignment w:val="center"/>
              <w:rPr>
                <w:rFonts w:hint="eastAsia" w:ascii="仿宋_GB2312" w:hAnsi="宋体" w:eastAsia="仿宋_GB2312" w:cs="仿宋_GB2312"/>
                <w:i w:val="0"/>
                <w:iCs w:val="0"/>
                <w:snapToGrid w:val="0"/>
                <w:color w:val="000000"/>
                <w:kern w:val="0"/>
                <w:sz w:val="20"/>
                <w:szCs w:val="20"/>
                <w:u w:val="none"/>
                <w:lang w:val="en-US" w:eastAsia="zh-CN" w:bidi="ar"/>
              </w:rPr>
            </w:pPr>
            <w:r>
              <w:rPr>
                <w:rFonts w:hint="eastAsia" w:ascii="仿宋_GB2312" w:hAnsi="宋体" w:eastAsia="仿宋_GB2312" w:cs="仿宋_GB2312"/>
                <w:i w:val="0"/>
                <w:iCs w:val="0"/>
                <w:snapToGrid w:val="0"/>
                <w:color w:val="000000"/>
                <w:kern w:val="0"/>
                <w:sz w:val="20"/>
                <w:szCs w:val="20"/>
                <w:u w:val="none"/>
                <w:lang w:val="en-US" w:eastAsia="zh-CN" w:bidi="ar"/>
              </w:rPr>
              <w:t>政策宣传力度不够，人才结构不甚合理，人才梯队尚未构成。加大宣传力度、完善人才结构。</w:t>
            </w:r>
          </w:p>
        </w:tc>
      </w:tr>
      <w:tr w14:paraId="0BFA4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81412">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1D3EAE77">
            <w:pPr>
              <w:rPr>
                <w:rFonts w:hint="default" w:ascii="仿宋_GB2312" w:hAnsi="宋体" w:eastAsia="仿宋_GB2312" w:cs="仿宋_GB2312"/>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nil"/>
            </w:tcBorders>
            <w:shd w:val="clear" w:color="auto" w:fill="auto"/>
            <w:noWrap/>
            <w:vAlign w:val="center"/>
          </w:tcPr>
          <w:p w14:paraId="23E5D969">
            <w:pPr>
              <w:rPr>
                <w:rFonts w:hint="eastAsia" w:ascii="宋体" w:hAnsi="宋体" w:eastAsia="宋体" w:cs="宋体"/>
                <w:i w:val="0"/>
                <w:iCs w:val="0"/>
                <w:color w:val="000000"/>
                <w:sz w:val="22"/>
                <w:szCs w:val="22"/>
                <w:u w:val="none"/>
              </w:rPr>
            </w:pPr>
          </w:p>
        </w:tc>
        <w:tc>
          <w:tcPr>
            <w:tcW w:w="1275" w:type="dxa"/>
            <w:tcBorders>
              <w:top w:val="nil"/>
              <w:left w:val="single" w:color="000000" w:sz="4" w:space="0"/>
              <w:bottom w:val="single" w:color="auto" w:sz="4" w:space="0"/>
              <w:right w:val="nil"/>
            </w:tcBorders>
            <w:shd w:val="clear" w:color="auto" w:fill="auto"/>
            <w:vAlign w:val="center"/>
          </w:tcPr>
          <w:p w14:paraId="116019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疫苗预防接种次数</w:t>
            </w:r>
          </w:p>
        </w:tc>
        <w:tc>
          <w:tcPr>
            <w:tcW w:w="660" w:type="dxa"/>
            <w:tcBorders>
              <w:top w:val="nil"/>
              <w:left w:val="single" w:color="000000" w:sz="4" w:space="0"/>
              <w:bottom w:val="single" w:color="auto" w:sz="4" w:space="0"/>
              <w:right w:val="nil"/>
            </w:tcBorders>
            <w:shd w:val="clear" w:color="auto" w:fill="auto"/>
            <w:vAlign w:val="center"/>
          </w:tcPr>
          <w:p w14:paraId="2B66C7E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≥3000次</w:t>
            </w:r>
          </w:p>
        </w:tc>
        <w:tc>
          <w:tcPr>
            <w:tcW w:w="1375" w:type="dxa"/>
            <w:tcBorders>
              <w:top w:val="nil"/>
              <w:left w:val="single" w:color="000000" w:sz="4" w:space="0"/>
              <w:bottom w:val="single" w:color="auto" w:sz="4" w:space="0"/>
              <w:right w:val="nil"/>
            </w:tcBorders>
            <w:shd w:val="clear" w:color="auto" w:fill="auto"/>
            <w:vAlign w:val="center"/>
          </w:tcPr>
          <w:p w14:paraId="66A6B4B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3090次</w:t>
            </w:r>
          </w:p>
        </w:tc>
        <w:tc>
          <w:tcPr>
            <w:tcW w:w="710" w:type="dxa"/>
            <w:tcBorders>
              <w:top w:val="single" w:color="000000" w:sz="4" w:space="0"/>
              <w:left w:val="single" w:color="000000" w:sz="4" w:space="0"/>
              <w:bottom w:val="single" w:color="auto" w:sz="4" w:space="0"/>
              <w:right w:val="single" w:color="000000" w:sz="4" w:space="0"/>
            </w:tcBorders>
            <w:shd w:val="clear" w:color="auto" w:fill="auto"/>
            <w:vAlign w:val="center"/>
          </w:tcPr>
          <w:p w14:paraId="6CD6D78F">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945" w:type="dxa"/>
            <w:tcBorders>
              <w:top w:val="single" w:color="000000" w:sz="4" w:space="0"/>
              <w:left w:val="single" w:color="000000" w:sz="4" w:space="0"/>
              <w:bottom w:val="single" w:color="auto" w:sz="4" w:space="0"/>
              <w:right w:val="single" w:color="000000" w:sz="4" w:space="0"/>
            </w:tcBorders>
            <w:shd w:val="clear" w:color="auto" w:fill="auto"/>
            <w:vAlign w:val="center"/>
          </w:tcPr>
          <w:p w14:paraId="3AC4F1A9">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7BB8E">
            <w:pPr>
              <w:jc w:val="center"/>
              <w:rPr>
                <w:rFonts w:hint="eastAsia" w:ascii="宋体" w:hAnsi="宋体" w:eastAsia="宋体" w:cs="宋体"/>
                <w:i w:val="0"/>
                <w:iCs w:val="0"/>
                <w:color w:val="000000"/>
                <w:sz w:val="22"/>
                <w:szCs w:val="22"/>
                <w:u w:val="none"/>
              </w:rPr>
            </w:pPr>
          </w:p>
        </w:tc>
      </w:tr>
      <w:tr w14:paraId="77F70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6"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958DB">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7DF4CF1A">
            <w:pPr>
              <w:rPr>
                <w:rFonts w:hint="default" w:ascii="仿宋_GB2312" w:hAnsi="宋体" w:eastAsia="仿宋_GB2312" w:cs="仿宋_GB2312"/>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344B6F5F">
            <w:pPr>
              <w:rPr>
                <w:rFonts w:hint="eastAsia" w:ascii="宋体" w:hAnsi="宋体" w:eastAsia="宋体" w:cs="宋体"/>
                <w:i w:val="0"/>
                <w:iCs w:val="0"/>
                <w:color w:val="000000"/>
                <w:sz w:val="22"/>
                <w:szCs w:val="22"/>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564FBE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65岁以上老人肺结核筛查次数</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14:paraId="338586D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≥2800人次</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2982FD75">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2931人次</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14:paraId="04011E4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14:paraId="041CA5E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83" w:type="dxa"/>
            <w:gridSpan w:val="3"/>
            <w:tcBorders>
              <w:top w:val="single" w:color="000000" w:sz="4" w:space="0"/>
              <w:left w:val="single" w:color="auto" w:sz="4" w:space="0"/>
              <w:bottom w:val="single" w:color="000000" w:sz="4" w:space="0"/>
              <w:right w:val="single" w:color="000000" w:sz="4" w:space="0"/>
            </w:tcBorders>
            <w:shd w:val="clear" w:color="auto" w:fill="auto"/>
            <w:noWrap/>
            <w:vAlign w:val="center"/>
          </w:tcPr>
          <w:p w14:paraId="291E1993">
            <w:pPr>
              <w:jc w:val="center"/>
              <w:rPr>
                <w:rFonts w:hint="eastAsia" w:ascii="宋体" w:hAnsi="宋体" w:eastAsia="宋体" w:cs="宋体"/>
                <w:i w:val="0"/>
                <w:iCs w:val="0"/>
                <w:color w:val="000000"/>
                <w:sz w:val="22"/>
                <w:szCs w:val="22"/>
                <w:u w:val="none"/>
              </w:rPr>
            </w:pPr>
          </w:p>
        </w:tc>
      </w:tr>
      <w:tr w14:paraId="362AE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8E54B1">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176E9111">
            <w:pPr>
              <w:rPr>
                <w:rFonts w:hint="default" w:ascii="仿宋_GB2312" w:hAnsi="宋体" w:eastAsia="仿宋_GB2312" w:cs="仿宋_GB2312"/>
                <w:i w:val="0"/>
                <w:iCs w:val="0"/>
                <w:color w:val="000000"/>
                <w:sz w:val="20"/>
                <w:szCs w:val="20"/>
                <w:u w:val="none"/>
              </w:rPr>
            </w:pPr>
          </w:p>
        </w:tc>
        <w:tc>
          <w:tcPr>
            <w:tcW w:w="915" w:type="dxa"/>
            <w:vMerge w:val="restart"/>
            <w:tcBorders>
              <w:top w:val="single" w:color="000000" w:sz="4" w:space="0"/>
              <w:left w:val="single" w:color="000000" w:sz="4" w:space="0"/>
              <w:bottom w:val="single" w:color="000000" w:sz="4" w:space="0"/>
              <w:right w:val="nil"/>
            </w:tcBorders>
            <w:shd w:val="clear" w:color="auto" w:fill="auto"/>
            <w:noWrap/>
            <w:vAlign w:val="center"/>
          </w:tcPr>
          <w:p w14:paraId="79C4D9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质量指标</w:t>
            </w:r>
          </w:p>
        </w:tc>
        <w:tc>
          <w:tcPr>
            <w:tcW w:w="1275" w:type="dxa"/>
            <w:tcBorders>
              <w:top w:val="single" w:color="auto" w:sz="4" w:space="0"/>
              <w:left w:val="single" w:color="000000" w:sz="4" w:space="0"/>
              <w:bottom w:val="single" w:color="000000" w:sz="4" w:space="0"/>
              <w:right w:val="nil"/>
            </w:tcBorders>
            <w:shd w:val="clear" w:color="auto" w:fill="auto"/>
            <w:vAlign w:val="center"/>
          </w:tcPr>
          <w:p w14:paraId="34BE4C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居民健康档案认领率</w:t>
            </w:r>
          </w:p>
        </w:tc>
        <w:tc>
          <w:tcPr>
            <w:tcW w:w="660" w:type="dxa"/>
            <w:tcBorders>
              <w:top w:val="single" w:color="auto" w:sz="4" w:space="0"/>
              <w:left w:val="single" w:color="000000" w:sz="4" w:space="0"/>
              <w:bottom w:val="single" w:color="000000" w:sz="4" w:space="0"/>
              <w:right w:val="nil"/>
            </w:tcBorders>
            <w:shd w:val="clear" w:color="auto" w:fill="auto"/>
            <w:vAlign w:val="center"/>
          </w:tcPr>
          <w:p w14:paraId="0881301F">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375" w:type="dxa"/>
            <w:tcBorders>
              <w:top w:val="single" w:color="auto" w:sz="4" w:space="0"/>
              <w:left w:val="single" w:color="000000" w:sz="4" w:space="0"/>
              <w:bottom w:val="single" w:color="000000" w:sz="4" w:space="0"/>
              <w:right w:val="nil"/>
            </w:tcBorders>
            <w:shd w:val="clear" w:color="auto" w:fill="auto"/>
            <w:vAlign w:val="center"/>
          </w:tcPr>
          <w:p w14:paraId="254CC825">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100.08%</w:t>
            </w:r>
          </w:p>
        </w:tc>
        <w:tc>
          <w:tcPr>
            <w:tcW w:w="710" w:type="dxa"/>
            <w:tcBorders>
              <w:top w:val="single" w:color="auto" w:sz="4" w:space="0"/>
              <w:left w:val="single" w:color="000000" w:sz="4" w:space="0"/>
              <w:bottom w:val="single" w:color="000000" w:sz="4" w:space="0"/>
              <w:right w:val="single" w:color="000000" w:sz="4" w:space="0"/>
            </w:tcBorders>
            <w:shd w:val="clear" w:color="auto" w:fill="auto"/>
            <w:vAlign w:val="center"/>
          </w:tcPr>
          <w:p w14:paraId="61B33C4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945" w:type="dxa"/>
            <w:tcBorders>
              <w:top w:val="single" w:color="auto" w:sz="4" w:space="0"/>
              <w:left w:val="single" w:color="000000" w:sz="4" w:space="0"/>
              <w:bottom w:val="single" w:color="000000" w:sz="4" w:space="0"/>
              <w:right w:val="single" w:color="000000" w:sz="4" w:space="0"/>
            </w:tcBorders>
            <w:shd w:val="clear" w:color="auto" w:fill="auto"/>
            <w:vAlign w:val="center"/>
          </w:tcPr>
          <w:p w14:paraId="4D17908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BC91B">
            <w:pPr>
              <w:jc w:val="left"/>
              <w:rPr>
                <w:rFonts w:hint="eastAsia" w:ascii="宋体" w:hAnsi="宋体" w:eastAsia="宋体" w:cs="宋体"/>
                <w:i w:val="0"/>
                <w:iCs w:val="0"/>
                <w:color w:val="000000"/>
                <w:sz w:val="22"/>
                <w:szCs w:val="22"/>
                <w:u w:val="none"/>
              </w:rPr>
            </w:pPr>
          </w:p>
        </w:tc>
      </w:tr>
      <w:tr w14:paraId="52597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C9B98">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5A9159EB">
            <w:pPr>
              <w:rPr>
                <w:rFonts w:hint="default" w:ascii="仿宋_GB2312" w:hAnsi="宋体" w:eastAsia="仿宋_GB2312" w:cs="仿宋_GB2312"/>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nil"/>
            </w:tcBorders>
            <w:shd w:val="clear" w:color="auto" w:fill="auto"/>
            <w:noWrap/>
            <w:vAlign w:val="center"/>
          </w:tcPr>
          <w:p w14:paraId="25D89319">
            <w:pPr>
              <w:rPr>
                <w:rFonts w:hint="eastAsia" w:ascii="宋体" w:hAnsi="宋体" w:eastAsia="宋体" w:cs="宋体"/>
                <w:i w:val="0"/>
                <w:iCs w:val="0"/>
                <w:color w:val="000000"/>
                <w:sz w:val="22"/>
                <w:szCs w:val="22"/>
                <w:u w:val="none"/>
              </w:rPr>
            </w:pPr>
          </w:p>
        </w:tc>
        <w:tc>
          <w:tcPr>
            <w:tcW w:w="1275" w:type="dxa"/>
            <w:tcBorders>
              <w:top w:val="nil"/>
              <w:left w:val="single" w:color="000000" w:sz="4" w:space="0"/>
              <w:bottom w:val="single" w:color="000000" w:sz="4" w:space="0"/>
              <w:right w:val="nil"/>
            </w:tcBorders>
            <w:shd w:val="clear" w:color="auto" w:fill="auto"/>
            <w:vAlign w:val="center"/>
          </w:tcPr>
          <w:p w14:paraId="0657071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住院分娩率</w:t>
            </w:r>
          </w:p>
        </w:tc>
        <w:tc>
          <w:tcPr>
            <w:tcW w:w="660" w:type="dxa"/>
            <w:tcBorders>
              <w:top w:val="nil"/>
              <w:left w:val="single" w:color="000000" w:sz="4" w:space="0"/>
              <w:bottom w:val="single" w:color="000000" w:sz="4" w:space="0"/>
              <w:right w:val="nil"/>
            </w:tcBorders>
            <w:shd w:val="clear" w:color="auto" w:fill="auto"/>
            <w:vAlign w:val="center"/>
          </w:tcPr>
          <w:p w14:paraId="55CF3AD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375" w:type="dxa"/>
            <w:tcBorders>
              <w:top w:val="nil"/>
              <w:left w:val="single" w:color="000000" w:sz="4" w:space="0"/>
              <w:bottom w:val="single" w:color="000000" w:sz="4" w:space="0"/>
              <w:right w:val="nil"/>
            </w:tcBorders>
            <w:shd w:val="clear" w:color="auto" w:fill="auto"/>
            <w:vAlign w:val="center"/>
          </w:tcPr>
          <w:p w14:paraId="6E15ADA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9C54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1260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FE662">
            <w:pPr>
              <w:jc w:val="center"/>
              <w:rPr>
                <w:rFonts w:hint="eastAsia" w:ascii="宋体" w:hAnsi="宋体" w:eastAsia="宋体" w:cs="宋体"/>
                <w:i w:val="0"/>
                <w:iCs w:val="0"/>
                <w:color w:val="000000"/>
                <w:sz w:val="22"/>
                <w:szCs w:val="22"/>
                <w:u w:val="none"/>
              </w:rPr>
            </w:pPr>
          </w:p>
        </w:tc>
      </w:tr>
      <w:tr w14:paraId="69362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6"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507D4">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0ABC9750">
            <w:pPr>
              <w:rPr>
                <w:rFonts w:hint="default" w:ascii="仿宋_GB2312" w:hAnsi="宋体" w:eastAsia="仿宋_GB2312" w:cs="仿宋_GB2312"/>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nil"/>
            </w:tcBorders>
            <w:shd w:val="clear" w:color="auto" w:fill="auto"/>
            <w:noWrap/>
            <w:vAlign w:val="center"/>
          </w:tcPr>
          <w:p w14:paraId="06CD9FFB">
            <w:pPr>
              <w:rPr>
                <w:rFonts w:hint="eastAsia" w:ascii="宋体" w:hAnsi="宋体" w:eastAsia="宋体" w:cs="宋体"/>
                <w:i w:val="0"/>
                <w:iCs w:val="0"/>
                <w:color w:val="000000"/>
                <w:sz w:val="22"/>
                <w:szCs w:val="22"/>
                <w:u w:val="none"/>
              </w:rPr>
            </w:pPr>
          </w:p>
        </w:tc>
        <w:tc>
          <w:tcPr>
            <w:tcW w:w="1275" w:type="dxa"/>
            <w:tcBorders>
              <w:top w:val="nil"/>
              <w:left w:val="single" w:color="000000" w:sz="4" w:space="0"/>
              <w:bottom w:val="single" w:color="000000" w:sz="4" w:space="0"/>
              <w:right w:val="nil"/>
            </w:tcBorders>
            <w:shd w:val="clear" w:color="auto" w:fill="auto"/>
            <w:vAlign w:val="center"/>
          </w:tcPr>
          <w:p w14:paraId="4D7836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适龄儿童新建预防接种证建证率</w:t>
            </w:r>
          </w:p>
        </w:tc>
        <w:tc>
          <w:tcPr>
            <w:tcW w:w="660" w:type="dxa"/>
            <w:tcBorders>
              <w:top w:val="nil"/>
              <w:left w:val="single" w:color="000000" w:sz="4" w:space="0"/>
              <w:bottom w:val="single" w:color="000000" w:sz="4" w:space="0"/>
              <w:right w:val="nil"/>
            </w:tcBorders>
            <w:shd w:val="clear" w:color="auto" w:fill="auto"/>
            <w:vAlign w:val="center"/>
          </w:tcPr>
          <w:p w14:paraId="0BE51A0B">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375" w:type="dxa"/>
            <w:tcBorders>
              <w:top w:val="nil"/>
              <w:left w:val="single" w:color="000000" w:sz="4" w:space="0"/>
              <w:bottom w:val="single" w:color="000000" w:sz="4" w:space="0"/>
              <w:right w:val="nil"/>
            </w:tcBorders>
            <w:shd w:val="clear" w:color="auto" w:fill="auto"/>
            <w:vAlign w:val="center"/>
          </w:tcPr>
          <w:p w14:paraId="405F61D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8A4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DF9A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2FAA4">
            <w:pPr>
              <w:jc w:val="center"/>
              <w:rPr>
                <w:rFonts w:hint="eastAsia" w:ascii="宋体" w:hAnsi="宋体" w:eastAsia="宋体" w:cs="宋体"/>
                <w:i w:val="0"/>
                <w:iCs w:val="0"/>
                <w:color w:val="000000"/>
                <w:sz w:val="22"/>
                <w:szCs w:val="22"/>
                <w:u w:val="none"/>
              </w:rPr>
            </w:pPr>
          </w:p>
        </w:tc>
      </w:tr>
      <w:tr w14:paraId="562AC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B52B9">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6F5AE40B">
            <w:pPr>
              <w:rPr>
                <w:rFonts w:hint="default" w:ascii="仿宋_GB2312" w:hAnsi="宋体" w:eastAsia="仿宋_GB2312" w:cs="仿宋_GB2312"/>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nil"/>
            </w:tcBorders>
            <w:shd w:val="clear" w:color="auto" w:fill="auto"/>
            <w:noWrap/>
            <w:vAlign w:val="center"/>
          </w:tcPr>
          <w:p w14:paraId="13979AF5">
            <w:pPr>
              <w:rPr>
                <w:rFonts w:hint="eastAsia" w:ascii="宋体" w:hAnsi="宋体" w:eastAsia="宋体" w:cs="宋体"/>
                <w:i w:val="0"/>
                <w:iCs w:val="0"/>
                <w:color w:val="000000"/>
                <w:sz w:val="22"/>
                <w:szCs w:val="22"/>
                <w:u w:val="none"/>
              </w:rPr>
            </w:pPr>
          </w:p>
        </w:tc>
        <w:tc>
          <w:tcPr>
            <w:tcW w:w="1275" w:type="dxa"/>
            <w:tcBorders>
              <w:top w:val="nil"/>
              <w:left w:val="single" w:color="000000" w:sz="4" w:space="0"/>
              <w:bottom w:val="single" w:color="000000" w:sz="4" w:space="0"/>
              <w:right w:val="nil"/>
            </w:tcBorders>
            <w:shd w:val="clear" w:color="auto" w:fill="auto"/>
            <w:vAlign w:val="center"/>
          </w:tcPr>
          <w:p w14:paraId="4079DF9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儿童保健知识知晓率</w:t>
            </w:r>
          </w:p>
        </w:tc>
        <w:tc>
          <w:tcPr>
            <w:tcW w:w="660" w:type="dxa"/>
            <w:tcBorders>
              <w:top w:val="nil"/>
              <w:left w:val="single" w:color="000000" w:sz="4" w:space="0"/>
              <w:bottom w:val="single" w:color="000000" w:sz="4" w:space="0"/>
              <w:right w:val="nil"/>
            </w:tcBorders>
            <w:shd w:val="clear" w:color="auto" w:fill="auto"/>
            <w:vAlign w:val="center"/>
          </w:tcPr>
          <w:p w14:paraId="1D3286E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375" w:type="dxa"/>
            <w:tcBorders>
              <w:top w:val="nil"/>
              <w:left w:val="single" w:color="000000" w:sz="4" w:space="0"/>
              <w:bottom w:val="single" w:color="000000" w:sz="4" w:space="0"/>
              <w:right w:val="nil"/>
            </w:tcBorders>
            <w:shd w:val="clear" w:color="auto" w:fill="auto"/>
            <w:vAlign w:val="center"/>
          </w:tcPr>
          <w:p w14:paraId="77A247D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5C14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4B5C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A82E3">
            <w:pPr>
              <w:jc w:val="center"/>
              <w:rPr>
                <w:rFonts w:hint="eastAsia" w:ascii="宋体" w:hAnsi="宋体" w:eastAsia="宋体" w:cs="宋体"/>
                <w:i w:val="0"/>
                <w:iCs w:val="0"/>
                <w:color w:val="000000"/>
                <w:sz w:val="22"/>
                <w:szCs w:val="22"/>
                <w:u w:val="none"/>
              </w:rPr>
            </w:pPr>
          </w:p>
        </w:tc>
      </w:tr>
      <w:tr w14:paraId="55A34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4FE17">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5102B15D">
            <w:pPr>
              <w:rPr>
                <w:rFonts w:hint="default" w:ascii="仿宋_GB2312" w:hAnsi="宋体" w:eastAsia="仿宋_GB2312" w:cs="仿宋_GB2312"/>
                <w:i w:val="0"/>
                <w:iCs w:val="0"/>
                <w:color w:val="000000"/>
                <w:sz w:val="20"/>
                <w:szCs w:val="20"/>
                <w:u w:val="none"/>
              </w:rPr>
            </w:pPr>
          </w:p>
        </w:tc>
        <w:tc>
          <w:tcPr>
            <w:tcW w:w="915" w:type="dxa"/>
            <w:tcBorders>
              <w:top w:val="single" w:color="000000" w:sz="4" w:space="0"/>
              <w:left w:val="single" w:color="000000" w:sz="4" w:space="0"/>
              <w:bottom w:val="single" w:color="000000" w:sz="4" w:space="0"/>
              <w:right w:val="nil"/>
            </w:tcBorders>
            <w:shd w:val="clear" w:color="auto" w:fill="auto"/>
            <w:noWrap/>
            <w:vAlign w:val="center"/>
          </w:tcPr>
          <w:p w14:paraId="1B7C40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时效指标</w:t>
            </w:r>
          </w:p>
        </w:tc>
        <w:tc>
          <w:tcPr>
            <w:tcW w:w="1275" w:type="dxa"/>
            <w:tcBorders>
              <w:top w:val="nil"/>
              <w:left w:val="single" w:color="000000" w:sz="4" w:space="0"/>
              <w:bottom w:val="single" w:color="000000" w:sz="4" w:space="0"/>
              <w:right w:val="nil"/>
            </w:tcBorders>
            <w:shd w:val="clear" w:color="auto" w:fill="auto"/>
            <w:vAlign w:val="center"/>
          </w:tcPr>
          <w:p w14:paraId="677E63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完成时间</w:t>
            </w:r>
          </w:p>
        </w:tc>
        <w:tc>
          <w:tcPr>
            <w:tcW w:w="660" w:type="dxa"/>
            <w:tcBorders>
              <w:top w:val="nil"/>
              <w:left w:val="single" w:color="000000" w:sz="4" w:space="0"/>
              <w:bottom w:val="single" w:color="000000" w:sz="4" w:space="0"/>
              <w:right w:val="nil"/>
            </w:tcBorders>
            <w:shd w:val="clear" w:color="auto" w:fill="auto"/>
            <w:vAlign w:val="center"/>
          </w:tcPr>
          <w:p w14:paraId="66FC2635">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2023年度</w:t>
            </w:r>
          </w:p>
        </w:tc>
        <w:tc>
          <w:tcPr>
            <w:tcW w:w="1375" w:type="dxa"/>
            <w:tcBorders>
              <w:top w:val="nil"/>
              <w:left w:val="single" w:color="000000" w:sz="4" w:space="0"/>
              <w:bottom w:val="single" w:color="000000" w:sz="4" w:space="0"/>
              <w:right w:val="nil"/>
            </w:tcBorders>
            <w:shd w:val="clear" w:color="auto" w:fill="auto"/>
            <w:vAlign w:val="center"/>
          </w:tcPr>
          <w:p w14:paraId="12A0D94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2023年度</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4DA5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5FA02">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85820C">
            <w:pPr>
              <w:jc w:val="left"/>
              <w:rPr>
                <w:rFonts w:hint="eastAsia" w:ascii="宋体" w:hAnsi="宋体" w:eastAsia="宋体" w:cs="宋体"/>
                <w:i w:val="0"/>
                <w:iCs w:val="0"/>
                <w:color w:val="000000"/>
                <w:sz w:val="22"/>
                <w:szCs w:val="22"/>
                <w:u w:val="none"/>
              </w:rPr>
            </w:pPr>
          </w:p>
        </w:tc>
      </w:tr>
      <w:tr w14:paraId="77165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40091">
            <w:pPr>
              <w:rPr>
                <w:rFonts w:hint="default" w:ascii="仿宋_GB2312" w:hAnsi="宋体" w:eastAsia="仿宋_GB2312" w:cs="仿宋_GB2312"/>
                <w:i w:val="0"/>
                <w:iCs w:val="0"/>
                <w:color w:val="000000"/>
                <w:sz w:val="20"/>
                <w:szCs w:val="20"/>
                <w:u w:val="none"/>
              </w:rPr>
            </w:pPr>
          </w:p>
        </w:tc>
        <w:tc>
          <w:tcPr>
            <w:tcW w:w="720" w:type="dxa"/>
            <w:vMerge w:val="restart"/>
            <w:tcBorders>
              <w:top w:val="single" w:color="000000" w:sz="4" w:space="0"/>
              <w:left w:val="single" w:color="000000" w:sz="4" w:space="0"/>
              <w:bottom w:val="single" w:color="000000" w:sz="4" w:space="0"/>
              <w:right w:val="nil"/>
            </w:tcBorders>
            <w:shd w:val="clear" w:color="auto" w:fill="auto"/>
            <w:noWrap/>
            <w:vAlign w:val="center"/>
          </w:tcPr>
          <w:p w14:paraId="32DE3168">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效益指标</w:t>
            </w:r>
          </w:p>
        </w:tc>
        <w:tc>
          <w:tcPr>
            <w:tcW w:w="915" w:type="dxa"/>
            <w:tcBorders>
              <w:top w:val="single" w:color="000000" w:sz="4" w:space="0"/>
              <w:left w:val="single" w:color="000000" w:sz="4" w:space="0"/>
              <w:bottom w:val="single" w:color="000000" w:sz="4" w:space="0"/>
              <w:right w:val="nil"/>
            </w:tcBorders>
            <w:shd w:val="clear" w:color="auto" w:fill="auto"/>
            <w:noWrap/>
            <w:vAlign w:val="center"/>
          </w:tcPr>
          <w:p w14:paraId="026831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经济效益指标</w:t>
            </w:r>
          </w:p>
        </w:tc>
        <w:tc>
          <w:tcPr>
            <w:tcW w:w="1275" w:type="dxa"/>
            <w:tcBorders>
              <w:top w:val="nil"/>
              <w:left w:val="single" w:color="000000" w:sz="4" w:space="0"/>
              <w:bottom w:val="single" w:color="000000" w:sz="4" w:space="0"/>
              <w:right w:val="nil"/>
            </w:tcBorders>
            <w:shd w:val="clear" w:color="auto" w:fill="auto"/>
            <w:vAlign w:val="center"/>
          </w:tcPr>
          <w:p w14:paraId="601F5E17">
            <w:pPr>
              <w:jc w:val="center"/>
              <w:rPr>
                <w:rFonts w:hint="eastAsia" w:ascii="仿宋" w:hAnsi="仿宋" w:eastAsia="仿宋" w:cs="仿宋"/>
                <w:i w:val="0"/>
                <w:iCs w:val="0"/>
                <w:color w:val="000000"/>
                <w:sz w:val="20"/>
                <w:szCs w:val="20"/>
                <w:u w:val="none"/>
              </w:rPr>
            </w:pPr>
          </w:p>
        </w:tc>
        <w:tc>
          <w:tcPr>
            <w:tcW w:w="660" w:type="dxa"/>
            <w:tcBorders>
              <w:top w:val="nil"/>
              <w:left w:val="single" w:color="000000" w:sz="4" w:space="0"/>
              <w:bottom w:val="single" w:color="000000" w:sz="4" w:space="0"/>
              <w:right w:val="nil"/>
            </w:tcBorders>
            <w:shd w:val="clear" w:color="auto" w:fill="auto"/>
            <w:vAlign w:val="center"/>
          </w:tcPr>
          <w:p w14:paraId="269ADD5F">
            <w:pPr>
              <w:jc w:val="center"/>
              <w:rPr>
                <w:rFonts w:hint="default" w:ascii="仿宋_GB2312" w:hAnsi="宋体" w:eastAsia="仿宋_GB2312" w:cs="仿宋_GB2312"/>
                <w:i w:val="0"/>
                <w:iCs w:val="0"/>
                <w:color w:val="000000"/>
                <w:sz w:val="20"/>
                <w:szCs w:val="20"/>
                <w:u w:val="none"/>
              </w:rPr>
            </w:pPr>
          </w:p>
        </w:tc>
        <w:tc>
          <w:tcPr>
            <w:tcW w:w="1375" w:type="dxa"/>
            <w:tcBorders>
              <w:top w:val="nil"/>
              <w:left w:val="single" w:color="000000" w:sz="4" w:space="0"/>
              <w:bottom w:val="single" w:color="000000" w:sz="4" w:space="0"/>
              <w:right w:val="nil"/>
            </w:tcBorders>
            <w:shd w:val="clear" w:color="auto" w:fill="auto"/>
            <w:vAlign w:val="center"/>
          </w:tcPr>
          <w:p w14:paraId="05A3C677">
            <w:pPr>
              <w:jc w:val="center"/>
              <w:rPr>
                <w:rFonts w:hint="default" w:ascii="仿宋_GB2312" w:hAnsi="宋体" w:eastAsia="仿宋_GB2312" w:cs="仿宋_GB2312"/>
                <w:i w:val="0"/>
                <w:iCs w:val="0"/>
                <w:color w:val="000000"/>
                <w:sz w:val="20"/>
                <w:szCs w:val="20"/>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AE992">
            <w:pPr>
              <w:jc w:val="center"/>
              <w:rPr>
                <w:rFonts w:hint="default" w:ascii="仿宋_GB2312" w:hAnsi="宋体" w:eastAsia="仿宋_GB2312" w:cs="仿宋_GB2312"/>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7FDA">
            <w:pPr>
              <w:jc w:val="center"/>
              <w:rPr>
                <w:rFonts w:hint="default" w:ascii="仿宋_GB2312" w:hAnsi="宋体" w:eastAsia="仿宋_GB2312" w:cs="仿宋_GB2312"/>
                <w:i w:val="0"/>
                <w:iCs w:val="0"/>
                <w:color w:val="000000"/>
                <w:sz w:val="20"/>
                <w:szCs w:val="20"/>
                <w:u w:val="none"/>
              </w:rPr>
            </w:pP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4EF5E">
            <w:pPr>
              <w:jc w:val="center"/>
              <w:rPr>
                <w:rFonts w:hint="eastAsia" w:ascii="宋体" w:hAnsi="宋体" w:eastAsia="宋体" w:cs="宋体"/>
                <w:i w:val="0"/>
                <w:iCs w:val="0"/>
                <w:color w:val="000000"/>
                <w:sz w:val="22"/>
                <w:szCs w:val="22"/>
                <w:u w:val="none"/>
              </w:rPr>
            </w:pPr>
          </w:p>
        </w:tc>
      </w:tr>
      <w:tr w14:paraId="06092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8D0AF">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035DC21F">
            <w:pPr>
              <w:rPr>
                <w:rFonts w:hint="default" w:ascii="仿宋_GB2312" w:hAnsi="宋体" w:eastAsia="仿宋_GB2312" w:cs="仿宋_GB2312"/>
                <w:i w:val="0"/>
                <w:iCs w:val="0"/>
                <w:color w:val="000000"/>
                <w:sz w:val="20"/>
                <w:szCs w:val="20"/>
                <w:u w:val="none"/>
              </w:rPr>
            </w:pPr>
          </w:p>
        </w:tc>
        <w:tc>
          <w:tcPr>
            <w:tcW w:w="915" w:type="dxa"/>
            <w:vMerge w:val="restart"/>
            <w:tcBorders>
              <w:top w:val="single" w:color="000000" w:sz="4" w:space="0"/>
              <w:left w:val="single" w:color="000000" w:sz="4" w:space="0"/>
              <w:bottom w:val="single" w:color="000000" w:sz="4" w:space="0"/>
              <w:right w:val="nil"/>
            </w:tcBorders>
            <w:shd w:val="clear" w:color="auto" w:fill="auto"/>
            <w:noWrap/>
            <w:vAlign w:val="center"/>
          </w:tcPr>
          <w:p w14:paraId="6D2999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社会效益指标</w:t>
            </w:r>
          </w:p>
        </w:tc>
        <w:tc>
          <w:tcPr>
            <w:tcW w:w="1275" w:type="dxa"/>
            <w:tcBorders>
              <w:top w:val="nil"/>
              <w:left w:val="single" w:color="000000" w:sz="4" w:space="0"/>
              <w:bottom w:val="single" w:color="000000" w:sz="4" w:space="0"/>
              <w:right w:val="nil"/>
            </w:tcBorders>
            <w:shd w:val="clear" w:color="auto" w:fill="auto"/>
            <w:vAlign w:val="center"/>
          </w:tcPr>
          <w:p w14:paraId="6D64275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基本公共卫生服务高效完成</w:t>
            </w:r>
          </w:p>
        </w:tc>
        <w:tc>
          <w:tcPr>
            <w:tcW w:w="660" w:type="dxa"/>
            <w:tcBorders>
              <w:top w:val="nil"/>
              <w:left w:val="single" w:color="000000" w:sz="4" w:space="0"/>
              <w:bottom w:val="single" w:color="000000" w:sz="4" w:space="0"/>
              <w:right w:val="nil"/>
            </w:tcBorders>
            <w:shd w:val="clear" w:color="auto" w:fill="auto"/>
            <w:vAlign w:val="center"/>
          </w:tcPr>
          <w:p w14:paraId="53FF8652">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高效完成</w:t>
            </w:r>
          </w:p>
        </w:tc>
        <w:tc>
          <w:tcPr>
            <w:tcW w:w="1375" w:type="dxa"/>
            <w:tcBorders>
              <w:top w:val="nil"/>
              <w:left w:val="single" w:color="000000" w:sz="4" w:space="0"/>
              <w:bottom w:val="single" w:color="000000" w:sz="4" w:space="0"/>
              <w:right w:val="nil"/>
            </w:tcBorders>
            <w:shd w:val="clear" w:color="auto" w:fill="auto"/>
            <w:vAlign w:val="center"/>
          </w:tcPr>
          <w:p w14:paraId="647C51A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高效完成，并获得先进单位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6AA0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34F1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ED70">
            <w:pPr>
              <w:jc w:val="center"/>
              <w:rPr>
                <w:rFonts w:hint="eastAsia" w:ascii="宋体" w:hAnsi="宋体" w:eastAsia="宋体" w:cs="宋体"/>
                <w:i w:val="0"/>
                <w:iCs w:val="0"/>
                <w:color w:val="000000"/>
                <w:sz w:val="22"/>
                <w:szCs w:val="22"/>
                <w:u w:val="none"/>
              </w:rPr>
            </w:pPr>
          </w:p>
        </w:tc>
      </w:tr>
      <w:tr w14:paraId="22CD4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105D6">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3FDB2D61">
            <w:pPr>
              <w:rPr>
                <w:rFonts w:hint="default" w:ascii="仿宋_GB2312" w:hAnsi="宋体" w:eastAsia="仿宋_GB2312" w:cs="仿宋_GB2312"/>
                <w:i w:val="0"/>
                <w:iCs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nil"/>
            </w:tcBorders>
            <w:shd w:val="clear" w:color="auto" w:fill="auto"/>
            <w:noWrap/>
            <w:vAlign w:val="center"/>
          </w:tcPr>
          <w:p w14:paraId="59E97890">
            <w:pPr>
              <w:jc w:val="left"/>
              <w:rPr>
                <w:rFonts w:hint="eastAsia" w:ascii="宋体" w:hAnsi="宋体" w:eastAsia="宋体" w:cs="宋体"/>
                <w:i w:val="0"/>
                <w:iCs w:val="0"/>
                <w:color w:val="000000"/>
                <w:sz w:val="22"/>
                <w:szCs w:val="22"/>
                <w:u w:val="none"/>
              </w:rPr>
            </w:pPr>
          </w:p>
        </w:tc>
        <w:tc>
          <w:tcPr>
            <w:tcW w:w="1275" w:type="dxa"/>
            <w:tcBorders>
              <w:top w:val="nil"/>
              <w:left w:val="single" w:color="000000" w:sz="4" w:space="0"/>
              <w:bottom w:val="single" w:color="000000" w:sz="4" w:space="0"/>
              <w:right w:val="nil"/>
            </w:tcBorders>
            <w:shd w:val="clear" w:color="auto" w:fill="auto"/>
            <w:vAlign w:val="center"/>
          </w:tcPr>
          <w:p w14:paraId="0B2B3B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家庭医生签约服务</w:t>
            </w:r>
          </w:p>
        </w:tc>
        <w:tc>
          <w:tcPr>
            <w:tcW w:w="660" w:type="dxa"/>
            <w:tcBorders>
              <w:top w:val="nil"/>
              <w:left w:val="single" w:color="000000" w:sz="4" w:space="0"/>
              <w:bottom w:val="single" w:color="000000" w:sz="4" w:space="0"/>
              <w:right w:val="nil"/>
            </w:tcBorders>
            <w:shd w:val="clear" w:color="auto" w:fill="auto"/>
            <w:vAlign w:val="center"/>
          </w:tcPr>
          <w:p w14:paraId="72D6BDA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扎实推进</w:t>
            </w:r>
          </w:p>
        </w:tc>
        <w:tc>
          <w:tcPr>
            <w:tcW w:w="1375" w:type="dxa"/>
            <w:tcBorders>
              <w:top w:val="nil"/>
              <w:left w:val="single" w:color="000000" w:sz="4" w:space="0"/>
              <w:bottom w:val="single" w:color="000000" w:sz="4" w:space="0"/>
              <w:right w:val="nil"/>
            </w:tcBorders>
            <w:shd w:val="clear" w:color="auto" w:fill="auto"/>
            <w:vAlign w:val="center"/>
          </w:tcPr>
          <w:p w14:paraId="234C983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扎实推进</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1F1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6CFD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F14C1">
            <w:pPr>
              <w:jc w:val="center"/>
              <w:rPr>
                <w:rFonts w:hint="eastAsia" w:ascii="宋体" w:hAnsi="宋体" w:eastAsia="宋体" w:cs="宋体"/>
                <w:i w:val="0"/>
                <w:iCs w:val="0"/>
                <w:color w:val="000000"/>
                <w:sz w:val="22"/>
                <w:szCs w:val="22"/>
                <w:u w:val="none"/>
              </w:rPr>
            </w:pPr>
          </w:p>
        </w:tc>
      </w:tr>
      <w:tr w14:paraId="33781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45066">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6D7C1AA4">
            <w:pPr>
              <w:rPr>
                <w:rFonts w:hint="default" w:ascii="仿宋_GB2312" w:hAnsi="宋体" w:eastAsia="仿宋_GB2312" w:cs="仿宋_GB2312"/>
                <w:i w:val="0"/>
                <w:iCs w:val="0"/>
                <w:color w:val="000000"/>
                <w:sz w:val="20"/>
                <w:szCs w:val="20"/>
                <w:u w:val="none"/>
              </w:rPr>
            </w:pPr>
          </w:p>
        </w:tc>
        <w:tc>
          <w:tcPr>
            <w:tcW w:w="915" w:type="dxa"/>
            <w:tcBorders>
              <w:top w:val="single" w:color="000000" w:sz="4" w:space="0"/>
              <w:left w:val="single" w:color="000000" w:sz="4" w:space="0"/>
              <w:bottom w:val="single" w:color="000000" w:sz="4" w:space="0"/>
              <w:right w:val="nil"/>
            </w:tcBorders>
            <w:shd w:val="clear" w:color="auto" w:fill="auto"/>
            <w:noWrap/>
            <w:vAlign w:val="center"/>
          </w:tcPr>
          <w:p w14:paraId="24F404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生态效益指标</w:t>
            </w:r>
          </w:p>
        </w:tc>
        <w:tc>
          <w:tcPr>
            <w:tcW w:w="1275" w:type="dxa"/>
            <w:tcBorders>
              <w:top w:val="nil"/>
              <w:left w:val="single" w:color="000000" w:sz="4" w:space="0"/>
              <w:bottom w:val="single" w:color="000000" w:sz="4" w:space="0"/>
              <w:right w:val="nil"/>
            </w:tcBorders>
            <w:shd w:val="clear" w:color="auto" w:fill="auto"/>
            <w:vAlign w:val="center"/>
          </w:tcPr>
          <w:p w14:paraId="147C8A40">
            <w:pPr>
              <w:jc w:val="center"/>
              <w:rPr>
                <w:rFonts w:hint="eastAsia" w:ascii="仿宋" w:hAnsi="仿宋" w:eastAsia="仿宋" w:cs="仿宋"/>
                <w:i w:val="0"/>
                <w:iCs w:val="0"/>
                <w:color w:val="000000"/>
                <w:sz w:val="20"/>
                <w:szCs w:val="20"/>
                <w:u w:val="none"/>
              </w:rPr>
            </w:pPr>
          </w:p>
        </w:tc>
        <w:tc>
          <w:tcPr>
            <w:tcW w:w="660" w:type="dxa"/>
            <w:tcBorders>
              <w:top w:val="nil"/>
              <w:left w:val="single" w:color="000000" w:sz="4" w:space="0"/>
              <w:bottom w:val="single" w:color="000000" w:sz="4" w:space="0"/>
              <w:right w:val="nil"/>
            </w:tcBorders>
            <w:shd w:val="clear" w:color="auto" w:fill="auto"/>
            <w:vAlign w:val="center"/>
          </w:tcPr>
          <w:p w14:paraId="2B78A4BC">
            <w:pPr>
              <w:jc w:val="center"/>
              <w:rPr>
                <w:rFonts w:hint="default" w:ascii="仿宋_GB2312" w:hAnsi="宋体" w:eastAsia="仿宋_GB2312" w:cs="仿宋_GB2312"/>
                <w:i w:val="0"/>
                <w:iCs w:val="0"/>
                <w:color w:val="000000"/>
                <w:sz w:val="20"/>
                <w:szCs w:val="20"/>
                <w:u w:val="none"/>
              </w:rPr>
            </w:pPr>
          </w:p>
        </w:tc>
        <w:tc>
          <w:tcPr>
            <w:tcW w:w="1375" w:type="dxa"/>
            <w:tcBorders>
              <w:top w:val="nil"/>
              <w:left w:val="single" w:color="000000" w:sz="4" w:space="0"/>
              <w:bottom w:val="single" w:color="000000" w:sz="4" w:space="0"/>
              <w:right w:val="nil"/>
            </w:tcBorders>
            <w:shd w:val="clear" w:color="auto" w:fill="auto"/>
            <w:vAlign w:val="center"/>
          </w:tcPr>
          <w:p w14:paraId="3E133F1B">
            <w:pPr>
              <w:jc w:val="center"/>
              <w:rPr>
                <w:rFonts w:hint="default" w:ascii="仿宋_GB2312" w:hAnsi="宋体" w:eastAsia="仿宋_GB2312" w:cs="仿宋_GB2312"/>
                <w:i w:val="0"/>
                <w:iCs w:val="0"/>
                <w:color w:val="000000"/>
                <w:sz w:val="20"/>
                <w:szCs w:val="20"/>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76D0">
            <w:pPr>
              <w:jc w:val="center"/>
              <w:rPr>
                <w:rFonts w:hint="default" w:ascii="仿宋_GB2312" w:hAnsi="宋体" w:eastAsia="仿宋_GB2312" w:cs="仿宋_GB2312"/>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77922">
            <w:pPr>
              <w:jc w:val="center"/>
              <w:rPr>
                <w:rFonts w:hint="default" w:ascii="仿宋_GB2312" w:hAnsi="宋体" w:eastAsia="仿宋_GB2312" w:cs="仿宋_GB2312"/>
                <w:i w:val="0"/>
                <w:iCs w:val="0"/>
                <w:color w:val="000000"/>
                <w:sz w:val="20"/>
                <w:szCs w:val="20"/>
                <w:u w:val="none"/>
              </w:rPr>
            </w:pP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78CD6">
            <w:pPr>
              <w:jc w:val="center"/>
              <w:rPr>
                <w:rFonts w:hint="eastAsia" w:ascii="宋体" w:hAnsi="宋体" w:eastAsia="宋体" w:cs="宋体"/>
                <w:i w:val="0"/>
                <w:iCs w:val="0"/>
                <w:color w:val="000000"/>
                <w:sz w:val="22"/>
                <w:szCs w:val="22"/>
                <w:u w:val="none"/>
              </w:rPr>
            </w:pPr>
          </w:p>
        </w:tc>
      </w:tr>
      <w:tr w14:paraId="0E56A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1"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741EC">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3066AC16">
            <w:pPr>
              <w:rPr>
                <w:rFonts w:hint="default" w:ascii="仿宋_GB2312" w:hAnsi="宋体" w:eastAsia="仿宋_GB2312" w:cs="仿宋_GB2312"/>
                <w:i w:val="0"/>
                <w:iCs w:val="0"/>
                <w:color w:val="000000"/>
                <w:sz w:val="20"/>
                <w:szCs w:val="20"/>
                <w:u w:val="none"/>
              </w:rPr>
            </w:pPr>
          </w:p>
        </w:tc>
        <w:tc>
          <w:tcPr>
            <w:tcW w:w="915" w:type="dxa"/>
            <w:tcBorders>
              <w:top w:val="single" w:color="000000" w:sz="4" w:space="0"/>
              <w:left w:val="single" w:color="000000" w:sz="4" w:space="0"/>
              <w:bottom w:val="single" w:color="000000" w:sz="4" w:space="0"/>
              <w:right w:val="nil"/>
            </w:tcBorders>
            <w:shd w:val="clear" w:color="auto" w:fill="auto"/>
            <w:noWrap/>
            <w:vAlign w:val="center"/>
          </w:tcPr>
          <w:p w14:paraId="3BDF19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可持续影响指标</w:t>
            </w:r>
          </w:p>
        </w:tc>
        <w:tc>
          <w:tcPr>
            <w:tcW w:w="1275" w:type="dxa"/>
            <w:tcBorders>
              <w:top w:val="nil"/>
              <w:left w:val="single" w:color="000000" w:sz="4" w:space="0"/>
              <w:bottom w:val="single" w:color="000000" w:sz="4" w:space="0"/>
              <w:right w:val="nil"/>
            </w:tcBorders>
            <w:shd w:val="clear" w:color="auto" w:fill="auto"/>
            <w:vAlign w:val="center"/>
          </w:tcPr>
          <w:p w14:paraId="043180D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健康稳定发展、可持续性影响</w:t>
            </w:r>
          </w:p>
        </w:tc>
        <w:tc>
          <w:tcPr>
            <w:tcW w:w="660" w:type="dxa"/>
            <w:tcBorders>
              <w:top w:val="nil"/>
              <w:left w:val="single" w:color="000000" w:sz="4" w:space="0"/>
              <w:bottom w:val="single" w:color="000000" w:sz="4" w:space="0"/>
              <w:right w:val="nil"/>
            </w:tcBorders>
            <w:shd w:val="clear" w:color="auto" w:fill="auto"/>
            <w:vAlign w:val="center"/>
          </w:tcPr>
          <w:p w14:paraId="40D0C46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优</w:t>
            </w:r>
          </w:p>
        </w:tc>
        <w:tc>
          <w:tcPr>
            <w:tcW w:w="1375" w:type="dxa"/>
            <w:tcBorders>
              <w:top w:val="nil"/>
              <w:left w:val="single" w:color="000000" w:sz="4" w:space="0"/>
              <w:bottom w:val="single" w:color="000000" w:sz="4" w:space="0"/>
              <w:right w:val="nil"/>
            </w:tcBorders>
            <w:shd w:val="clear" w:color="auto" w:fill="auto"/>
            <w:vAlign w:val="center"/>
          </w:tcPr>
          <w:p w14:paraId="30A0E32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优</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4B6E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FC60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60DD8">
            <w:pPr>
              <w:jc w:val="center"/>
              <w:rPr>
                <w:rFonts w:hint="eastAsia" w:ascii="宋体" w:hAnsi="宋体" w:eastAsia="宋体" w:cs="宋体"/>
                <w:i w:val="0"/>
                <w:iCs w:val="0"/>
                <w:color w:val="000000"/>
                <w:sz w:val="22"/>
                <w:szCs w:val="22"/>
                <w:u w:val="none"/>
              </w:rPr>
            </w:pPr>
          </w:p>
        </w:tc>
      </w:tr>
      <w:tr w14:paraId="31820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5ECDF">
            <w:pPr>
              <w:rPr>
                <w:rFonts w:hint="default" w:ascii="仿宋_GB2312" w:hAnsi="宋体" w:eastAsia="仿宋_GB2312" w:cs="仿宋_GB2312"/>
                <w:i w:val="0"/>
                <w:iCs w:val="0"/>
                <w:color w:val="000000"/>
                <w:sz w:val="20"/>
                <w:szCs w:val="20"/>
                <w:u w:val="none"/>
              </w:rPr>
            </w:pPr>
          </w:p>
        </w:tc>
        <w:tc>
          <w:tcPr>
            <w:tcW w:w="720" w:type="dxa"/>
            <w:tcBorders>
              <w:top w:val="single" w:color="000000" w:sz="4" w:space="0"/>
              <w:left w:val="single" w:color="000000" w:sz="4" w:space="0"/>
              <w:bottom w:val="single" w:color="000000" w:sz="4" w:space="0"/>
              <w:right w:val="nil"/>
            </w:tcBorders>
            <w:shd w:val="clear" w:color="auto" w:fill="auto"/>
            <w:noWrap/>
            <w:vAlign w:val="center"/>
          </w:tcPr>
          <w:p w14:paraId="7505E352">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满意度指标</w:t>
            </w:r>
          </w:p>
        </w:tc>
        <w:tc>
          <w:tcPr>
            <w:tcW w:w="915" w:type="dxa"/>
            <w:tcBorders>
              <w:top w:val="single" w:color="000000" w:sz="4" w:space="0"/>
              <w:left w:val="single" w:color="000000" w:sz="4" w:space="0"/>
              <w:bottom w:val="single" w:color="000000" w:sz="4" w:space="0"/>
              <w:right w:val="nil"/>
            </w:tcBorders>
            <w:shd w:val="clear" w:color="auto" w:fill="auto"/>
            <w:noWrap/>
            <w:vAlign w:val="center"/>
          </w:tcPr>
          <w:p w14:paraId="5EF437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服务对象满意度指标</w:t>
            </w:r>
          </w:p>
        </w:tc>
        <w:tc>
          <w:tcPr>
            <w:tcW w:w="1275" w:type="dxa"/>
            <w:tcBorders>
              <w:top w:val="nil"/>
              <w:left w:val="single" w:color="000000" w:sz="4" w:space="0"/>
              <w:bottom w:val="single" w:color="000000" w:sz="4" w:space="0"/>
              <w:right w:val="nil"/>
            </w:tcBorders>
            <w:shd w:val="clear" w:color="auto" w:fill="auto"/>
            <w:vAlign w:val="center"/>
          </w:tcPr>
          <w:p w14:paraId="018B4F8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医患好评率</w:t>
            </w:r>
          </w:p>
        </w:tc>
        <w:tc>
          <w:tcPr>
            <w:tcW w:w="660" w:type="dxa"/>
            <w:tcBorders>
              <w:top w:val="nil"/>
              <w:left w:val="single" w:color="000000" w:sz="4" w:space="0"/>
              <w:bottom w:val="single" w:color="000000" w:sz="4" w:space="0"/>
              <w:right w:val="nil"/>
            </w:tcBorders>
            <w:shd w:val="clear" w:color="auto" w:fill="auto"/>
            <w:vAlign w:val="center"/>
          </w:tcPr>
          <w:p w14:paraId="49B1DA9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≥95%</w:t>
            </w:r>
          </w:p>
        </w:tc>
        <w:tc>
          <w:tcPr>
            <w:tcW w:w="1375" w:type="dxa"/>
            <w:tcBorders>
              <w:top w:val="nil"/>
              <w:left w:val="single" w:color="000000" w:sz="4" w:space="0"/>
              <w:bottom w:val="single" w:color="000000" w:sz="4" w:space="0"/>
              <w:right w:val="nil"/>
            </w:tcBorders>
            <w:shd w:val="clear" w:color="auto" w:fill="auto"/>
            <w:vAlign w:val="center"/>
          </w:tcPr>
          <w:p w14:paraId="53DA715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≥95%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30A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1EF5B">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BC434">
            <w:pPr>
              <w:jc w:val="center"/>
              <w:rPr>
                <w:rFonts w:hint="eastAsia" w:ascii="宋体" w:hAnsi="宋体" w:eastAsia="宋体" w:cs="宋体"/>
                <w:i w:val="0"/>
                <w:iCs w:val="0"/>
                <w:color w:val="000000"/>
                <w:sz w:val="22"/>
                <w:szCs w:val="22"/>
                <w:u w:val="none"/>
              </w:rPr>
            </w:pPr>
          </w:p>
        </w:tc>
      </w:tr>
      <w:tr w14:paraId="69DE3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D4431">
            <w:pPr>
              <w:rPr>
                <w:rFonts w:hint="default" w:ascii="仿宋_GB2312" w:hAnsi="宋体" w:eastAsia="仿宋_GB2312" w:cs="仿宋_GB2312"/>
                <w:i w:val="0"/>
                <w:iCs w:val="0"/>
                <w:color w:val="000000"/>
                <w:sz w:val="20"/>
                <w:szCs w:val="20"/>
                <w:u w:val="none"/>
              </w:rPr>
            </w:pPr>
          </w:p>
        </w:tc>
        <w:tc>
          <w:tcPr>
            <w:tcW w:w="720" w:type="dxa"/>
            <w:vMerge w:val="restart"/>
            <w:tcBorders>
              <w:top w:val="single" w:color="000000" w:sz="4" w:space="0"/>
              <w:left w:val="single" w:color="000000" w:sz="4" w:space="0"/>
              <w:bottom w:val="single" w:color="000000" w:sz="4" w:space="0"/>
              <w:right w:val="nil"/>
            </w:tcBorders>
            <w:shd w:val="clear" w:color="auto" w:fill="auto"/>
            <w:noWrap/>
            <w:vAlign w:val="center"/>
          </w:tcPr>
          <w:p w14:paraId="0EF431A2">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成本指标</w:t>
            </w:r>
          </w:p>
        </w:tc>
        <w:tc>
          <w:tcPr>
            <w:tcW w:w="915" w:type="dxa"/>
            <w:tcBorders>
              <w:top w:val="single" w:color="000000" w:sz="4" w:space="0"/>
              <w:left w:val="single" w:color="000000" w:sz="4" w:space="0"/>
              <w:bottom w:val="single" w:color="000000" w:sz="4" w:space="0"/>
              <w:right w:val="nil"/>
            </w:tcBorders>
            <w:shd w:val="clear" w:color="auto" w:fill="auto"/>
            <w:noWrap/>
            <w:vAlign w:val="center"/>
          </w:tcPr>
          <w:p w14:paraId="24502A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经济成本指标</w:t>
            </w:r>
          </w:p>
        </w:tc>
        <w:tc>
          <w:tcPr>
            <w:tcW w:w="1275" w:type="dxa"/>
            <w:tcBorders>
              <w:top w:val="nil"/>
              <w:left w:val="single" w:color="000000" w:sz="4" w:space="0"/>
              <w:bottom w:val="single" w:color="000000" w:sz="4" w:space="0"/>
              <w:right w:val="nil"/>
            </w:tcBorders>
            <w:shd w:val="clear" w:color="auto" w:fill="auto"/>
            <w:vAlign w:val="center"/>
          </w:tcPr>
          <w:p w14:paraId="69EF7C22">
            <w:pPr>
              <w:jc w:val="center"/>
              <w:rPr>
                <w:rFonts w:hint="eastAsia" w:ascii="仿宋" w:hAnsi="仿宋" w:eastAsia="仿宋" w:cs="仿宋"/>
                <w:i w:val="0"/>
                <w:iCs w:val="0"/>
                <w:color w:val="000000"/>
                <w:sz w:val="20"/>
                <w:szCs w:val="20"/>
                <w:u w:val="none"/>
              </w:rPr>
            </w:pPr>
          </w:p>
        </w:tc>
        <w:tc>
          <w:tcPr>
            <w:tcW w:w="660" w:type="dxa"/>
            <w:tcBorders>
              <w:top w:val="nil"/>
              <w:left w:val="single" w:color="000000" w:sz="4" w:space="0"/>
              <w:bottom w:val="single" w:color="000000" w:sz="4" w:space="0"/>
              <w:right w:val="nil"/>
            </w:tcBorders>
            <w:shd w:val="clear" w:color="auto" w:fill="auto"/>
            <w:vAlign w:val="center"/>
          </w:tcPr>
          <w:p w14:paraId="71B8C454">
            <w:pPr>
              <w:jc w:val="center"/>
              <w:rPr>
                <w:rFonts w:hint="default" w:ascii="仿宋_GB2312" w:hAnsi="宋体" w:eastAsia="仿宋_GB2312" w:cs="仿宋_GB2312"/>
                <w:i w:val="0"/>
                <w:iCs w:val="0"/>
                <w:color w:val="000000"/>
                <w:sz w:val="20"/>
                <w:szCs w:val="20"/>
                <w:u w:val="none"/>
              </w:rPr>
            </w:pPr>
          </w:p>
        </w:tc>
        <w:tc>
          <w:tcPr>
            <w:tcW w:w="1375" w:type="dxa"/>
            <w:tcBorders>
              <w:top w:val="nil"/>
              <w:left w:val="single" w:color="000000" w:sz="4" w:space="0"/>
              <w:bottom w:val="single" w:color="000000" w:sz="4" w:space="0"/>
              <w:right w:val="nil"/>
            </w:tcBorders>
            <w:shd w:val="clear" w:color="auto" w:fill="auto"/>
            <w:vAlign w:val="center"/>
          </w:tcPr>
          <w:p w14:paraId="57DCC253">
            <w:pPr>
              <w:jc w:val="center"/>
              <w:rPr>
                <w:rFonts w:hint="default" w:ascii="仿宋_GB2312" w:hAnsi="宋体" w:eastAsia="仿宋_GB2312" w:cs="仿宋_GB2312"/>
                <w:i w:val="0"/>
                <w:iCs w:val="0"/>
                <w:color w:val="000000"/>
                <w:sz w:val="20"/>
                <w:szCs w:val="20"/>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38671">
            <w:pPr>
              <w:jc w:val="center"/>
              <w:rPr>
                <w:rFonts w:hint="default" w:ascii="仿宋_GB2312" w:hAnsi="宋体" w:eastAsia="仿宋_GB2312" w:cs="仿宋_GB2312"/>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1F51A">
            <w:pPr>
              <w:jc w:val="center"/>
              <w:rPr>
                <w:rFonts w:hint="default" w:ascii="仿宋_GB2312" w:hAnsi="宋体" w:eastAsia="仿宋_GB2312" w:cs="仿宋_GB2312"/>
                <w:i w:val="0"/>
                <w:iCs w:val="0"/>
                <w:color w:val="000000"/>
                <w:sz w:val="20"/>
                <w:szCs w:val="20"/>
                <w:u w:val="none"/>
              </w:rPr>
            </w:pP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27DD">
            <w:pPr>
              <w:jc w:val="center"/>
              <w:rPr>
                <w:rFonts w:hint="eastAsia" w:ascii="宋体" w:hAnsi="宋体" w:eastAsia="宋体" w:cs="宋体"/>
                <w:i w:val="0"/>
                <w:iCs w:val="0"/>
                <w:color w:val="000000"/>
                <w:sz w:val="22"/>
                <w:szCs w:val="22"/>
                <w:u w:val="none"/>
              </w:rPr>
            </w:pPr>
          </w:p>
        </w:tc>
      </w:tr>
      <w:tr w14:paraId="727ED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B5C9F">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67B51466">
            <w:pPr>
              <w:rPr>
                <w:rFonts w:hint="default" w:ascii="仿宋_GB2312" w:hAnsi="宋体" w:eastAsia="仿宋_GB2312" w:cs="仿宋_GB2312"/>
                <w:i w:val="0"/>
                <w:iCs w:val="0"/>
                <w:color w:val="000000"/>
                <w:sz w:val="20"/>
                <w:szCs w:val="20"/>
                <w:u w:val="none"/>
              </w:rPr>
            </w:pPr>
          </w:p>
        </w:tc>
        <w:tc>
          <w:tcPr>
            <w:tcW w:w="915" w:type="dxa"/>
            <w:tcBorders>
              <w:top w:val="single" w:color="000000" w:sz="4" w:space="0"/>
              <w:left w:val="single" w:color="000000" w:sz="4" w:space="0"/>
              <w:bottom w:val="single" w:color="000000" w:sz="4" w:space="0"/>
              <w:right w:val="nil"/>
            </w:tcBorders>
            <w:shd w:val="clear" w:color="auto" w:fill="auto"/>
            <w:noWrap/>
            <w:vAlign w:val="center"/>
          </w:tcPr>
          <w:p w14:paraId="74E85C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社会成本指标</w:t>
            </w:r>
          </w:p>
        </w:tc>
        <w:tc>
          <w:tcPr>
            <w:tcW w:w="1275" w:type="dxa"/>
            <w:tcBorders>
              <w:top w:val="nil"/>
              <w:left w:val="single" w:color="000000" w:sz="4" w:space="0"/>
              <w:bottom w:val="single" w:color="000000" w:sz="4" w:space="0"/>
              <w:right w:val="nil"/>
            </w:tcBorders>
            <w:shd w:val="clear" w:color="auto" w:fill="auto"/>
            <w:vAlign w:val="center"/>
          </w:tcPr>
          <w:p w14:paraId="237BCB04">
            <w:pPr>
              <w:jc w:val="center"/>
              <w:rPr>
                <w:rFonts w:hint="eastAsia" w:ascii="仿宋" w:hAnsi="仿宋" w:eastAsia="仿宋" w:cs="仿宋"/>
                <w:i w:val="0"/>
                <w:iCs w:val="0"/>
                <w:color w:val="000000"/>
                <w:sz w:val="20"/>
                <w:szCs w:val="20"/>
                <w:u w:val="none"/>
              </w:rPr>
            </w:pPr>
          </w:p>
        </w:tc>
        <w:tc>
          <w:tcPr>
            <w:tcW w:w="660" w:type="dxa"/>
            <w:tcBorders>
              <w:top w:val="nil"/>
              <w:left w:val="single" w:color="000000" w:sz="4" w:space="0"/>
              <w:bottom w:val="single" w:color="000000" w:sz="4" w:space="0"/>
              <w:right w:val="nil"/>
            </w:tcBorders>
            <w:shd w:val="clear" w:color="auto" w:fill="auto"/>
            <w:vAlign w:val="center"/>
          </w:tcPr>
          <w:p w14:paraId="413CBB65">
            <w:pPr>
              <w:jc w:val="center"/>
              <w:rPr>
                <w:rFonts w:hint="default" w:ascii="仿宋_GB2312" w:hAnsi="宋体" w:eastAsia="仿宋_GB2312" w:cs="仿宋_GB2312"/>
                <w:i w:val="0"/>
                <w:iCs w:val="0"/>
                <w:color w:val="000000"/>
                <w:sz w:val="20"/>
                <w:szCs w:val="20"/>
                <w:u w:val="none"/>
              </w:rPr>
            </w:pPr>
          </w:p>
        </w:tc>
        <w:tc>
          <w:tcPr>
            <w:tcW w:w="1375" w:type="dxa"/>
            <w:tcBorders>
              <w:top w:val="nil"/>
              <w:left w:val="single" w:color="000000" w:sz="4" w:space="0"/>
              <w:bottom w:val="single" w:color="000000" w:sz="4" w:space="0"/>
              <w:right w:val="nil"/>
            </w:tcBorders>
            <w:shd w:val="clear" w:color="auto" w:fill="auto"/>
            <w:vAlign w:val="center"/>
          </w:tcPr>
          <w:p w14:paraId="32690EA0">
            <w:pPr>
              <w:jc w:val="center"/>
              <w:rPr>
                <w:rFonts w:hint="default" w:ascii="仿宋_GB2312" w:hAnsi="宋体" w:eastAsia="仿宋_GB2312" w:cs="仿宋_GB2312"/>
                <w:i w:val="0"/>
                <w:iCs w:val="0"/>
                <w:color w:val="000000"/>
                <w:sz w:val="20"/>
                <w:szCs w:val="20"/>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BE5D">
            <w:pPr>
              <w:jc w:val="center"/>
              <w:rPr>
                <w:rFonts w:hint="default" w:ascii="仿宋_GB2312" w:hAnsi="宋体" w:eastAsia="仿宋_GB2312" w:cs="仿宋_GB2312"/>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9992D">
            <w:pPr>
              <w:jc w:val="center"/>
              <w:rPr>
                <w:rFonts w:hint="default" w:ascii="仿宋_GB2312" w:hAnsi="宋体" w:eastAsia="仿宋_GB2312" w:cs="仿宋_GB2312"/>
                <w:i w:val="0"/>
                <w:iCs w:val="0"/>
                <w:color w:val="000000"/>
                <w:sz w:val="20"/>
                <w:szCs w:val="20"/>
                <w:u w:val="none"/>
              </w:rPr>
            </w:pP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CF17B">
            <w:pPr>
              <w:jc w:val="center"/>
              <w:rPr>
                <w:rFonts w:hint="eastAsia" w:ascii="宋体" w:hAnsi="宋体" w:eastAsia="宋体" w:cs="宋体"/>
                <w:i w:val="0"/>
                <w:iCs w:val="0"/>
                <w:color w:val="000000"/>
                <w:sz w:val="22"/>
                <w:szCs w:val="22"/>
                <w:u w:val="none"/>
              </w:rPr>
            </w:pPr>
          </w:p>
        </w:tc>
      </w:tr>
      <w:tr w14:paraId="376A9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860D4">
            <w:pPr>
              <w:rPr>
                <w:rFonts w:hint="default" w:ascii="仿宋_GB2312" w:hAnsi="宋体" w:eastAsia="仿宋_GB2312" w:cs="仿宋_GB2312"/>
                <w:i w:val="0"/>
                <w:iCs w:val="0"/>
                <w:color w:val="000000"/>
                <w:sz w:val="20"/>
                <w:szCs w:val="20"/>
                <w:u w:val="none"/>
              </w:rPr>
            </w:pPr>
          </w:p>
        </w:tc>
        <w:tc>
          <w:tcPr>
            <w:tcW w:w="72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104BFEFA">
            <w:pPr>
              <w:rPr>
                <w:rFonts w:hint="default" w:ascii="仿宋_GB2312" w:hAnsi="宋体" w:eastAsia="仿宋_GB2312" w:cs="仿宋_GB2312"/>
                <w:i w:val="0"/>
                <w:iCs w:val="0"/>
                <w:color w:val="000000"/>
                <w:sz w:val="20"/>
                <w:szCs w:val="20"/>
                <w:u w:val="none"/>
              </w:rPr>
            </w:pPr>
          </w:p>
        </w:tc>
        <w:tc>
          <w:tcPr>
            <w:tcW w:w="915" w:type="dxa"/>
            <w:tcBorders>
              <w:top w:val="single" w:color="000000" w:sz="4" w:space="0"/>
              <w:left w:val="single" w:color="000000" w:sz="4" w:space="0"/>
              <w:bottom w:val="single" w:color="000000" w:sz="4" w:space="0"/>
              <w:right w:val="nil"/>
            </w:tcBorders>
            <w:shd w:val="clear" w:color="auto" w:fill="auto"/>
            <w:noWrap/>
            <w:vAlign w:val="center"/>
          </w:tcPr>
          <w:p w14:paraId="3362F0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生态环境成本指标</w:t>
            </w:r>
          </w:p>
        </w:tc>
        <w:tc>
          <w:tcPr>
            <w:tcW w:w="1275" w:type="dxa"/>
            <w:tcBorders>
              <w:top w:val="nil"/>
              <w:left w:val="single" w:color="000000" w:sz="4" w:space="0"/>
              <w:bottom w:val="single" w:color="000000" w:sz="4" w:space="0"/>
              <w:right w:val="nil"/>
            </w:tcBorders>
            <w:shd w:val="clear" w:color="auto" w:fill="auto"/>
            <w:vAlign w:val="center"/>
          </w:tcPr>
          <w:p w14:paraId="293ADAA3">
            <w:pPr>
              <w:jc w:val="center"/>
              <w:rPr>
                <w:rFonts w:hint="eastAsia" w:ascii="仿宋" w:hAnsi="仿宋" w:eastAsia="仿宋" w:cs="仿宋"/>
                <w:i w:val="0"/>
                <w:iCs w:val="0"/>
                <w:color w:val="000000"/>
                <w:sz w:val="20"/>
                <w:szCs w:val="20"/>
                <w:u w:val="none"/>
              </w:rPr>
            </w:pPr>
          </w:p>
        </w:tc>
        <w:tc>
          <w:tcPr>
            <w:tcW w:w="660" w:type="dxa"/>
            <w:tcBorders>
              <w:top w:val="nil"/>
              <w:left w:val="single" w:color="000000" w:sz="4" w:space="0"/>
              <w:bottom w:val="single" w:color="000000" w:sz="4" w:space="0"/>
              <w:right w:val="nil"/>
            </w:tcBorders>
            <w:shd w:val="clear" w:color="auto" w:fill="auto"/>
            <w:vAlign w:val="center"/>
          </w:tcPr>
          <w:p w14:paraId="118131D4">
            <w:pPr>
              <w:jc w:val="center"/>
              <w:rPr>
                <w:rFonts w:hint="default" w:ascii="仿宋_GB2312" w:hAnsi="宋体" w:eastAsia="仿宋_GB2312" w:cs="仿宋_GB2312"/>
                <w:i w:val="0"/>
                <w:iCs w:val="0"/>
                <w:color w:val="000000"/>
                <w:sz w:val="20"/>
                <w:szCs w:val="20"/>
                <w:u w:val="none"/>
              </w:rPr>
            </w:pPr>
          </w:p>
        </w:tc>
        <w:tc>
          <w:tcPr>
            <w:tcW w:w="1375" w:type="dxa"/>
            <w:tcBorders>
              <w:top w:val="nil"/>
              <w:left w:val="single" w:color="000000" w:sz="4" w:space="0"/>
              <w:bottom w:val="single" w:color="000000" w:sz="4" w:space="0"/>
              <w:right w:val="nil"/>
            </w:tcBorders>
            <w:shd w:val="clear" w:color="auto" w:fill="auto"/>
            <w:vAlign w:val="center"/>
          </w:tcPr>
          <w:p w14:paraId="627AE1A4">
            <w:pPr>
              <w:jc w:val="center"/>
              <w:rPr>
                <w:rFonts w:hint="default" w:ascii="仿宋_GB2312" w:hAnsi="宋体" w:eastAsia="仿宋_GB2312" w:cs="仿宋_GB2312"/>
                <w:i w:val="0"/>
                <w:iCs w:val="0"/>
                <w:color w:val="000000"/>
                <w:sz w:val="20"/>
                <w:szCs w:val="20"/>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2E4E">
            <w:pPr>
              <w:jc w:val="center"/>
              <w:rPr>
                <w:rFonts w:hint="default" w:ascii="仿宋_GB2312" w:hAnsi="宋体" w:eastAsia="仿宋_GB2312" w:cs="仿宋_GB2312"/>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A0F2">
            <w:pPr>
              <w:jc w:val="center"/>
              <w:rPr>
                <w:rFonts w:hint="default" w:ascii="仿宋_GB2312" w:hAnsi="宋体" w:eastAsia="仿宋_GB2312" w:cs="仿宋_GB2312"/>
                <w:i w:val="0"/>
                <w:iCs w:val="0"/>
                <w:color w:val="000000"/>
                <w:sz w:val="20"/>
                <w:szCs w:val="20"/>
                <w:u w:val="none"/>
              </w:rPr>
            </w:pPr>
          </w:p>
        </w:tc>
        <w:tc>
          <w:tcPr>
            <w:tcW w:w="21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2990">
            <w:pPr>
              <w:jc w:val="center"/>
              <w:rPr>
                <w:rFonts w:hint="eastAsia" w:ascii="宋体" w:hAnsi="宋体" w:eastAsia="宋体" w:cs="宋体"/>
                <w:i w:val="0"/>
                <w:iCs w:val="0"/>
                <w:color w:val="000000"/>
                <w:sz w:val="22"/>
                <w:szCs w:val="22"/>
                <w:u w:val="none"/>
              </w:rPr>
            </w:pPr>
          </w:p>
        </w:tc>
      </w:tr>
    </w:tbl>
    <w:p w14:paraId="33CC42B9">
      <w:pPr>
        <w:pStyle w:val="5"/>
        <w:spacing w:before="209" w:line="222" w:lineRule="auto"/>
        <w:ind w:left="619"/>
        <w:rPr>
          <w:spacing w:val="-1"/>
          <w:sz w:val="31"/>
          <w:szCs w:val="31"/>
        </w:rPr>
      </w:pPr>
    </w:p>
    <w:p w14:paraId="19FBC673">
      <w:pPr>
        <w:pStyle w:val="5"/>
        <w:spacing w:before="209" w:line="222" w:lineRule="auto"/>
        <w:ind w:left="619"/>
        <w:rPr>
          <w:spacing w:val="-1"/>
          <w:sz w:val="31"/>
          <w:szCs w:val="31"/>
        </w:rPr>
      </w:pPr>
    </w:p>
    <w:p w14:paraId="39B5BE8A">
      <w:pPr>
        <w:pStyle w:val="5"/>
        <w:spacing w:before="209" w:line="222" w:lineRule="auto"/>
        <w:ind w:left="619"/>
        <w:rPr>
          <w:spacing w:val="-1"/>
          <w:sz w:val="31"/>
          <w:szCs w:val="31"/>
        </w:rPr>
      </w:pPr>
    </w:p>
    <w:p w14:paraId="6AC0C09D">
      <w:pPr>
        <w:pStyle w:val="5"/>
        <w:spacing w:before="209" w:line="222" w:lineRule="auto"/>
        <w:ind w:left="619"/>
        <w:rPr>
          <w:sz w:val="31"/>
          <w:szCs w:val="31"/>
        </w:rPr>
      </w:pPr>
      <w:r>
        <w:rPr>
          <w:spacing w:val="-1"/>
          <w:sz w:val="31"/>
          <w:szCs w:val="31"/>
        </w:rPr>
        <w:t>报告需要以下附件：</w:t>
      </w:r>
    </w:p>
    <w:p w14:paraId="06797B7A">
      <w:pPr>
        <w:pStyle w:val="5"/>
        <w:spacing w:before="235" w:line="222" w:lineRule="auto"/>
        <w:ind w:left="619"/>
        <w:rPr>
          <w:sz w:val="31"/>
          <w:szCs w:val="31"/>
        </w:rPr>
      </w:pPr>
      <w:r>
        <w:rPr>
          <w:spacing w:val="7"/>
          <w:sz w:val="31"/>
          <w:szCs w:val="31"/>
        </w:rPr>
        <w:t>1.部门整体支出绩效评价基础数据表</w:t>
      </w:r>
    </w:p>
    <w:p w14:paraId="4BB3215E">
      <w:pPr>
        <w:pStyle w:val="5"/>
        <w:spacing w:before="227" w:line="222" w:lineRule="auto"/>
        <w:ind w:left="619"/>
        <w:rPr>
          <w:sz w:val="31"/>
          <w:szCs w:val="31"/>
        </w:rPr>
      </w:pPr>
      <w:r>
        <w:rPr>
          <w:spacing w:val="8"/>
          <w:sz w:val="31"/>
          <w:szCs w:val="31"/>
        </w:rPr>
        <w:t>2.部门整体支出绩效自评表</w:t>
      </w:r>
    </w:p>
    <w:p w14:paraId="20A7D1FD">
      <w:pPr>
        <w:pStyle w:val="5"/>
        <w:spacing w:before="220" w:line="222" w:lineRule="auto"/>
        <w:ind w:left="619"/>
        <w:rPr>
          <w:sz w:val="31"/>
          <w:szCs w:val="31"/>
        </w:rPr>
      </w:pPr>
      <w:r>
        <w:rPr>
          <w:spacing w:val="8"/>
          <w:sz w:val="31"/>
          <w:szCs w:val="31"/>
        </w:rPr>
        <w:t>3.项目支出绩效自评表</w:t>
      </w:r>
    </w:p>
    <w:p w14:paraId="241F2C1D">
      <w:pPr>
        <w:pStyle w:val="5"/>
        <w:spacing w:before="214" w:line="357" w:lineRule="auto"/>
        <w:ind w:left="10" w:right="17" w:firstLine="609"/>
        <w:rPr>
          <w:sz w:val="31"/>
          <w:szCs w:val="31"/>
        </w:rPr>
      </w:pPr>
      <w:r>
        <w:rPr>
          <w:spacing w:val="13"/>
          <w:sz w:val="31"/>
          <w:szCs w:val="31"/>
        </w:rPr>
        <w:t>4.其他佐证材料：当年度预算绩效目标申报表、单位年度工</w:t>
      </w:r>
      <w:r>
        <w:rPr>
          <w:spacing w:val="8"/>
          <w:sz w:val="31"/>
          <w:szCs w:val="31"/>
        </w:rPr>
        <w:t xml:space="preserve"> </w:t>
      </w:r>
      <w:r>
        <w:rPr>
          <w:spacing w:val="13"/>
          <w:sz w:val="31"/>
          <w:szCs w:val="31"/>
        </w:rPr>
        <w:t>作总结、预决算报表、有关表彰奖励复印件</w:t>
      </w:r>
      <w:r>
        <w:rPr>
          <w:spacing w:val="12"/>
          <w:sz w:val="31"/>
          <w:szCs w:val="31"/>
        </w:rPr>
        <w:t>及与自评报告、基础</w:t>
      </w:r>
    </w:p>
    <w:p w14:paraId="3C4F9BEF">
      <w:pPr>
        <w:pStyle w:val="5"/>
        <w:spacing w:line="220" w:lineRule="auto"/>
        <w:rPr>
          <w:sz w:val="31"/>
          <w:szCs w:val="31"/>
        </w:rPr>
        <w:sectPr>
          <w:footerReference r:id="rId6" w:type="default"/>
          <w:pgSz w:w="12080" w:h="16940"/>
          <w:pgMar w:top="1439" w:right="1505" w:bottom="1518" w:left="1510" w:header="0" w:footer="1209" w:gutter="0"/>
          <w:pgNumType w:fmt="decimal"/>
          <w:cols w:space="720" w:num="1"/>
        </w:sectPr>
      </w:pPr>
      <w:r>
        <w:rPr>
          <w:spacing w:val="3"/>
          <w:sz w:val="31"/>
          <w:szCs w:val="31"/>
        </w:rPr>
        <w:t>表、自评表内容相符的相关佐证材料</w:t>
      </w:r>
    </w:p>
    <w:p w14:paraId="3D05116B"/>
    <w:sectPr>
      <w:headerReference r:id="rId7" w:type="default"/>
      <w:footerReference r:id="rId8" w:type="default"/>
      <w:pgSz w:w="11900" w:h="16820"/>
      <w:pgMar w:top="0" w:right="0" w:bottom="0" w:left="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Microsoft YaHei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484E8">
    <w:pPr>
      <w:spacing w:before="1" w:line="177" w:lineRule="auto"/>
      <w:jc w:val="right"/>
      <w:rPr>
        <w:rFonts w:ascii="宋体" w:hAnsi="宋体" w:eastAsia="宋体" w:cs="宋体"/>
        <w:sz w:val="31"/>
        <w:szCs w:val="31"/>
      </w:rPr>
    </w:pPr>
    <w:r>
      <w:rPr>
        <w:sz w:val="3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EAF698">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65EAF698">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0F545">
    <w:pPr>
      <w:spacing w:before="1" w:line="177" w:lineRule="auto"/>
      <w:jc w:val="right"/>
      <w:rPr>
        <w:rFonts w:ascii="宋体" w:hAnsi="宋体" w:eastAsia="宋体" w:cs="宋体"/>
        <w:sz w:val="31"/>
        <w:szCs w:val="31"/>
      </w:rPr>
    </w:pPr>
    <w:r>
      <w:rPr>
        <w:sz w:val="3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FC79B6">
                          <w:pPr>
                            <w:pStyle w:val="6"/>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BFC79B6">
                    <w:pPr>
                      <w:pStyle w:val="6"/>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r>
      <w:rPr>
        <w:rFonts w:ascii="宋体" w:hAnsi="宋体" w:eastAsia="宋体" w:cs="宋体"/>
        <w:spacing w:val="5"/>
        <w:sz w:val="31"/>
        <w:szCs w:val="31"/>
      </w:rPr>
      <w:t xml:space="preserve"> </w:t>
    </w:r>
    <w:r>
      <w:rPr>
        <w:rFonts w:ascii="宋体" w:hAnsi="宋体" w:eastAsia="宋体" w:cs="宋体"/>
        <w:spacing w:val="-9"/>
        <w:w w:val="52"/>
        <w:sz w:val="31"/>
        <w:szCs w:val="3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E8B5A">
    <w:pPr>
      <w:spacing w:line="14" w:lineRule="auto"/>
      <w:rPr>
        <w:rFonts w:ascii="Arial"/>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AAE330">
                          <w:pPr>
                            <w:pStyle w:val="6"/>
                          </w:pPr>
                          <w:r>
                            <w:t xml:space="preserve">— </w:t>
                          </w:r>
                          <w:r>
                            <w:fldChar w:fldCharType="begin"/>
                          </w:r>
                          <w:r>
                            <w:instrText xml:space="preserve"> PAGE  \* MERGEFORMAT </w:instrText>
                          </w:r>
                          <w:r>
                            <w:fldChar w:fldCharType="separate"/>
                          </w:r>
                          <w:r>
                            <w:t>13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3CAAE330">
                    <w:pPr>
                      <w:pStyle w:val="6"/>
                    </w:pPr>
                    <w:r>
                      <w:t xml:space="preserve">— </w:t>
                    </w:r>
                    <w:r>
                      <w:fldChar w:fldCharType="begin"/>
                    </w:r>
                    <w:r>
                      <w:instrText xml:space="preserve"> PAGE  \* MERGEFORMAT </w:instrText>
                    </w:r>
                    <w:r>
                      <w:fldChar w:fldCharType="separate"/>
                    </w:r>
                    <w:r>
                      <w:t>13</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B33C4">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2F0AC"/>
    <w:multiLevelType w:val="singleLevel"/>
    <w:tmpl w:val="9FB2F0AC"/>
    <w:lvl w:ilvl="0" w:tentative="0">
      <w:start w:val="1"/>
      <w:numFmt w:val="chineseCounting"/>
      <w:suff w:val="nothing"/>
      <w:lvlText w:val="（%1）"/>
      <w:lvlJc w:val="left"/>
      <w:rPr>
        <w:rFonts w:hint="eastAsia"/>
      </w:rPr>
    </w:lvl>
  </w:abstractNum>
  <w:abstractNum w:abstractNumId="1">
    <w:nsid w:val="C9745F80"/>
    <w:multiLevelType w:val="singleLevel"/>
    <w:tmpl w:val="C9745F80"/>
    <w:lvl w:ilvl="0" w:tentative="0">
      <w:start w:val="1"/>
      <w:numFmt w:val="chineseCounting"/>
      <w:suff w:val="nothing"/>
      <w:lvlText w:val="（%1）"/>
      <w:lvlJc w:val="left"/>
      <w:rPr>
        <w:rFonts w:hint="eastAsia"/>
      </w:rPr>
    </w:lvl>
  </w:abstractNum>
  <w:abstractNum w:abstractNumId="2">
    <w:nsid w:val="61ED39EE"/>
    <w:multiLevelType w:val="singleLevel"/>
    <w:tmpl w:val="61ED39EE"/>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WRlY2U1MzdkY2I2ODQ5MzlkYTY0ZTQ0M2U5ZjM3ZTUifQ=="/>
  </w:docVars>
  <w:rsids>
    <w:rsidRoot w:val="00000000"/>
    <w:rsid w:val="0022181C"/>
    <w:rsid w:val="004D6899"/>
    <w:rsid w:val="007756C4"/>
    <w:rsid w:val="00A12741"/>
    <w:rsid w:val="00EB60B2"/>
    <w:rsid w:val="00F431B9"/>
    <w:rsid w:val="01017684"/>
    <w:rsid w:val="01141165"/>
    <w:rsid w:val="01242CAF"/>
    <w:rsid w:val="01251B2E"/>
    <w:rsid w:val="01B446F6"/>
    <w:rsid w:val="01CC5EE4"/>
    <w:rsid w:val="01FD7E4B"/>
    <w:rsid w:val="025A704C"/>
    <w:rsid w:val="026E6F9B"/>
    <w:rsid w:val="02A209F3"/>
    <w:rsid w:val="02DE7C7D"/>
    <w:rsid w:val="02EE3C38"/>
    <w:rsid w:val="02F079B0"/>
    <w:rsid w:val="02FE3E7B"/>
    <w:rsid w:val="0300236B"/>
    <w:rsid w:val="03541CED"/>
    <w:rsid w:val="03D80B70"/>
    <w:rsid w:val="042F62B6"/>
    <w:rsid w:val="04506958"/>
    <w:rsid w:val="04671EF4"/>
    <w:rsid w:val="04A2256B"/>
    <w:rsid w:val="04D10807"/>
    <w:rsid w:val="04E6106A"/>
    <w:rsid w:val="056F2E0E"/>
    <w:rsid w:val="0596483F"/>
    <w:rsid w:val="05BD626F"/>
    <w:rsid w:val="060D2627"/>
    <w:rsid w:val="07690811"/>
    <w:rsid w:val="078132CC"/>
    <w:rsid w:val="07C37441"/>
    <w:rsid w:val="080737D2"/>
    <w:rsid w:val="08381BDD"/>
    <w:rsid w:val="08BA6A96"/>
    <w:rsid w:val="08D31906"/>
    <w:rsid w:val="0935611C"/>
    <w:rsid w:val="095C7B4D"/>
    <w:rsid w:val="099074D1"/>
    <w:rsid w:val="09CD0A4B"/>
    <w:rsid w:val="0A53598C"/>
    <w:rsid w:val="0A9936F4"/>
    <w:rsid w:val="0ADF4592"/>
    <w:rsid w:val="0B9F1F73"/>
    <w:rsid w:val="0C1C1816"/>
    <w:rsid w:val="0C4C6C70"/>
    <w:rsid w:val="0D1534DD"/>
    <w:rsid w:val="0D31309F"/>
    <w:rsid w:val="0D984ECC"/>
    <w:rsid w:val="0DC9777B"/>
    <w:rsid w:val="0DD04666"/>
    <w:rsid w:val="0DE1181F"/>
    <w:rsid w:val="0E6A6868"/>
    <w:rsid w:val="0EA63619"/>
    <w:rsid w:val="0EAC50D3"/>
    <w:rsid w:val="0ED463D8"/>
    <w:rsid w:val="0EFD6B33"/>
    <w:rsid w:val="0F362BEE"/>
    <w:rsid w:val="0F7200CA"/>
    <w:rsid w:val="0F972C81"/>
    <w:rsid w:val="0F9954C0"/>
    <w:rsid w:val="0FA97864"/>
    <w:rsid w:val="0FC65D20"/>
    <w:rsid w:val="0FD7567A"/>
    <w:rsid w:val="10280789"/>
    <w:rsid w:val="10B71B0D"/>
    <w:rsid w:val="11177B40"/>
    <w:rsid w:val="113C57F9"/>
    <w:rsid w:val="12096398"/>
    <w:rsid w:val="12282CC2"/>
    <w:rsid w:val="130F79DE"/>
    <w:rsid w:val="13A24CF6"/>
    <w:rsid w:val="13B3480E"/>
    <w:rsid w:val="13F76DF0"/>
    <w:rsid w:val="143C230A"/>
    <w:rsid w:val="149E1EB3"/>
    <w:rsid w:val="14BF01FB"/>
    <w:rsid w:val="158100AB"/>
    <w:rsid w:val="15C72C7C"/>
    <w:rsid w:val="15EC2259"/>
    <w:rsid w:val="15FA6724"/>
    <w:rsid w:val="15FB249C"/>
    <w:rsid w:val="15FD6214"/>
    <w:rsid w:val="16BC7E7D"/>
    <w:rsid w:val="170D16F5"/>
    <w:rsid w:val="17291E35"/>
    <w:rsid w:val="177E3384"/>
    <w:rsid w:val="17A3178F"/>
    <w:rsid w:val="17A32DEB"/>
    <w:rsid w:val="17BB3D7B"/>
    <w:rsid w:val="17F96B12"/>
    <w:rsid w:val="18153CE9"/>
    <w:rsid w:val="18BC5F12"/>
    <w:rsid w:val="18FC0A05"/>
    <w:rsid w:val="19232435"/>
    <w:rsid w:val="19C22AD0"/>
    <w:rsid w:val="19C239FC"/>
    <w:rsid w:val="19FA68FB"/>
    <w:rsid w:val="1A9D6217"/>
    <w:rsid w:val="1AF5395E"/>
    <w:rsid w:val="1B261D69"/>
    <w:rsid w:val="1B26620D"/>
    <w:rsid w:val="1BAC6712"/>
    <w:rsid w:val="1BE16DAE"/>
    <w:rsid w:val="1BFB4FA4"/>
    <w:rsid w:val="1C6A33EE"/>
    <w:rsid w:val="1CB87339"/>
    <w:rsid w:val="1CD001DE"/>
    <w:rsid w:val="1D774AFE"/>
    <w:rsid w:val="1DCF4C7E"/>
    <w:rsid w:val="1DEC54EC"/>
    <w:rsid w:val="1DFE1DCF"/>
    <w:rsid w:val="1E110AAE"/>
    <w:rsid w:val="1EA044C3"/>
    <w:rsid w:val="1EA57449"/>
    <w:rsid w:val="1EC91389"/>
    <w:rsid w:val="1EDD6BE3"/>
    <w:rsid w:val="1EE64087"/>
    <w:rsid w:val="1F1C3BAF"/>
    <w:rsid w:val="1F460A45"/>
    <w:rsid w:val="1FE81CE3"/>
    <w:rsid w:val="2000527E"/>
    <w:rsid w:val="205E3D53"/>
    <w:rsid w:val="20914128"/>
    <w:rsid w:val="20E95D13"/>
    <w:rsid w:val="20FF1092"/>
    <w:rsid w:val="21920158"/>
    <w:rsid w:val="21DE339D"/>
    <w:rsid w:val="21E81D77"/>
    <w:rsid w:val="21FA5CFD"/>
    <w:rsid w:val="22010E3A"/>
    <w:rsid w:val="22737F8A"/>
    <w:rsid w:val="228D0920"/>
    <w:rsid w:val="233A2855"/>
    <w:rsid w:val="23AD1279"/>
    <w:rsid w:val="23E80503"/>
    <w:rsid w:val="24704055"/>
    <w:rsid w:val="24855D52"/>
    <w:rsid w:val="24CA5E5B"/>
    <w:rsid w:val="24CC572F"/>
    <w:rsid w:val="24D665AE"/>
    <w:rsid w:val="24E862E1"/>
    <w:rsid w:val="25787665"/>
    <w:rsid w:val="25853B30"/>
    <w:rsid w:val="26461511"/>
    <w:rsid w:val="264829D6"/>
    <w:rsid w:val="26647BE9"/>
    <w:rsid w:val="26AA7CF2"/>
    <w:rsid w:val="270C62B7"/>
    <w:rsid w:val="273A72C8"/>
    <w:rsid w:val="27457A1B"/>
    <w:rsid w:val="27B626C7"/>
    <w:rsid w:val="27DF39CB"/>
    <w:rsid w:val="27EB411E"/>
    <w:rsid w:val="28795BCE"/>
    <w:rsid w:val="2886198F"/>
    <w:rsid w:val="28CB4DAA"/>
    <w:rsid w:val="290D27BA"/>
    <w:rsid w:val="295C2DFA"/>
    <w:rsid w:val="297D1B58"/>
    <w:rsid w:val="2A282D36"/>
    <w:rsid w:val="2A2B4966"/>
    <w:rsid w:val="2A51797F"/>
    <w:rsid w:val="2B0A5203"/>
    <w:rsid w:val="2B7E34FB"/>
    <w:rsid w:val="2BF63841"/>
    <w:rsid w:val="2C1A1178"/>
    <w:rsid w:val="2C8E72CC"/>
    <w:rsid w:val="2D4F514F"/>
    <w:rsid w:val="2D5269EE"/>
    <w:rsid w:val="2E1B7727"/>
    <w:rsid w:val="2E2A1718"/>
    <w:rsid w:val="2E4455A1"/>
    <w:rsid w:val="2E7C69EB"/>
    <w:rsid w:val="2EAD1702"/>
    <w:rsid w:val="2EB84F76"/>
    <w:rsid w:val="2F10090E"/>
    <w:rsid w:val="2FAF1ED5"/>
    <w:rsid w:val="2FFB511A"/>
    <w:rsid w:val="304765B2"/>
    <w:rsid w:val="307B1892"/>
    <w:rsid w:val="30801FAB"/>
    <w:rsid w:val="3082583C"/>
    <w:rsid w:val="310426F5"/>
    <w:rsid w:val="316311C9"/>
    <w:rsid w:val="318B5E6C"/>
    <w:rsid w:val="32794A1C"/>
    <w:rsid w:val="329D695D"/>
    <w:rsid w:val="333F7A14"/>
    <w:rsid w:val="336E3E55"/>
    <w:rsid w:val="33890C8F"/>
    <w:rsid w:val="33956BEA"/>
    <w:rsid w:val="33D20888"/>
    <w:rsid w:val="34390907"/>
    <w:rsid w:val="34E52F6A"/>
    <w:rsid w:val="34EA2203"/>
    <w:rsid w:val="35266557"/>
    <w:rsid w:val="352E1AEE"/>
    <w:rsid w:val="35337105"/>
    <w:rsid w:val="356A1E08"/>
    <w:rsid w:val="35B42EC9"/>
    <w:rsid w:val="361B308B"/>
    <w:rsid w:val="367479D5"/>
    <w:rsid w:val="36F6663C"/>
    <w:rsid w:val="37091D0D"/>
    <w:rsid w:val="37152F66"/>
    <w:rsid w:val="373D070E"/>
    <w:rsid w:val="375810A4"/>
    <w:rsid w:val="37737187"/>
    <w:rsid w:val="37A7012D"/>
    <w:rsid w:val="37BD53AB"/>
    <w:rsid w:val="37C56B6C"/>
    <w:rsid w:val="37D73D98"/>
    <w:rsid w:val="37DF3574"/>
    <w:rsid w:val="39616936"/>
    <w:rsid w:val="39DD3AE3"/>
    <w:rsid w:val="3A32157B"/>
    <w:rsid w:val="3A347BA7"/>
    <w:rsid w:val="3A773F37"/>
    <w:rsid w:val="3A856654"/>
    <w:rsid w:val="3ACA22B9"/>
    <w:rsid w:val="3AF235BE"/>
    <w:rsid w:val="3BC431AC"/>
    <w:rsid w:val="3BF770DE"/>
    <w:rsid w:val="3C522566"/>
    <w:rsid w:val="3C597D99"/>
    <w:rsid w:val="3CAA23A2"/>
    <w:rsid w:val="3CF17FD1"/>
    <w:rsid w:val="3D2106A9"/>
    <w:rsid w:val="3D391940"/>
    <w:rsid w:val="3D4C5207"/>
    <w:rsid w:val="3D6E33D0"/>
    <w:rsid w:val="3E1F0B6E"/>
    <w:rsid w:val="3E2C6DE7"/>
    <w:rsid w:val="3E6842C3"/>
    <w:rsid w:val="3EC55271"/>
    <w:rsid w:val="3F6C5C76"/>
    <w:rsid w:val="3FB3610C"/>
    <w:rsid w:val="3FC92B3F"/>
    <w:rsid w:val="3FE65B0A"/>
    <w:rsid w:val="40730CFD"/>
    <w:rsid w:val="40F736DC"/>
    <w:rsid w:val="413B181B"/>
    <w:rsid w:val="41841179"/>
    <w:rsid w:val="42022339"/>
    <w:rsid w:val="42C83582"/>
    <w:rsid w:val="42F5314F"/>
    <w:rsid w:val="434B7D0F"/>
    <w:rsid w:val="438C45B0"/>
    <w:rsid w:val="43BF2BD7"/>
    <w:rsid w:val="43C24475"/>
    <w:rsid w:val="43D321DE"/>
    <w:rsid w:val="43FD54AD"/>
    <w:rsid w:val="441E4BDC"/>
    <w:rsid w:val="44BD4C3D"/>
    <w:rsid w:val="45433394"/>
    <w:rsid w:val="45A57BAB"/>
    <w:rsid w:val="45CA192E"/>
    <w:rsid w:val="466F1F67"/>
    <w:rsid w:val="46737CA9"/>
    <w:rsid w:val="46D11EDF"/>
    <w:rsid w:val="474D4056"/>
    <w:rsid w:val="47D227AD"/>
    <w:rsid w:val="47F22034"/>
    <w:rsid w:val="484B7036"/>
    <w:rsid w:val="48F646F7"/>
    <w:rsid w:val="491C14A9"/>
    <w:rsid w:val="4921579A"/>
    <w:rsid w:val="494616A5"/>
    <w:rsid w:val="49A563CB"/>
    <w:rsid w:val="49B6261E"/>
    <w:rsid w:val="49D96075"/>
    <w:rsid w:val="4A535A6E"/>
    <w:rsid w:val="4A590F64"/>
    <w:rsid w:val="4A8E50B1"/>
    <w:rsid w:val="4A8E5B2C"/>
    <w:rsid w:val="4AB31D2A"/>
    <w:rsid w:val="4ABE526B"/>
    <w:rsid w:val="4B66323D"/>
    <w:rsid w:val="4B756271"/>
    <w:rsid w:val="4B9366F7"/>
    <w:rsid w:val="4B9A1834"/>
    <w:rsid w:val="4BA44460"/>
    <w:rsid w:val="4C0513A3"/>
    <w:rsid w:val="4C3158E1"/>
    <w:rsid w:val="4CE30FB8"/>
    <w:rsid w:val="4CFD02CC"/>
    <w:rsid w:val="4DB43081"/>
    <w:rsid w:val="4DFF0074"/>
    <w:rsid w:val="4E0631B0"/>
    <w:rsid w:val="4E353A96"/>
    <w:rsid w:val="4E786A31"/>
    <w:rsid w:val="4EAD5D22"/>
    <w:rsid w:val="4ECE0172"/>
    <w:rsid w:val="4F361873"/>
    <w:rsid w:val="4FA912B0"/>
    <w:rsid w:val="501A73E7"/>
    <w:rsid w:val="502245A8"/>
    <w:rsid w:val="50252F29"/>
    <w:rsid w:val="509B22D6"/>
    <w:rsid w:val="50C431DE"/>
    <w:rsid w:val="50FE57E0"/>
    <w:rsid w:val="52251F91"/>
    <w:rsid w:val="52635075"/>
    <w:rsid w:val="52FB52AE"/>
    <w:rsid w:val="53003007"/>
    <w:rsid w:val="531729D5"/>
    <w:rsid w:val="53894F6C"/>
    <w:rsid w:val="53B611D5"/>
    <w:rsid w:val="54422A68"/>
    <w:rsid w:val="547A0454"/>
    <w:rsid w:val="55191A1B"/>
    <w:rsid w:val="55AB5B98"/>
    <w:rsid w:val="55E71B19"/>
    <w:rsid w:val="55E77D6B"/>
    <w:rsid w:val="56007AFC"/>
    <w:rsid w:val="56220DA3"/>
    <w:rsid w:val="56925F29"/>
    <w:rsid w:val="56AF6ADB"/>
    <w:rsid w:val="56B37C4E"/>
    <w:rsid w:val="56C500AD"/>
    <w:rsid w:val="56F50266"/>
    <w:rsid w:val="576D42A0"/>
    <w:rsid w:val="57BB325E"/>
    <w:rsid w:val="57DE0660"/>
    <w:rsid w:val="57DE0CFA"/>
    <w:rsid w:val="58573935"/>
    <w:rsid w:val="58A12453"/>
    <w:rsid w:val="592F7A5F"/>
    <w:rsid w:val="59A26483"/>
    <w:rsid w:val="59DD395F"/>
    <w:rsid w:val="5A1E1882"/>
    <w:rsid w:val="5A4511BC"/>
    <w:rsid w:val="5B0A2C7F"/>
    <w:rsid w:val="5B1A029B"/>
    <w:rsid w:val="5B24111A"/>
    <w:rsid w:val="5B661732"/>
    <w:rsid w:val="5B6A2FD1"/>
    <w:rsid w:val="5B7756EE"/>
    <w:rsid w:val="5B931610"/>
    <w:rsid w:val="5C5B6DBD"/>
    <w:rsid w:val="5CAF2C65"/>
    <w:rsid w:val="5CBB0C7B"/>
    <w:rsid w:val="5CDA23D8"/>
    <w:rsid w:val="5CE46A2F"/>
    <w:rsid w:val="5D14560E"/>
    <w:rsid w:val="5D3E4715"/>
    <w:rsid w:val="5D417D61"/>
    <w:rsid w:val="5D63417B"/>
    <w:rsid w:val="5DBC3E95"/>
    <w:rsid w:val="5DF11787"/>
    <w:rsid w:val="5EAE243F"/>
    <w:rsid w:val="5EBB3B43"/>
    <w:rsid w:val="5EF7101F"/>
    <w:rsid w:val="5F021772"/>
    <w:rsid w:val="5F092B01"/>
    <w:rsid w:val="5F6918F2"/>
    <w:rsid w:val="5F9E149B"/>
    <w:rsid w:val="5FE570CA"/>
    <w:rsid w:val="5FF13CC0"/>
    <w:rsid w:val="602219D3"/>
    <w:rsid w:val="60771CEC"/>
    <w:rsid w:val="60B66CB8"/>
    <w:rsid w:val="60F12F0B"/>
    <w:rsid w:val="612E4AA0"/>
    <w:rsid w:val="61474CB9"/>
    <w:rsid w:val="615D4880"/>
    <w:rsid w:val="61AF3E33"/>
    <w:rsid w:val="61BD1E76"/>
    <w:rsid w:val="61E52B68"/>
    <w:rsid w:val="61F061FA"/>
    <w:rsid w:val="620A1069"/>
    <w:rsid w:val="637E512E"/>
    <w:rsid w:val="64680E0B"/>
    <w:rsid w:val="649C61C5"/>
    <w:rsid w:val="64C25C2B"/>
    <w:rsid w:val="650D2C1F"/>
    <w:rsid w:val="65A43583"/>
    <w:rsid w:val="65C82528"/>
    <w:rsid w:val="65E9543A"/>
    <w:rsid w:val="65F00576"/>
    <w:rsid w:val="65F53DDF"/>
    <w:rsid w:val="66613222"/>
    <w:rsid w:val="66805D9E"/>
    <w:rsid w:val="668A09CB"/>
    <w:rsid w:val="66F52CC3"/>
    <w:rsid w:val="678C6E29"/>
    <w:rsid w:val="682E5386"/>
    <w:rsid w:val="6837248C"/>
    <w:rsid w:val="685F3791"/>
    <w:rsid w:val="68866F70"/>
    <w:rsid w:val="68CB0E27"/>
    <w:rsid w:val="690379FD"/>
    <w:rsid w:val="690F3409"/>
    <w:rsid w:val="69687BCB"/>
    <w:rsid w:val="69717C20"/>
    <w:rsid w:val="69C67F6C"/>
    <w:rsid w:val="6A130CD7"/>
    <w:rsid w:val="6A495D4E"/>
    <w:rsid w:val="6AA32632"/>
    <w:rsid w:val="6B0D1266"/>
    <w:rsid w:val="6C5775A1"/>
    <w:rsid w:val="6C9F2CF6"/>
    <w:rsid w:val="6D2050DF"/>
    <w:rsid w:val="6D594C53"/>
    <w:rsid w:val="6D677D53"/>
    <w:rsid w:val="6D8048D6"/>
    <w:rsid w:val="6DD662A4"/>
    <w:rsid w:val="6DD95D94"/>
    <w:rsid w:val="6DEC5AC7"/>
    <w:rsid w:val="6E34121C"/>
    <w:rsid w:val="6E416E46"/>
    <w:rsid w:val="6ED742C8"/>
    <w:rsid w:val="6F173018"/>
    <w:rsid w:val="6F9A449D"/>
    <w:rsid w:val="6FBB7E47"/>
    <w:rsid w:val="6FD9651F"/>
    <w:rsid w:val="702A6D7B"/>
    <w:rsid w:val="70903082"/>
    <w:rsid w:val="70DA254F"/>
    <w:rsid w:val="70FF3D63"/>
    <w:rsid w:val="71777D9E"/>
    <w:rsid w:val="718D136F"/>
    <w:rsid w:val="71D62D16"/>
    <w:rsid w:val="724F4877"/>
    <w:rsid w:val="725105EF"/>
    <w:rsid w:val="727A7B45"/>
    <w:rsid w:val="727F32B0"/>
    <w:rsid w:val="72A916D5"/>
    <w:rsid w:val="72AA7CFF"/>
    <w:rsid w:val="72DF5BFA"/>
    <w:rsid w:val="72FC49FE"/>
    <w:rsid w:val="738D5656"/>
    <w:rsid w:val="73D634A1"/>
    <w:rsid w:val="74C13CF7"/>
    <w:rsid w:val="74EB4225"/>
    <w:rsid w:val="74F636CF"/>
    <w:rsid w:val="75145081"/>
    <w:rsid w:val="75173321"/>
    <w:rsid w:val="75671ED7"/>
    <w:rsid w:val="756E14B8"/>
    <w:rsid w:val="75BF1D13"/>
    <w:rsid w:val="75DC4673"/>
    <w:rsid w:val="772B7660"/>
    <w:rsid w:val="772C162A"/>
    <w:rsid w:val="77754D7F"/>
    <w:rsid w:val="77C33D3D"/>
    <w:rsid w:val="77ED2B68"/>
    <w:rsid w:val="782056FE"/>
    <w:rsid w:val="7849788F"/>
    <w:rsid w:val="78656BA2"/>
    <w:rsid w:val="787D038F"/>
    <w:rsid w:val="78964FAD"/>
    <w:rsid w:val="78C55892"/>
    <w:rsid w:val="79500D88"/>
    <w:rsid w:val="799A287B"/>
    <w:rsid w:val="79C57453"/>
    <w:rsid w:val="79D42231"/>
    <w:rsid w:val="7A1D3C4A"/>
    <w:rsid w:val="7A3228E8"/>
    <w:rsid w:val="7B334FEE"/>
    <w:rsid w:val="7B7642FE"/>
    <w:rsid w:val="7BE92A89"/>
    <w:rsid w:val="7C0B180E"/>
    <w:rsid w:val="7C7D2F74"/>
    <w:rsid w:val="7CD51E1C"/>
    <w:rsid w:val="7D0B29E4"/>
    <w:rsid w:val="7D146DE8"/>
    <w:rsid w:val="7D3E3E65"/>
    <w:rsid w:val="7DAB14FB"/>
    <w:rsid w:val="7DF74740"/>
    <w:rsid w:val="7E725B75"/>
    <w:rsid w:val="7E825C71"/>
    <w:rsid w:val="7EAB72D9"/>
    <w:rsid w:val="7EF74BC5"/>
    <w:rsid w:val="7F2D4191"/>
    <w:rsid w:val="7F625BE9"/>
    <w:rsid w:val="7FB328E9"/>
    <w:rsid w:val="7FB977D3"/>
    <w:rsid w:val="7FC561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1"/>
    <w:basedOn w:val="1"/>
    <w:next w:val="1"/>
    <w:semiHidden/>
    <w:qFormat/>
    <w:uiPriority w:val="99"/>
  </w:style>
  <w:style w:type="paragraph" w:styleId="3">
    <w:name w:val="table of authorities"/>
    <w:basedOn w:val="1"/>
    <w:next w:val="1"/>
    <w:qFormat/>
    <w:uiPriority w:val="0"/>
    <w:pPr>
      <w:ind w:left="420" w:leftChars="200"/>
    </w:pPr>
  </w:style>
  <w:style w:type="paragraph" w:styleId="4">
    <w:name w:val="Normal Indent"/>
    <w:basedOn w:val="1"/>
    <w:unhideWhenUsed/>
    <w:qFormat/>
    <w:uiPriority w:val="99"/>
    <w:pPr>
      <w:ind w:firstLine="420" w:firstLineChars="200"/>
    </w:pPr>
  </w:style>
  <w:style w:type="paragraph" w:styleId="5">
    <w:name w:val="Body Text"/>
    <w:basedOn w:val="1"/>
    <w:next w:val="1"/>
    <w:semiHidden/>
    <w:qFormat/>
    <w:uiPriority w:val="0"/>
    <w:rPr>
      <w:rFonts w:ascii="仿宋" w:hAnsi="仿宋" w:eastAsia="仿宋" w:cs="仿宋"/>
      <w:sz w:val="35"/>
      <w:szCs w:val="35"/>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5"/>
    <w:qFormat/>
    <w:uiPriority w:val="0"/>
    <w:pPr>
      <w:ind w:firstLine="664"/>
    </w:pPr>
    <w:rPr>
      <w:rFonts w:ascii="Times New Roman" w:hAnsi="Times New Roman" w:eastAsia="宋体" w:cs="Times New Roman"/>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31"/>
      <w:szCs w:val="31"/>
      <w:lang w:val="en-US" w:eastAsia="en-US" w:bidi="ar-SA"/>
    </w:rPr>
  </w:style>
  <w:style w:type="paragraph" w:customStyle="1" w:styleId="15">
    <w:name w:val="reader-word-layer reader-word-s3-8"/>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7533</Words>
  <Characters>8126</Characters>
  <TotalTime>3</TotalTime>
  <ScaleCrop>false</ScaleCrop>
  <LinksUpToDate>false</LinksUpToDate>
  <CharactersWithSpaces>8202</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2024-06-05T08:50:00Z</dcterms:created>
  <dc:creator>lenovo</dc:creator>
  <cp:lastModifiedBy>Administrator</cp:lastModifiedBy>
  <dcterms:modified xsi:type="dcterms:W3CDTF">2024-10-14T02:37:58Z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2024-06-05T08:50:31Z</vt:filetime>
  </property>
  <property fmtid="{D5CDD505-2E9C-101B-9397-08002B2CF9AE}" pid="4" name="UsrData">
    <vt:lpwstr>665fb65095513e001f60a3f0wl</vt:lpwstr>
  </property>
  <property fmtid="{D5CDD505-2E9C-101B-9397-08002B2CF9AE}" pid="5" name="KSOProductBuildVer">
    <vt:lpwstr>2052-12.1.0.18276</vt:lpwstr>
  </property>
  <property fmtid="{D5CDD505-2E9C-101B-9397-08002B2CF9AE}" pid="6" name="ICV">
    <vt:lpwstr>19FB16C3A14D41479CF4DDFE3C66114B_12</vt:lpwstr>
  </property>
</Properties>
</file>