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1FAD9">
      <w:pPr>
        <w:widowControl/>
        <w:autoSpaceDN w:val="0"/>
        <w:spacing w:line="576" w:lineRule="exact"/>
        <w:jc w:val="both"/>
      </w:pPr>
      <w:bookmarkStart w:id="0" w:name="_GoBack"/>
      <w:r>
        <w:drawing>
          <wp:anchor distT="0" distB="0" distL="114300" distR="114300" simplePos="0" relativeHeight="251659264" behindDoc="0" locked="0" layoutInCell="1" allowOverlap="1">
            <wp:simplePos x="0" y="0"/>
            <wp:positionH relativeFrom="column">
              <wp:posOffset>6350</wp:posOffset>
            </wp:positionH>
            <wp:positionV relativeFrom="paragraph">
              <wp:posOffset>-209550</wp:posOffset>
            </wp:positionV>
            <wp:extent cx="5534025" cy="7848600"/>
            <wp:effectExtent l="0" t="0" r="952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534025" cy="7848600"/>
                    </a:xfrm>
                    <a:prstGeom prst="rect">
                      <a:avLst/>
                    </a:prstGeom>
                    <a:noFill/>
                    <a:ln>
                      <a:noFill/>
                    </a:ln>
                  </pic:spPr>
                </pic:pic>
              </a:graphicData>
            </a:graphic>
          </wp:anchor>
        </w:drawing>
      </w:r>
      <w:bookmarkEnd w:id="0"/>
    </w:p>
    <w:p w14:paraId="5C478B45">
      <w:pPr>
        <w:widowControl/>
        <w:autoSpaceDN w:val="0"/>
        <w:spacing w:line="576" w:lineRule="exact"/>
        <w:jc w:val="both"/>
      </w:pPr>
    </w:p>
    <w:p w14:paraId="4E6FF84E">
      <w:pPr>
        <w:widowControl/>
        <w:autoSpaceDN w:val="0"/>
        <w:spacing w:line="576" w:lineRule="exact"/>
        <w:jc w:val="both"/>
        <w:rPr>
          <w:rFonts w:ascii="微软雅黑" w:hAnsi="仿宋" w:eastAsia="微软雅黑" w:cs="宋体"/>
          <w:bCs/>
          <w:kern w:val="0"/>
          <w:sz w:val="44"/>
          <w:szCs w:val="44"/>
        </w:rPr>
      </w:pPr>
    </w:p>
    <w:p w14:paraId="0CA826A8">
      <w:pPr>
        <w:widowControl/>
        <w:autoSpaceDN w:val="0"/>
        <w:spacing w:line="576" w:lineRule="exact"/>
        <w:ind w:firstLine="880"/>
        <w:jc w:val="center"/>
        <w:rPr>
          <w:rFonts w:ascii="微软雅黑" w:hAnsi="仿宋" w:eastAsia="微软雅黑" w:cs="宋体"/>
          <w:bCs/>
          <w:kern w:val="0"/>
          <w:sz w:val="44"/>
          <w:szCs w:val="44"/>
        </w:rPr>
      </w:pPr>
      <w:r>
        <w:rPr>
          <w:rFonts w:ascii="微软雅黑" w:hAnsi="仿宋" w:eastAsia="微软雅黑" w:cs="宋体"/>
          <w:bCs/>
          <w:kern w:val="0"/>
          <w:sz w:val="44"/>
          <w:szCs w:val="44"/>
        </w:rPr>
        <w:t>2023</w:t>
      </w:r>
      <w:r>
        <w:rPr>
          <w:rFonts w:hint="eastAsia" w:ascii="微软雅黑" w:hAnsi="仿宋" w:eastAsia="微软雅黑" w:cs="宋体"/>
          <w:bCs/>
          <w:kern w:val="0"/>
          <w:sz w:val="44"/>
          <w:szCs w:val="44"/>
        </w:rPr>
        <w:t>年度安化县平口文化馆整体支出</w:t>
      </w:r>
    </w:p>
    <w:p w14:paraId="684776C0">
      <w:pPr>
        <w:widowControl/>
        <w:autoSpaceDN w:val="0"/>
        <w:spacing w:line="576" w:lineRule="exact"/>
        <w:ind w:firstLine="880"/>
        <w:jc w:val="center"/>
        <w:rPr>
          <w:rFonts w:ascii="微软雅黑" w:hAnsi="仿宋" w:eastAsia="微软雅黑" w:cs="宋体"/>
          <w:bCs/>
          <w:kern w:val="0"/>
          <w:sz w:val="44"/>
          <w:szCs w:val="44"/>
        </w:rPr>
      </w:pPr>
      <w:r>
        <w:rPr>
          <w:rFonts w:hint="eastAsia" w:ascii="微软雅黑" w:hAnsi="仿宋" w:eastAsia="微软雅黑" w:cs="宋体"/>
          <w:bCs/>
          <w:kern w:val="0"/>
          <w:sz w:val="44"/>
          <w:szCs w:val="44"/>
        </w:rPr>
        <w:t>绩效自评报告</w:t>
      </w:r>
    </w:p>
    <w:p w14:paraId="40985A9C">
      <w:pPr>
        <w:ind w:firstLine="640" w:firstLineChars="200"/>
        <w:rPr>
          <w:rFonts w:ascii="仿宋" w:hAnsi="仿宋" w:eastAsia="仿宋" w:cs="仿宋"/>
          <w:sz w:val="32"/>
          <w:szCs w:val="32"/>
        </w:rPr>
      </w:pPr>
    </w:p>
    <w:p w14:paraId="7284E5BA">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单位</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基本情况</w:t>
      </w:r>
    </w:p>
    <w:p w14:paraId="7C1029FE">
      <w:pPr>
        <w:widowControl/>
        <w:spacing w:line="576" w:lineRule="exact"/>
        <w:ind w:firstLine="640" w:firstLineChars="200"/>
        <w:jc w:val="left"/>
        <w:rPr>
          <w:rFonts w:ascii="楷体_GB2312" w:hAnsi="楷体_GB2312" w:eastAsia="楷体_GB2312" w:cs="楷体_GB2312"/>
          <w:color w:val="000000"/>
          <w:kern w:val="0"/>
          <w:sz w:val="32"/>
          <w:szCs w:val="32"/>
        </w:rPr>
      </w:pPr>
      <w:r>
        <w:rPr>
          <w:rFonts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rPr>
        <w:t>一</w:t>
      </w:r>
      <w:r>
        <w:rPr>
          <w:rFonts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rPr>
        <w:t>简要介绍</w:t>
      </w:r>
      <w:r>
        <w:rPr>
          <w:rFonts w:ascii="楷体_GB2312" w:hAnsi="楷体_GB2312" w:eastAsia="楷体_GB2312" w:cs="楷体_GB2312"/>
          <w:color w:val="000000"/>
          <w:kern w:val="0"/>
          <w:sz w:val="32"/>
          <w:szCs w:val="32"/>
        </w:rPr>
        <w:t>2023</w:t>
      </w:r>
      <w:r>
        <w:rPr>
          <w:rFonts w:hint="eastAsia" w:ascii="楷体_GB2312" w:hAnsi="楷体_GB2312" w:eastAsia="楷体_GB2312" w:cs="楷体_GB2312"/>
          <w:color w:val="000000"/>
          <w:kern w:val="0"/>
          <w:sz w:val="32"/>
          <w:szCs w:val="32"/>
        </w:rPr>
        <w:t>年度重点工作</w:t>
      </w:r>
    </w:p>
    <w:p w14:paraId="7EBA2FAC">
      <w:pPr>
        <w:ind w:firstLine="640" w:firstLineChars="200"/>
        <w:rPr>
          <w:rFonts w:ascii="仿宋" w:hAnsi="仿宋" w:eastAsia="仿宋" w:cs="仿宋"/>
          <w:sz w:val="32"/>
          <w:szCs w:val="32"/>
        </w:rPr>
      </w:pPr>
      <w:r>
        <w:rPr>
          <w:rFonts w:ascii="仿宋" w:hAnsi="仿宋" w:eastAsia="仿宋"/>
          <w:sz w:val="32"/>
          <w:szCs w:val="32"/>
        </w:rPr>
        <w:t>2023</w:t>
      </w:r>
      <w:r>
        <w:rPr>
          <w:rFonts w:hint="eastAsia" w:ascii="仿宋" w:hAnsi="仿宋" w:eastAsia="仿宋"/>
          <w:sz w:val="32"/>
          <w:szCs w:val="32"/>
        </w:rPr>
        <w:t>年，平口文化馆按照上级主管部门的工作部署，努力做好业务工作，</w:t>
      </w:r>
      <w:r>
        <w:rPr>
          <w:rFonts w:hint="eastAsia" w:ascii="仿宋" w:hAnsi="仿宋" w:eastAsia="仿宋" w:cs="仿宋"/>
          <w:sz w:val="32"/>
          <w:szCs w:val="32"/>
        </w:rPr>
        <w:t>切实提高公共文化服务能力，推动文化发展繁荣，各项工作有效稳步推进。</w:t>
      </w:r>
      <w:r>
        <w:rPr>
          <w:rFonts w:ascii="仿宋" w:hAnsi="仿宋" w:eastAsia="仿宋" w:cs="仿宋"/>
          <w:sz w:val="32"/>
          <w:szCs w:val="32"/>
        </w:rPr>
        <w:t>1</w:t>
      </w:r>
      <w:r>
        <w:rPr>
          <w:rFonts w:hint="eastAsia" w:ascii="仿宋" w:hAnsi="仿宋" w:eastAsia="仿宋" w:cs="仿宋"/>
          <w:sz w:val="32"/>
          <w:szCs w:val="32"/>
        </w:rPr>
        <w:t>、免费开放有序进行：充分搞好公共文化服务。对文化馆公共场馆进行时间节点的有序开放，</w:t>
      </w:r>
      <w:r>
        <w:rPr>
          <w:rFonts w:hint="eastAsia" w:ascii="仿宋" w:hAnsi="仿宋" w:eastAsia="仿宋"/>
          <w:sz w:val="32"/>
          <w:szCs w:val="32"/>
        </w:rPr>
        <w:t>每周开放时间达</w:t>
      </w:r>
      <w:r>
        <w:rPr>
          <w:rFonts w:ascii="仿宋" w:hAnsi="仿宋" w:eastAsia="仿宋"/>
          <w:sz w:val="32"/>
          <w:szCs w:val="32"/>
        </w:rPr>
        <w:t>50</w:t>
      </w:r>
      <w:r>
        <w:rPr>
          <w:rFonts w:hint="eastAsia" w:ascii="仿宋" w:hAnsi="仿宋" w:eastAsia="仿宋"/>
          <w:sz w:val="32"/>
          <w:szCs w:val="32"/>
        </w:rPr>
        <w:t>余小时；开展艺术培训。不定期开展广场舞培训及暑假少儿书法培训，协助政府开展了“红歌嘹亮”关爱留守儿童公益培训活动。</w:t>
      </w:r>
      <w:r>
        <w:rPr>
          <w:rFonts w:ascii="仿宋" w:hAnsi="仿宋" w:eastAsia="仿宋" w:cs="仿宋"/>
          <w:sz w:val="32"/>
          <w:szCs w:val="32"/>
        </w:rPr>
        <w:t>2.</w:t>
      </w:r>
      <w:r>
        <w:rPr>
          <w:rFonts w:hint="eastAsia" w:ascii="仿宋" w:hAnsi="仿宋" w:eastAsia="仿宋" w:cs="仿宋"/>
          <w:sz w:val="32"/>
          <w:szCs w:val="32"/>
        </w:rPr>
        <w:t>文化活动丰富多彩。</w:t>
      </w:r>
      <w:r>
        <w:rPr>
          <w:rFonts w:ascii="仿宋" w:hAnsi="仿宋" w:eastAsia="仿宋" w:cs="仿宋"/>
          <w:sz w:val="32"/>
          <w:szCs w:val="32"/>
        </w:rPr>
        <w:t>2023</w:t>
      </w:r>
      <w:r>
        <w:rPr>
          <w:rFonts w:hint="eastAsia" w:ascii="仿宋" w:hAnsi="仿宋" w:eastAsia="仿宋" w:cs="仿宋"/>
          <w:sz w:val="32"/>
          <w:szCs w:val="32"/>
        </w:rPr>
        <w:t>年平口文化馆联合其他协会，社会组织及政府各部门先后开展了春联送万家”义写活动，文艺进基层助力乡村文艺活动，男子篮球友谊赛，第六届管弦乐·声乐大奖赛，“迎国庆·献大礼”趣味接力赛，现场书法比赛，戏曲进乡村活动等。</w:t>
      </w:r>
      <w:r>
        <w:rPr>
          <w:rFonts w:hint="eastAsia" w:ascii="仿宋" w:hAnsi="仿宋" w:eastAsia="仿宋"/>
          <w:color w:val="000000"/>
          <w:sz w:val="32"/>
          <w:szCs w:val="32"/>
          <w:shd w:val="clear" w:color="auto" w:fill="FFFFFF"/>
        </w:rPr>
        <w:t>以全民文化素养为目标，积极进取、开拓创新，认真开展免费开放、</w:t>
      </w:r>
      <w:r>
        <w:rPr>
          <w:rFonts w:hint="eastAsia" w:ascii="仿宋_GB2312" w:hAnsi="Calibri" w:eastAsia="仿宋_GB2312"/>
          <w:sz w:val="32"/>
          <w:szCs w:val="32"/>
        </w:rPr>
        <w:t>党建工作</w:t>
      </w:r>
      <w:r>
        <w:rPr>
          <w:rFonts w:hint="eastAsia" w:ascii="仿宋" w:hAnsi="仿宋" w:eastAsia="仿宋"/>
          <w:color w:val="000000"/>
          <w:sz w:val="32"/>
          <w:szCs w:val="32"/>
          <w:shd w:val="clear" w:color="auto" w:fill="FFFFFF"/>
        </w:rPr>
        <w:t>、群文活动、非遗保护、文艺创作。</w:t>
      </w:r>
    </w:p>
    <w:p w14:paraId="47651313">
      <w:pPr>
        <w:widowControl/>
        <w:spacing w:line="576" w:lineRule="exact"/>
        <w:ind w:firstLine="320" w:firstLineChars="1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（二）整体支出规模、使用方向、主要内容和涉及范围</w:t>
      </w:r>
    </w:p>
    <w:p w14:paraId="31974643">
      <w:pPr>
        <w:pStyle w:val="24"/>
        <w:ind w:firstLine="640" w:firstLineChars="200"/>
        <w:rPr>
          <w:rFonts w:ascii="仿宋_GB2312" w:hAnsi="仿宋_GB2312" w:eastAsia="仿宋_GB2312" w:cs="仿宋_GB2312"/>
          <w:color w:val="auto"/>
          <w:kern w:val="2"/>
          <w:sz w:val="32"/>
          <w:szCs w:val="32"/>
        </w:rPr>
      </w:pPr>
      <w:r>
        <w:rPr>
          <w:rFonts w:ascii="仿宋_GB2312" w:hAnsi="仿宋" w:eastAsia="仿宋_GB2312"/>
          <w:sz w:val="32"/>
          <w:szCs w:val="32"/>
        </w:rPr>
        <w:t>2023</w:t>
      </w:r>
      <w:r>
        <w:rPr>
          <w:rFonts w:hint="eastAsia" w:ascii="仿宋_GB2312" w:hAnsi="仿宋" w:eastAsia="仿宋_GB2312"/>
          <w:sz w:val="32"/>
          <w:szCs w:val="32"/>
        </w:rPr>
        <w:t>年度平口文化馆收入、支出年初预算总计</w:t>
      </w:r>
      <w:r>
        <w:rPr>
          <w:rFonts w:ascii="仿宋_GB2312" w:hAnsi="仿宋" w:eastAsia="仿宋_GB2312"/>
          <w:sz w:val="32"/>
          <w:szCs w:val="32"/>
        </w:rPr>
        <w:t>54.52</w:t>
      </w:r>
      <w:r>
        <w:rPr>
          <w:rFonts w:hint="eastAsia" w:ascii="仿宋_GB2312" w:hAnsi="仿宋" w:eastAsia="仿宋_GB2312"/>
          <w:sz w:val="32"/>
          <w:szCs w:val="32"/>
        </w:rPr>
        <w:t>万元，全年收入、支出总计</w:t>
      </w:r>
      <w:r>
        <w:rPr>
          <w:rFonts w:ascii="仿宋_GB2312" w:hAnsi="仿宋" w:eastAsia="仿宋_GB2312"/>
          <w:bCs/>
          <w:sz w:val="32"/>
          <w:szCs w:val="32"/>
        </w:rPr>
        <w:t>63.76</w:t>
      </w:r>
      <w:r>
        <w:rPr>
          <w:rFonts w:hint="eastAsia" w:ascii="仿宋_GB2312" w:hAnsi="仿宋" w:eastAsia="仿宋_GB2312"/>
          <w:sz w:val="32"/>
          <w:szCs w:val="32"/>
        </w:rPr>
        <w:t>万元。</w:t>
      </w:r>
      <w:r>
        <w:rPr>
          <w:rFonts w:hint="eastAsia" w:ascii="仿宋_GB2312" w:hAnsi="仿宋_GB2312" w:eastAsia="仿宋_GB2312" w:cs="仿宋_GB2312"/>
          <w:color w:val="auto"/>
          <w:kern w:val="2"/>
          <w:sz w:val="32"/>
          <w:szCs w:val="32"/>
        </w:rPr>
        <w:t>主要使用方向为：</w:t>
      </w:r>
    </w:p>
    <w:p w14:paraId="6D1846F8">
      <w:pPr>
        <w:pStyle w:val="24"/>
        <w:ind w:firstLine="320" w:firstLineChars="100"/>
        <w:rPr>
          <w:rFonts w:ascii="仿宋" w:hAnsi="仿宋" w:eastAsia="仿宋" w:cs="仿宋"/>
          <w:color w:val="auto"/>
          <w:kern w:val="2"/>
          <w:sz w:val="32"/>
          <w:szCs w:val="32"/>
        </w:rPr>
      </w:pPr>
      <w:r>
        <w:rPr>
          <w:rFonts w:ascii="仿宋" w:hAnsi="仿宋" w:eastAsia="仿宋" w:cs="仿宋"/>
          <w:color w:val="auto"/>
          <w:kern w:val="2"/>
          <w:sz w:val="32"/>
          <w:szCs w:val="32"/>
        </w:rPr>
        <w:t>1.</w:t>
      </w:r>
      <w:r>
        <w:rPr>
          <w:rFonts w:hint="eastAsia" w:ascii="仿宋" w:hAnsi="仿宋" w:eastAsia="仿宋" w:cs="仿宋"/>
          <w:color w:val="auto"/>
          <w:kern w:val="2"/>
          <w:sz w:val="32"/>
          <w:szCs w:val="32"/>
        </w:rPr>
        <w:t>旅游体育与传媒支出（类）文化和旅游（款）行政运行（项），年初预算为</w:t>
      </w:r>
      <w:r>
        <w:rPr>
          <w:rFonts w:ascii="仿宋" w:hAnsi="仿宋" w:eastAsia="仿宋" w:cs="仿宋"/>
          <w:color w:val="auto"/>
          <w:kern w:val="2"/>
          <w:sz w:val="32"/>
          <w:szCs w:val="32"/>
        </w:rPr>
        <w:t>42.03</w:t>
      </w:r>
      <w:r>
        <w:rPr>
          <w:rFonts w:hint="eastAsia" w:ascii="仿宋" w:hAnsi="仿宋" w:eastAsia="仿宋" w:cs="仿宋"/>
          <w:color w:val="auto"/>
          <w:kern w:val="2"/>
          <w:sz w:val="32"/>
          <w:szCs w:val="32"/>
        </w:rPr>
        <w:t>万元，支出决算为</w:t>
      </w:r>
      <w:r>
        <w:rPr>
          <w:rFonts w:ascii="仿宋" w:hAnsi="仿宋" w:eastAsia="仿宋" w:cs="仿宋"/>
          <w:color w:val="auto"/>
          <w:kern w:val="2"/>
          <w:sz w:val="32"/>
          <w:szCs w:val="32"/>
        </w:rPr>
        <w:t>51.28</w:t>
      </w:r>
      <w:r>
        <w:rPr>
          <w:rFonts w:hint="eastAsia" w:ascii="仿宋" w:hAnsi="仿宋" w:eastAsia="仿宋" w:cs="仿宋"/>
          <w:color w:val="auto"/>
          <w:kern w:val="2"/>
          <w:sz w:val="32"/>
          <w:szCs w:val="32"/>
        </w:rPr>
        <w:t>万元，主要为职工工资津贴及绩效奖金，运行经费等；</w:t>
      </w:r>
    </w:p>
    <w:p w14:paraId="543CF036">
      <w:pPr>
        <w:pStyle w:val="24"/>
        <w:ind w:firstLine="320" w:firstLineChars="100"/>
        <w:rPr>
          <w:rFonts w:ascii="仿宋" w:hAnsi="仿宋" w:eastAsia="仿宋" w:cs="仿宋"/>
          <w:color w:val="auto"/>
          <w:kern w:val="2"/>
          <w:sz w:val="32"/>
          <w:szCs w:val="32"/>
        </w:rPr>
      </w:pPr>
      <w:r>
        <w:rPr>
          <w:rFonts w:ascii="仿宋" w:hAnsi="仿宋" w:eastAsia="仿宋" w:cs="仿宋"/>
          <w:color w:val="auto"/>
          <w:kern w:val="2"/>
          <w:sz w:val="32"/>
          <w:szCs w:val="32"/>
        </w:rPr>
        <w:t>2.</w:t>
      </w:r>
      <w:r>
        <w:rPr>
          <w:rFonts w:hint="eastAsia" w:ascii="仿宋" w:hAnsi="仿宋" w:eastAsia="仿宋" w:cs="仿宋"/>
          <w:color w:val="auto"/>
          <w:kern w:val="2"/>
          <w:sz w:val="32"/>
          <w:szCs w:val="32"/>
        </w:rPr>
        <w:t>旅游体育与传媒支出（类）文化和旅游（款）行政运行（项），年初预算为</w:t>
      </w:r>
      <w:r>
        <w:rPr>
          <w:rFonts w:ascii="仿宋" w:hAnsi="仿宋" w:eastAsia="仿宋" w:cs="仿宋"/>
          <w:color w:val="auto"/>
          <w:kern w:val="2"/>
          <w:sz w:val="32"/>
          <w:szCs w:val="32"/>
        </w:rPr>
        <w:t>0</w:t>
      </w:r>
      <w:r>
        <w:rPr>
          <w:rFonts w:hint="eastAsia" w:ascii="仿宋" w:hAnsi="仿宋" w:eastAsia="仿宋" w:cs="仿宋"/>
          <w:color w:val="auto"/>
          <w:kern w:val="2"/>
          <w:sz w:val="32"/>
          <w:szCs w:val="32"/>
        </w:rPr>
        <w:t>万元，支出决算为</w:t>
      </w:r>
      <w:r>
        <w:rPr>
          <w:rFonts w:ascii="仿宋" w:hAnsi="仿宋" w:eastAsia="仿宋" w:cs="仿宋"/>
          <w:color w:val="auto"/>
          <w:kern w:val="2"/>
          <w:sz w:val="32"/>
          <w:szCs w:val="32"/>
        </w:rPr>
        <w:t>1.9</w:t>
      </w:r>
      <w:r>
        <w:rPr>
          <w:rFonts w:hint="eastAsia" w:ascii="仿宋" w:hAnsi="仿宋" w:eastAsia="仿宋" w:cs="仿宋"/>
          <w:color w:val="auto"/>
          <w:kern w:val="2"/>
          <w:sz w:val="32"/>
          <w:szCs w:val="32"/>
        </w:rPr>
        <w:t>万元，形成差异</w:t>
      </w:r>
      <w:r>
        <w:rPr>
          <w:rFonts w:ascii="仿宋" w:hAnsi="仿宋" w:eastAsia="仿宋" w:cs="仿宋"/>
          <w:color w:val="auto"/>
          <w:kern w:val="2"/>
          <w:sz w:val="32"/>
          <w:szCs w:val="32"/>
        </w:rPr>
        <w:t>1.9</w:t>
      </w:r>
      <w:r>
        <w:rPr>
          <w:rFonts w:hint="eastAsia" w:ascii="仿宋" w:hAnsi="仿宋" w:eastAsia="仿宋" w:cs="仿宋"/>
          <w:color w:val="auto"/>
          <w:kern w:val="2"/>
          <w:sz w:val="32"/>
          <w:szCs w:val="32"/>
        </w:rPr>
        <w:t>万元；主要为非税收入返还支付差旅费等费用；</w:t>
      </w:r>
    </w:p>
    <w:p w14:paraId="25490666">
      <w:pPr>
        <w:pStyle w:val="24"/>
        <w:ind w:firstLine="320" w:firstLineChars="100"/>
        <w:rPr>
          <w:rFonts w:ascii="仿宋_GB2312" w:hAnsi="仿宋_GB2312" w:eastAsia="仿宋_GB2312" w:cs="仿宋_GB2312"/>
          <w:color w:val="auto"/>
          <w:kern w:val="2"/>
          <w:sz w:val="32"/>
          <w:szCs w:val="32"/>
        </w:rPr>
      </w:pPr>
      <w:r>
        <w:rPr>
          <w:rFonts w:ascii="仿宋" w:hAnsi="仿宋" w:eastAsia="仿宋" w:cs="仿宋"/>
          <w:color w:val="auto"/>
          <w:kern w:val="2"/>
          <w:sz w:val="32"/>
          <w:szCs w:val="32"/>
        </w:rPr>
        <w:t xml:space="preserve">3. </w:t>
      </w:r>
      <w:r>
        <w:rPr>
          <w:rFonts w:hint="eastAsia" w:ascii="仿宋" w:hAnsi="仿宋" w:eastAsia="仿宋" w:cs="仿宋"/>
          <w:color w:val="auto"/>
          <w:kern w:val="2"/>
          <w:sz w:val="32"/>
          <w:szCs w:val="32"/>
        </w:rPr>
        <w:t>文化旅游体育与传媒支出（类）文化和旅游（款）其他文化和旅游支出（项），年初预算为</w:t>
      </w:r>
      <w:r>
        <w:rPr>
          <w:rFonts w:ascii="仿宋" w:hAnsi="仿宋" w:eastAsia="仿宋" w:cs="仿宋"/>
          <w:color w:val="auto"/>
          <w:kern w:val="2"/>
          <w:sz w:val="32"/>
          <w:szCs w:val="32"/>
        </w:rPr>
        <w:t>0</w:t>
      </w:r>
      <w:r>
        <w:rPr>
          <w:rFonts w:hint="eastAsia" w:ascii="仿宋" w:hAnsi="仿宋" w:eastAsia="仿宋" w:cs="仿宋"/>
          <w:color w:val="auto"/>
          <w:kern w:val="2"/>
          <w:sz w:val="32"/>
          <w:szCs w:val="32"/>
        </w:rPr>
        <w:t>万元，支出决算为</w:t>
      </w:r>
      <w:r>
        <w:rPr>
          <w:rFonts w:ascii="仿宋" w:hAnsi="仿宋" w:eastAsia="仿宋" w:cs="仿宋"/>
          <w:color w:val="auto"/>
          <w:kern w:val="2"/>
          <w:sz w:val="32"/>
          <w:szCs w:val="32"/>
        </w:rPr>
        <w:t>7.72</w:t>
      </w:r>
      <w:r>
        <w:rPr>
          <w:rFonts w:hint="eastAsia" w:ascii="仿宋" w:hAnsi="仿宋" w:eastAsia="仿宋" w:cs="仿宋"/>
          <w:color w:val="auto"/>
          <w:kern w:val="2"/>
          <w:sz w:val="32"/>
          <w:szCs w:val="32"/>
        </w:rPr>
        <w:t>万元，形成差异</w:t>
      </w:r>
      <w:r>
        <w:rPr>
          <w:rFonts w:ascii="仿宋" w:hAnsi="仿宋" w:eastAsia="仿宋" w:cs="仿宋"/>
          <w:color w:val="auto"/>
          <w:kern w:val="2"/>
          <w:sz w:val="32"/>
          <w:szCs w:val="32"/>
        </w:rPr>
        <w:t>7.72</w:t>
      </w:r>
      <w:r>
        <w:rPr>
          <w:rFonts w:hint="eastAsia" w:ascii="仿宋" w:hAnsi="仿宋" w:eastAsia="仿宋" w:cs="仿宋"/>
          <w:color w:val="auto"/>
          <w:kern w:val="2"/>
          <w:sz w:val="32"/>
          <w:szCs w:val="32"/>
        </w:rPr>
        <w:t>万元，主要用于免费开放活动开展等支出。</w:t>
      </w:r>
      <w:r>
        <w:rPr>
          <w:rFonts w:ascii="仿宋_GB2312" w:hAnsi="仿宋_GB2312" w:eastAsia="仿宋_GB2312" w:cs="仿宋_GB2312"/>
          <w:color w:val="auto"/>
          <w:kern w:val="2"/>
          <w:sz w:val="32"/>
          <w:szCs w:val="32"/>
        </w:rPr>
        <w:t xml:space="preserve">  </w:t>
      </w:r>
    </w:p>
    <w:p w14:paraId="042B5DE9">
      <w:pPr>
        <w:jc w:val="left"/>
        <w:rPr>
          <w:rFonts w:ascii="仿宋_GB2312" w:hAnsi="仿宋_GB2312" w:eastAsia="仿宋_GB2312" w:cs="仿宋_GB2312"/>
          <w:sz w:val="32"/>
          <w:szCs w:val="32"/>
        </w:rPr>
      </w:pPr>
      <w:r>
        <w:t xml:space="preserve">        </w:t>
      </w:r>
    </w:p>
    <w:p w14:paraId="15C0F835">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2032EE">
      <w:pPr>
        <w:widowControl/>
        <w:spacing w:line="576" w:lineRule="exact"/>
        <w:ind w:firstLine="640" w:firstLineChars="2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03E2361C">
      <w:pPr>
        <w:ind w:firstLine="640" w:firstLineChars="200"/>
        <w:jc w:val="left"/>
        <w:rPr>
          <w:rFonts w:ascii="仿宋_GB2312" w:hAnsi="仿宋" w:eastAsia="仿宋_GB2312"/>
          <w:sz w:val="32"/>
          <w:szCs w:val="32"/>
        </w:rPr>
      </w:pPr>
      <w:r>
        <w:rPr>
          <w:rFonts w:hint="eastAsia" w:ascii="仿宋_GB2312" w:hAnsi="仿宋_GB2312" w:eastAsia="仿宋_GB2312" w:cs="仿宋_GB2312"/>
          <w:sz w:val="32"/>
          <w:szCs w:val="32"/>
        </w:rPr>
        <w:t>全年总收入</w:t>
      </w:r>
      <w:r>
        <w:rPr>
          <w:rFonts w:ascii="仿宋_GB2312" w:hAnsi="仿宋_GB2312" w:eastAsia="仿宋_GB2312" w:cs="仿宋_GB2312"/>
          <w:sz w:val="32"/>
          <w:szCs w:val="32"/>
        </w:rPr>
        <w:t>63.76</w:t>
      </w:r>
      <w:r>
        <w:rPr>
          <w:rFonts w:hint="eastAsia" w:ascii="仿宋_GB2312" w:hAnsi="仿宋_GB2312" w:eastAsia="仿宋_GB2312" w:cs="仿宋_GB2312"/>
          <w:sz w:val="32"/>
          <w:szCs w:val="32"/>
        </w:rPr>
        <w:t>万元，其中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一般公共预算财政拨款收入</w:t>
      </w:r>
      <w:r>
        <w:rPr>
          <w:rFonts w:ascii="仿宋_GB2312" w:hAnsi="仿宋_GB2312" w:eastAsia="仿宋_GB2312" w:cs="仿宋_GB2312"/>
          <w:sz w:val="32"/>
          <w:szCs w:val="32"/>
        </w:rPr>
        <w:t>63.7</w:t>
      </w:r>
      <w:r>
        <w:rPr>
          <w:rFonts w:hint="eastAsia" w:ascii="仿宋_GB2312" w:hAnsi="仿宋_GB2312" w:eastAsia="仿宋_GB2312" w:cs="仿宋_GB2312"/>
          <w:sz w:val="32"/>
          <w:szCs w:val="32"/>
        </w:rPr>
        <w:t>万元，占总收入的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。全年总支出</w:t>
      </w:r>
      <w:r>
        <w:rPr>
          <w:rFonts w:ascii="仿宋_GB2312" w:hAnsi="仿宋_GB2312" w:eastAsia="仿宋_GB2312" w:cs="仿宋_GB2312"/>
          <w:sz w:val="32"/>
          <w:szCs w:val="32"/>
        </w:rPr>
        <w:t>63.7</w:t>
      </w:r>
      <w:r>
        <w:rPr>
          <w:rFonts w:hint="eastAsia" w:ascii="仿宋_GB2312" w:hAnsi="仿宋_GB2312" w:eastAsia="仿宋_GB2312" w:cs="仿宋_GB2312"/>
          <w:sz w:val="32"/>
          <w:szCs w:val="32"/>
        </w:rPr>
        <w:t>万元，按支出性质和经济分类，</w:t>
      </w:r>
      <w:r>
        <w:rPr>
          <w:rFonts w:hint="eastAsia" w:ascii="仿宋_GB2312" w:hAnsi="仿宋" w:eastAsia="仿宋_GB2312"/>
          <w:sz w:val="32"/>
          <w:szCs w:val="32"/>
        </w:rPr>
        <w:t>，基本支出</w:t>
      </w:r>
      <w:r>
        <w:rPr>
          <w:rFonts w:ascii="仿宋_GB2312" w:hAnsi="仿宋" w:eastAsia="仿宋_GB2312"/>
          <w:sz w:val="32"/>
          <w:szCs w:val="32"/>
        </w:rPr>
        <w:t>59.14</w:t>
      </w:r>
      <w:r>
        <w:rPr>
          <w:rFonts w:hint="eastAsia" w:ascii="仿宋_GB2312" w:hAnsi="仿宋" w:eastAsia="仿宋_GB2312"/>
          <w:sz w:val="32"/>
          <w:szCs w:val="32"/>
        </w:rPr>
        <w:t>万元，占总支出的</w:t>
      </w:r>
      <w:r>
        <w:rPr>
          <w:rFonts w:ascii="仿宋_GB2312" w:hAnsi="仿宋" w:eastAsia="仿宋_GB2312"/>
          <w:sz w:val="32"/>
          <w:szCs w:val="32"/>
        </w:rPr>
        <w:t>92.75%</w:t>
      </w:r>
      <w:r>
        <w:rPr>
          <w:rFonts w:hint="eastAsia" w:ascii="仿宋_GB2312" w:hAnsi="仿宋" w:eastAsia="仿宋_GB2312"/>
          <w:sz w:val="32"/>
          <w:szCs w:val="32"/>
        </w:rPr>
        <w:t>，其中人员经费</w:t>
      </w:r>
      <w:r>
        <w:rPr>
          <w:rFonts w:ascii="仿宋_GB2312" w:hAnsi="仿宋" w:eastAsia="仿宋_GB2312"/>
          <w:sz w:val="32"/>
          <w:szCs w:val="32"/>
        </w:rPr>
        <w:t>50.79</w:t>
      </w:r>
      <w:r>
        <w:rPr>
          <w:rFonts w:hint="eastAsia" w:ascii="仿宋_GB2312" w:hAnsi="仿宋" w:eastAsia="仿宋_GB2312"/>
          <w:sz w:val="32"/>
          <w:szCs w:val="32"/>
        </w:rPr>
        <w:t>万元，公用经费</w:t>
      </w:r>
      <w:r>
        <w:rPr>
          <w:rFonts w:ascii="仿宋_GB2312" w:hAnsi="仿宋" w:eastAsia="仿宋_GB2312"/>
          <w:sz w:val="32"/>
          <w:szCs w:val="32"/>
        </w:rPr>
        <w:t>8.35</w:t>
      </w:r>
      <w:r>
        <w:rPr>
          <w:rFonts w:hint="eastAsia" w:ascii="仿宋_GB2312" w:hAnsi="仿宋" w:eastAsia="仿宋_GB2312"/>
          <w:sz w:val="32"/>
          <w:szCs w:val="32"/>
        </w:rPr>
        <w:t>万元；</w:t>
      </w:r>
    </w:p>
    <w:p w14:paraId="3539194F">
      <w:pPr>
        <w:ind w:firstLine="640" w:firstLineChars="200"/>
        <w:jc w:val="left"/>
        <w:rPr>
          <w:rFonts w:ascii="楷体_GB2312" w:hAnsi="楷体_GB2312" w:eastAsia="楷体_GB2312" w:cs="楷体_GB2312"/>
          <w:color w:val="000000"/>
          <w:kern w:val="0"/>
          <w:sz w:val="32"/>
          <w:szCs w:val="32"/>
        </w:rPr>
      </w:pPr>
      <w:r>
        <w:rPr>
          <w:rFonts w:hint="eastAsia" w:ascii="仿宋_GB2312" w:hAnsi="仿宋" w:eastAsia="仿宋_GB2312"/>
          <w:sz w:val="32"/>
          <w:szCs w:val="32"/>
        </w:rPr>
        <w:t>（二）</w:t>
      </w:r>
      <w:r>
        <w:rPr>
          <w:rFonts w:hint="eastAsia" w:ascii="楷体_GB2312" w:hAnsi="楷体_GB2312" w:eastAsia="楷体_GB2312" w:cs="楷体_GB2312"/>
          <w:color w:val="000000"/>
          <w:kern w:val="0"/>
          <w:sz w:val="32"/>
          <w:szCs w:val="32"/>
        </w:rPr>
        <w:t>项目支出情况</w:t>
      </w:r>
    </w:p>
    <w:p w14:paraId="7774D95B">
      <w:pPr>
        <w:snapToGrid w:val="0"/>
        <w:spacing w:line="360" w:lineRule="auto"/>
        <w:ind w:firstLine="640" w:firstLineChars="200"/>
        <w:rPr>
          <w:rFonts w:ascii="仿宋" w:hAnsi="仿宋" w:eastAsia="仿宋" w:cs="仿宋"/>
          <w:sz w:val="32"/>
          <w:szCs w:val="32"/>
        </w:rPr>
      </w:pPr>
      <w:r>
        <w:rPr>
          <w:rFonts w:ascii="仿宋" w:hAnsi="仿宋" w:eastAsia="仿宋" w:cs="仿宋"/>
          <w:sz w:val="32"/>
          <w:szCs w:val="32"/>
        </w:rPr>
        <w:t>2023</w:t>
      </w:r>
      <w:r>
        <w:rPr>
          <w:rFonts w:hint="eastAsia" w:ascii="仿宋" w:hAnsi="仿宋" w:eastAsia="仿宋" w:cs="仿宋"/>
          <w:sz w:val="32"/>
          <w:szCs w:val="32"/>
        </w:rPr>
        <w:t>年全年总支出</w:t>
      </w:r>
      <w:r>
        <w:rPr>
          <w:rFonts w:ascii="仿宋" w:hAnsi="仿宋" w:eastAsia="仿宋" w:cs="仿宋"/>
          <w:sz w:val="32"/>
          <w:szCs w:val="32"/>
        </w:rPr>
        <w:t>63.76</w:t>
      </w:r>
      <w:r>
        <w:rPr>
          <w:rFonts w:hint="eastAsia" w:ascii="仿宋" w:hAnsi="仿宋" w:eastAsia="仿宋" w:cs="仿宋"/>
          <w:sz w:val="32"/>
          <w:szCs w:val="32"/>
        </w:rPr>
        <w:t>万元，项目支出</w:t>
      </w:r>
      <w:r>
        <w:rPr>
          <w:rFonts w:ascii="仿宋" w:hAnsi="仿宋" w:eastAsia="仿宋" w:cs="仿宋"/>
          <w:sz w:val="32"/>
          <w:szCs w:val="32"/>
        </w:rPr>
        <w:t>4.62</w:t>
      </w:r>
      <w:r>
        <w:rPr>
          <w:rFonts w:hint="eastAsia" w:ascii="仿宋" w:hAnsi="仿宋" w:eastAsia="仿宋" w:cs="仿宋"/>
          <w:sz w:val="32"/>
          <w:szCs w:val="32"/>
        </w:rPr>
        <w:t>万元，主要用于免费开放活动开展，戏曲进乡村、月月乐等活动，占总支出的</w:t>
      </w:r>
      <w:r>
        <w:rPr>
          <w:rFonts w:ascii="仿宋" w:hAnsi="仿宋" w:eastAsia="仿宋" w:cs="仿宋"/>
          <w:sz w:val="32"/>
          <w:szCs w:val="32"/>
        </w:rPr>
        <w:t>7.25%</w:t>
      </w:r>
      <w:r>
        <w:rPr>
          <w:rFonts w:hint="eastAsia" w:ascii="仿宋" w:hAnsi="仿宋" w:eastAsia="仿宋" w:cs="仿宋"/>
          <w:sz w:val="32"/>
          <w:szCs w:val="32"/>
        </w:rPr>
        <w:t>。</w:t>
      </w:r>
    </w:p>
    <w:p w14:paraId="6A98A70A">
      <w:pPr>
        <w:widowControl/>
        <w:numPr>
          <w:ilvl w:val="0"/>
          <w:numId w:val="1"/>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027DFB68">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无</w:t>
      </w:r>
    </w:p>
    <w:p w14:paraId="55ECA374">
      <w:pPr>
        <w:widowControl/>
        <w:numPr>
          <w:ilvl w:val="0"/>
          <w:numId w:val="1"/>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4409A4E8">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无</w:t>
      </w:r>
    </w:p>
    <w:p w14:paraId="684A9D16">
      <w:pPr>
        <w:widowControl/>
        <w:numPr>
          <w:ilvl w:val="0"/>
          <w:numId w:val="1"/>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1AD4E675">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无</w:t>
      </w:r>
    </w:p>
    <w:p w14:paraId="17C73691">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2F197570">
      <w:pPr>
        <w:snapToGrid w:val="0"/>
        <w:spacing w:line="520" w:lineRule="exact"/>
        <w:ind w:firstLine="640" w:firstLineChars="200"/>
        <w:rPr>
          <w:rFonts w:ascii="仿宋" w:hAnsi="仿宋" w:eastAsia="仿宋_GB2312"/>
          <w:color w:val="000000"/>
          <w:sz w:val="32"/>
          <w:szCs w:val="32"/>
          <w:shd w:val="clear" w:color="auto" w:fill="FFFFFF"/>
        </w:rPr>
      </w:pPr>
      <w:r>
        <w:rPr>
          <w:rFonts w:hint="eastAsia" w:ascii="仿宋" w:hAnsi="仿宋" w:eastAsia="仿宋"/>
          <w:color w:val="000000"/>
          <w:sz w:val="32"/>
          <w:szCs w:val="32"/>
          <w:shd w:val="clear" w:color="auto" w:fill="FFFFFF"/>
        </w:rPr>
        <w:t>本部门在</w:t>
      </w:r>
      <w:r>
        <w:rPr>
          <w:rFonts w:ascii="仿宋" w:hAnsi="仿宋" w:eastAsia="仿宋"/>
          <w:color w:val="000000"/>
          <w:sz w:val="32"/>
          <w:szCs w:val="32"/>
          <w:shd w:val="clear" w:color="auto" w:fill="FFFFFF"/>
        </w:rPr>
        <w:t>2023</w:t>
      </w:r>
      <w:r>
        <w:rPr>
          <w:rFonts w:hint="eastAsia" w:ascii="仿宋" w:hAnsi="仿宋" w:eastAsia="仿宋"/>
          <w:color w:val="000000"/>
          <w:sz w:val="32"/>
          <w:szCs w:val="32"/>
          <w:shd w:val="clear" w:color="auto" w:fill="FFFFFF"/>
        </w:rPr>
        <w:t>年度部门决算中反映</w:t>
      </w:r>
      <w:r>
        <w:rPr>
          <w:rFonts w:ascii="仿宋" w:hAnsi="仿宋" w:eastAsia="仿宋"/>
          <w:color w:val="000000"/>
          <w:sz w:val="32"/>
          <w:szCs w:val="32"/>
          <w:shd w:val="clear" w:color="auto" w:fill="FFFFFF"/>
        </w:rPr>
        <w:t xml:space="preserve"> 1.</w:t>
      </w:r>
      <w:r>
        <w:rPr>
          <w:rFonts w:hint="eastAsia" w:ascii="仿宋" w:hAnsi="仿宋" w:eastAsia="仿宋"/>
          <w:color w:val="000000"/>
          <w:sz w:val="32"/>
          <w:szCs w:val="32"/>
          <w:shd w:val="clear" w:color="auto" w:fill="FFFFFF"/>
        </w:rPr>
        <w:t>公共文化服务体系建设（农村文化建设）省级补助资金；中央支持地方公共文化体系建设（一般项目）补助资金”</w:t>
      </w:r>
      <w:r>
        <w:rPr>
          <w:rFonts w:ascii="仿宋" w:hAnsi="仿宋" w:eastAsia="仿宋"/>
          <w:color w:val="000000"/>
          <w:sz w:val="32"/>
          <w:szCs w:val="32"/>
          <w:shd w:val="clear" w:color="auto" w:fill="FFFFFF"/>
        </w:rPr>
        <w:t>2.</w:t>
      </w:r>
      <w:r>
        <w:rPr>
          <w:rFonts w:hint="eastAsia" w:ascii="仿宋" w:hAnsi="仿宋" w:eastAsia="仿宋"/>
          <w:color w:val="000000"/>
          <w:sz w:val="32"/>
          <w:szCs w:val="32"/>
          <w:shd w:val="clear" w:color="auto" w:fill="FFFFFF"/>
        </w:rPr>
        <w:t>“县派乡村振兴驻村帮扶工作队队员经费；</w:t>
      </w:r>
      <w:r>
        <w:rPr>
          <w:rFonts w:ascii="仿宋" w:hAnsi="仿宋" w:eastAsia="仿宋"/>
          <w:color w:val="000000"/>
          <w:sz w:val="32"/>
          <w:szCs w:val="32"/>
          <w:shd w:val="clear" w:color="auto" w:fill="FFFFFF"/>
        </w:rPr>
        <w:t>3.</w:t>
      </w:r>
      <w:r>
        <w:rPr>
          <w:rFonts w:hint="eastAsia" w:ascii="仿宋" w:hAnsi="仿宋" w:eastAsia="仿宋"/>
          <w:color w:val="000000"/>
          <w:sz w:val="32"/>
          <w:szCs w:val="32"/>
          <w:shd w:val="clear" w:color="auto" w:fill="FFFFFF"/>
        </w:rPr>
        <w:t>文化馆（站）免费开放专项资金；中央补助地方公共文化服务体系建设专项资金；</w:t>
      </w:r>
      <w:r>
        <w:rPr>
          <w:rFonts w:ascii="仿宋" w:hAnsi="仿宋" w:eastAsia="仿宋"/>
          <w:color w:val="000000"/>
          <w:sz w:val="32"/>
          <w:szCs w:val="32"/>
          <w:shd w:val="clear" w:color="auto" w:fill="FFFFFF"/>
        </w:rPr>
        <w:t>4.</w:t>
      </w:r>
      <w:r>
        <w:rPr>
          <w:rFonts w:hint="eastAsia" w:ascii="仿宋" w:hAnsi="仿宋" w:eastAsia="仿宋"/>
          <w:color w:val="000000"/>
          <w:sz w:val="32"/>
          <w:szCs w:val="32"/>
          <w:shd w:val="clear" w:color="auto" w:fill="FFFFFF"/>
        </w:rPr>
        <w:t>“中央支持地方公共文化服务体系建设补助资金；中央支持地方公共文化服务体系建设绩效奖励补助资金等几个大类项目绩效目标实际完成情况，均完成预算的</w:t>
      </w:r>
      <w:r>
        <w:rPr>
          <w:rFonts w:ascii="仿宋" w:hAnsi="仿宋" w:eastAsia="仿宋"/>
          <w:color w:val="000000"/>
          <w:sz w:val="32"/>
          <w:szCs w:val="32"/>
          <w:shd w:val="clear" w:color="auto" w:fill="FFFFFF"/>
        </w:rPr>
        <w:t>100%</w:t>
      </w:r>
      <w:r>
        <w:rPr>
          <w:rFonts w:hint="eastAsia" w:ascii="仿宋" w:hAnsi="仿宋" w:eastAsia="仿宋"/>
          <w:color w:val="000000"/>
          <w:sz w:val="32"/>
          <w:szCs w:val="32"/>
          <w:shd w:val="clear" w:color="auto" w:fill="FFFFFF"/>
        </w:rPr>
        <w:t>。通过项目实施，</w:t>
      </w:r>
      <w:r>
        <w:rPr>
          <w:rFonts w:hint="eastAsia" w:ascii="仿宋_GB2312" w:hAnsi="仿宋_GB2312" w:eastAsia="仿宋_GB2312" w:cs="仿宋_GB2312"/>
          <w:color w:val="000000"/>
          <w:kern w:val="0"/>
          <w:sz w:val="32"/>
          <w:szCs w:val="32"/>
        </w:rPr>
        <w:t>持续推进文化惠民，丰富了群众文化体育生活，促进乡村文化体育振兴，提高了乡村人民生活满意度和幸福感。</w:t>
      </w:r>
    </w:p>
    <w:p w14:paraId="64BBEA62">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3CC6528B">
      <w:pPr>
        <w:widowControl/>
        <w:spacing w:line="576" w:lineRule="exact"/>
        <w:ind w:firstLine="640" w:firstLineChars="200"/>
        <w:jc w:val="left"/>
        <w:rPr>
          <w:rFonts w:ascii="??_GB2312" w:hAnsi="??_GB2312" w:cs="??_GB2312"/>
          <w:color w:val="000000"/>
          <w:kern w:val="0"/>
          <w:sz w:val="32"/>
          <w:szCs w:val="32"/>
        </w:rPr>
      </w:pPr>
      <w:r>
        <w:rPr>
          <w:rFonts w:hint="eastAsia" w:ascii="仿宋" w:hAnsi="仿宋" w:eastAsia="仿宋"/>
          <w:color w:val="000000"/>
          <w:sz w:val="32"/>
          <w:szCs w:val="32"/>
          <w:shd w:val="clear" w:color="auto" w:fill="FFFFFF"/>
        </w:rPr>
        <w:t>绩效目标不够具体；预算管理有待提高；县梅城文化馆工作基础有待完善。原因为：绩效目标管理制度不够深入细致；预算管理执行不够彻底，预算控制水平不够；基层绩效管理工作基础薄弱。</w:t>
      </w:r>
    </w:p>
    <w:p w14:paraId="3324940D">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14:paraId="41733979">
      <w:pPr>
        <w:widowControl/>
        <w:spacing w:line="576"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建立健全绩效目标管理制度；加强预算执行管理，降低预算控制率；加强绩效管理工作基础建设。进一步规范绩效目标编制。在编制项目资金绩效目标时要求指向明确、细化量化、合理可行、相应匹配。提高预算编制的科学化精细化水平。</w:t>
      </w:r>
    </w:p>
    <w:p w14:paraId="5E313519">
      <w:pPr>
        <w:widowControl/>
        <w:numPr>
          <w:ilvl w:val="0"/>
          <w:numId w:val="2"/>
        </w:numPr>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759BC50">
      <w:pPr>
        <w:widowControl/>
        <w:spacing w:line="576" w:lineRule="exact"/>
        <w:ind w:firstLine="643"/>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拟在我局公示栏公开</w:t>
      </w:r>
    </w:p>
    <w:p w14:paraId="5814EBA6">
      <w:pPr>
        <w:widowControl/>
        <w:spacing w:line="576" w:lineRule="exact"/>
        <w:ind w:firstLine="640" w:firstLineChars="200"/>
        <w:jc w:val="left"/>
        <w:rPr>
          <w:rFonts w:eastAsia="黑体"/>
          <w:kern w:val="0"/>
          <w:sz w:val="22"/>
        </w:rPr>
      </w:pPr>
      <w:r>
        <w:rPr>
          <w:rFonts w:hint="eastAsia" w:ascii="黑体" w:hAnsi="黑体" w:eastAsia="黑体" w:cs="宋体"/>
          <w:color w:val="000000"/>
          <w:kern w:val="0"/>
          <w:sz w:val="32"/>
          <w:szCs w:val="32"/>
        </w:rPr>
        <w:t>十、其他需要说明的情况。</w:t>
      </w:r>
    </w:p>
    <w:p w14:paraId="4776BB1F">
      <w:pPr>
        <w:widowControl/>
        <w:spacing w:line="576" w:lineRule="exact"/>
        <w:ind w:firstLine="480" w:firstLineChars="200"/>
        <w:jc w:val="left"/>
        <w:rPr>
          <w:kern w:val="0"/>
          <w:sz w:val="24"/>
        </w:rPr>
      </w:pPr>
      <w:r>
        <w:rPr>
          <w:rFonts w:hint="eastAsia"/>
          <w:kern w:val="0"/>
          <w:sz w:val="24"/>
        </w:rPr>
        <w:t>无</w:t>
      </w:r>
    </w:p>
    <w:p w14:paraId="2014F869">
      <w:pPr>
        <w:pStyle w:val="9"/>
        <w:shd w:val="clear" w:color="auto" w:fill="FFFFFF"/>
        <w:spacing w:before="0" w:beforeAutospacing="0" w:after="0" w:afterAutospacing="0" w:line="600" w:lineRule="exact"/>
        <w:ind w:right="105" w:rightChars="50" w:firstLine="320" w:firstLineChars="100"/>
        <w:rPr>
          <w:rFonts w:ascii="楷体_GB2312" w:hAnsi="楷体_GB2312" w:eastAsia="楷体_GB2312" w:cs="楷体_GB2312"/>
          <w:sz w:val="32"/>
          <w:szCs w:val="32"/>
        </w:rPr>
      </w:pPr>
    </w:p>
    <w:sectPr>
      <w:headerReference r:id="rId3" w:type="default"/>
      <w:footerReference r:id="rId4" w:type="default"/>
      <w:pgSz w:w="11905" w:h="16837"/>
      <w:pgMar w:top="2098" w:right="1474" w:bottom="1984" w:left="1474" w:header="850" w:footer="1417" w:gutter="0"/>
      <w:pgNumType w:fmt="numberInDash" w:start="1"/>
      <w:cols w:space="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F5971">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E8876F3">
                          <w:pPr>
                            <w:pStyle w:val="5"/>
                            <w:rPr>
                              <w:rFonts w:ascii="??_GB2312" w:hAnsi="??_GB2312" w:cs="??_GB2312"/>
                              <w:sz w:val="28"/>
                              <w:szCs w:val="28"/>
                            </w:rPr>
                          </w:pPr>
                          <w:r>
                            <w:rPr>
                              <w:rFonts w:ascii="??_GB2312" w:hAnsi="??_GB2312" w:cs="??_GB2312"/>
                              <w:sz w:val="28"/>
                              <w:szCs w:val="28"/>
                            </w:rPr>
                            <w:fldChar w:fldCharType="begin"/>
                          </w:r>
                          <w:r>
                            <w:rPr>
                              <w:rFonts w:ascii="??_GB2312" w:hAnsi="??_GB2312" w:cs="??_GB2312"/>
                              <w:sz w:val="28"/>
                              <w:szCs w:val="28"/>
                            </w:rPr>
                            <w:instrText xml:space="preserve"> PAGE  \* MERGEFORMAT </w:instrText>
                          </w:r>
                          <w:r>
                            <w:rPr>
                              <w:rFonts w:ascii="??_GB2312" w:hAnsi="??_GB2312" w:cs="??_GB2312"/>
                              <w:sz w:val="28"/>
                              <w:szCs w:val="28"/>
                            </w:rPr>
                            <w:fldChar w:fldCharType="separate"/>
                          </w:r>
                          <w:r>
                            <w:rPr>
                              <w:rFonts w:ascii="??_GB2312" w:hAnsi="??_GB2312" w:cs="??_GB2312"/>
                              <w:sz w:val="28"/>
                              <w:szCs w:val="28"/>
                            </w:rPr>
                            <w:t>- 2 -</w:t>
                          </w:r>
                          <w:r>
                            <w:rPr>
                              <w:rFonts w:ascii="??_GB2312" w:hAnsi="??_GB2312" w:cs="??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hp&#10;gkvTAAAABQEAAA8AAAAAAAAAAQAgAAAAIgAAAGRycy9kb3ducmV2LnhtbFBLAQIUABQAAAAIAIdO&#10;4kAzymiB7wEAANkDAAAOAAAAAAAAAAEAIAAAACIBAABkcnMvZTJvRG9jLnhtbFBLBQYAAAAABgAG&#10;AFkBAACDBQAAAAA=&#10;">
              <v:fill on="f" focussize="0,0"/>
              <v:stroke on="f" weight="1.25pt"/>
              <v:imagedata o:title=""/>
              <o:lock v:ext="edit" aspectratio="f"/>
              <v:textbox inset="0mm,0mm,0mm,0mm" style="mso-fit-shape-to-text:t;">
                <w:txbxContent>
                  <w:p w14:paraId="7E8876F3">
                    <w:pPr>
                      <w:pStyle w:val="5"/>
                      <w:rPr>
                        <w:rFonts w:ascii="??_GB2312" w:hAnsi="??_GB2312" w:cs="??_GB2312"/>
                        <w:sz w:val="28"/>
                        <w:szCs w:val="28"/>
                      </w:rPr>
                    </w:pPr>
                    <w:r>
                      <w:rPr>
                        <w:rFonts w:ascii="??_GB2312" w:hAnsi="??_GB2312" w:cs="??_GB2312"/>
                        <w:sz w:val="28"/>
                        <w:szCs w:val="28"/>
                      </w:rPr>
                      <w:fldChar w:fldCharType="begin"/>
                    </w:r>
                    <w:r>
                      <w:rPr>
                        <w:rFonts w:ascii="??_GB2312" w:hAnsi="??_GB2312" w:cs="??_GB2312"/>
                        <w:sz w:val="28"/>
                        <w:szCs w:val="28"/>
                      </w:rPr>
                      <w:instrText xml:space="preserve"> PAGE  \* MERGEFORMAT </w:instrText>
                    </w:r>
                    <w:r>
                      <w:rPr>
                        <w:rFonts w:ascii="??_GB2312" w:hAnsi="??_GB2312" w:cs="??_GB2312"/>
                        <w:sz w:val="28"/>
                        <w:szCs w:val="28"/>
                      </w:rPr>
                      <w:fldChar w:fldCharType="separate"/>
                    </w:r>
                    <w:r>
                      <w:rPr>
                        <w:rFonts w:ascii="??_GB2312" w:hAnsi="??_GB2312" w:cs="??_GB2312"/>
                        <w:sz w:val="28"/>
                        <w:szCs w:val="28"/>
                      </w:rPr>
                      <w:t>- 2 -</w:t>
                    </w:r>
                    <w:r>
                      <w:rPr>
                        <w:rFonts w:ascii="??_GB2312" w:hAnsi="??_GB2312" w:cs="??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8515">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7FDEC"/>
    <w:multiLevelType w:val="singleLevel"/>
    <w:tmpl w:val="D957FDEC"/>
    <w:lvl w:ilvl="0" w:tentative="0">
      <w:start w:val="9"/>
      <w:numFmt w:val="chineseCounting"/>
      <w:suff w:val="nothing"/>
      <w:lvlText w:val="%1、"/>
      <w:lvlJc w:val="left"/>
      <w:rPr>
        <w:rFonts w:hint="eastAsia" w:cs="Times New Roman"/>
      </w:rPr>
    </w:lvl>
  </w:abstractNum>
  <w:abstractNum w:abstractNumId="1">
    <w:nsid w:val="5D61867D"/>
    <w:multiLevelType w:val="singleLevel"/>
    <w:tmpl w:val="5D61867D"/>
    <w:lvl w:ilvl="0" w:tentative="0">
      <w:start w:val="3"/>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MDFlYTMwZTJkYjA4Yjc1ZDRhZjI0MmZmNGZiN2EifQ=="/>
    <w:docVar w:name="KSO_WPS_MARK_KEY" w:val="efdb9831-49e2-41f3-897e-affe4bfc1ef8"/>
  </w:docVars>
  <w:rsids>
    <w:rsidRoot w:val="5EF91413"/>
    <w:rsid w:val="00017857"/>
    <w:rsid w:val="00034426"/>
    <w:rsid w:val="000D7D46"/>
    <w:rsid w:val="00100ED2"/>
    <w:rsid w:val="001D0828"/>
    <w:rsid w:val="001F27BC"/>
    <w:rsid w:val="00262520"/>
    <w:rsid w:val="002D4B0D"/>
    <w:rsid w:val="003062EE"/>
    <w:rsid w:val="003111BE"/>
    <w:rsid w:val="00355E6F"/>
    <w:rsid w:val="003E2793"/>
    <w:rsid w:val="003F11DD"/>
    <w:rsid w:val="003F798E"/>
    <w:rsid w:val="004C5468"/>
    <w:rsid w:val="004D43E2"/>
    <w:rsid w:val="004E640B"/>
    <w:rsid w:val="00512111"/>
    <w:rsid w:val="00592274"/>
    <w:rsid w:val="00596EF1"/>
    <w:rsid w:val="005B19E8"/>
    <w:rsid w:val="00624A5B"/>
    <w:rsid w:val="00630B10"/>
    <w:rsid w:val="00633A04"/>
    <w:rsid w:val="00651AD0"/>
    <w:rsid w:val="00673905"/>
    <w:rsid w:val="00697620"/>
    <w:rsid w:val="006D3719"/>
    <w:rsid w:val="00712ECA"/>
    <w:rsid w:val="007C7F1B"/>
    <w:rsid w:val="007D62DC"/>
    <w:rsid w:val="007F2C1A"/>
    <w:rsid w:val="00817166"/>
    <w:rsid w:val="00826A68"/>
    <w:rsid w:val="008C42C1"/>
    <w:rsid w:val="00901D47"/>
    <w:rsid w:val="00962590"/>
    <w:rsid w:val="00970A76"/>
    <w:rsid w:val="009872D6"/>
    <w:rsid w:val="009A0145"/>
    <w:rsid w:val="00A3179B"/>
    <w:rsid w:val="00A40CEF"/>
    <w:rsid w:val="00A51938"/>
    <w:rsid w:val="00A84895"/>
    <w:rsid w:val="00AD1332"/>
    <w:rsid w:val="00AD157A"/>
    <w:rsid w:val="00AE5FCA"/>
    <w:rsid w:val="00B34FCE"/>
    <w:rsid w:val="00B83482"/>
    <w:rsid w:val="00BB6A22"/>
    <w:rsid w:val="00CF00E5"/>
    <w:rsid w:val="00D30D45"/>
    <w:rsid w:val="00DF2F64"/>
    <w:rsid w:val="00E47EB9"/>
    <w:rsid w:val="00E87A79"/>
    <w:rsid w:val="00EA39E5"/>
    <w:rsid w:val="00EF0D1E"/>
    <w:rsid w:val="00EF1239"/>
    <w:rsid w:val="00EF286B"/>
    <w:rsid w:val="00EF7465"/>
    <w:rsid w:val="00F054C3"/>
    <w:rsid w:val="00F16539"/>
    <w:rsid w:val="00F5064A"/>
    <w:rsid w:val="00FB0C45"/>
    <w:rsid w:val="00FB5247"/>
    <w:rsid w:val="01881C21"/>
    <w:rsid w:val="02E230B9"/>
    <w:rsid w:val="095202B3"/>
    <w:rsid w:val="0A371C48"/>
    <w:rsid w:val="0A461E15"/>
    <w:rsid w:val="0ABB1601"/>
    <w:rsid w:val="0C485C65"/>
    <w:rsid w:val="0D1F294F"/>
    <w:rsid w:val="0DCF2C29"/>
    <w:rsid w:val="11AF4802"/>
    <w:rsid w:val="11B52A65"/>
    <w:rsid w:val="127960C2"/>
    <w:rsid w:val="128706BB"/>
    <w:rsid w:val="128C289E"/>
    <w:rsid w:val="13F1430E"/>
    <w:rsid w:val="14461BE1"/>
    <w:rsid w:val="15E118C5"/>
    <w:rsid w:val="182445B5"/>
    <w:rsid w:val="18C44B05"/>
    <w:rsid w:val="1921258C"/>
    <w:rsid w:val="1A86539E"/>
    <w:rsid w:val="1D514A07"/>
    <w:rsid w:val="1D736768"/>
    <w:rsid w:val="1D7764E0"/>
    <w:rsid w:val="1E02384E"/>
    <w:rsid w:val="1E2D7B42"/>
    <w:rsid w:val="202355A8"/>
    <w:rsid w:val="216A31A0"/>
    <w:rsid w:val="21887F99"/>
    <w:rsid w:val="21F32188"/>
    <w:rsid w:val="229365CD"/>
    <w:rsid w:val="22E7596F"/>
    <w:rsid w:val="2605582B"/>
    <w:rsid w:val="27666297"/>
    <w:rsid w:val="28264A04"/>
    <w:rsid w:val="29D84B76"/>
    <w:rsid w:val="2B006436"/>
    <w:rsid w:val="2B8F395A"/>
    <w:rsid w:val="2CD96D87"/>
    <w:rsid w:val="2DF15952"/>
    <w:rsid w:val="2E6C7FCB"/>
    <w:rsid w:val="2E88044F"/>
    <w:rsid w:val="3284589B"/>
    <w:rsid w:val="33100617"/>
    <w:rsid w:val="33CF2B0E"/>
    <w:rsid w:val="364A0050"/>
    <w:rsid w:val="36F9338A"/>
    <w:rsid w:val="37779E60"/>
    <w:rsid w:val="39684BBF"/>
    <w:rsid w:val="39E9356E"/>
    <w:rsid w:val="39F525A2"/>
    <w:rsid w:val="3A0D5147"/>
    <w:rsid w:val="3BCE22FA"/>
    <w:rsid w:val="3C7B06AE"/>
    <w:rsid w:val="3D6A1B31"/>
    <w:rsid w:val="3F13799B"/>
    <w:rsid w:val="4015034D"/>
    <w:rsid w:val="406010BA"/>
    <w:rsid w:val="43596284"/>
    <w:rsid w:val="43EB701F"/>
    <w:rsid w:val="44BA060E"/>
    <w:rsid w:val="450C2576"/>
    <w:rsid w:val="454063A9"/>
    <w:rsid w:val="47A66F47"/>
    <w:rsid w:val="48190D72"/>
    <w:rsid w:val="48D943A7"/>
    <w:rsid w:val="491B16E9"/>
    <w:rsid w:val="49B50C04"/>
    <w:rsid w:val="49F422BC"/>
    <w:rsid w:val="49F8427E"/>
    <w:rsid w:val="4A4C5543"/>
    <w:rsid w:val="4A856EB6"/>
    <w:rsid w:val="4BB72B70"/>
    <w:rsid w:val="4CA56075"/>
    <w:rsid w:val="4D765FE4"/>
    <w:rsid w:val="4D7F362E"/>
    <w:rsid w:val="4E1B3885"/>
    <w:rsid w:val="4E465C3F"/>
    <w:rsid w:val="4F670C47"/>
    <w:rsid w:val="553254BE"/>
    <w:rsid w:val="553B4087"/>
    <w:rsid w:val="583020DD"/>
    <w:rsid w:val="592547BC"/>
    <w:rsid w:val="59544026"/>
    <w:rsid w:val="59930F48"/>
    <w:rsid w:val="5AB9755B"/>
    <w:rsid w:val="5AF474F0"/>
    <w:rsid w:val="5B742D21"/>
    <w:rsid w:val="5C0351D3"/>
    <w:rsid w:val="5D973665"/>
    <w:rsid w:val="5EF23C04"/>
    <w:rsid w:val="5EF91413"/>
    <w:rsid w:val="5F567206"/>
    <w:rsid w:val="5F875025"/>
    <w:rsid w:val="60D6222F"/>
    <w:rsid w:val="6217071C"/>
    <w:rsid w:val="62CE02E9"/>
    <w:rsid w:val="632C6B3E"/>
    <w:rsid w:val="633F0072"/>
    <w:rsid w:val="64E07CE5"/>
    <w:rsid w:val="666920D7"/>
    <w:rsid w:val="66A00ADF"/>
    <w:rsid w:val="66F756A1"/>
    <w:rsid w:val="67D94CCC"/>
    <w:rsid w:val="69380B1B"/>
    <w:rsid w:val="697F7DBF"/>
    <w:rsid w:val="6AF15449"/>
    <w:rsid w:val="6C1733E6"/>
    <w:rsid w:val="6CF536F6"/>
    <w:rsid w:val="6F8673D6"/>
    <w:rsid w:val="6FCF75EC"/>
    <w:rsid w:val="70446EA1"/>
    <w:rsid w:val="707537A6"/>
    <w:rsid w:val="71591FCE"/>
    <w:rsid w:val="71F256AB"/>
    <w:rsid w:val="73133AF6"/>
    <w:rsid w:val="736D4488"/>
    <w:rsid w:val="753A5550"/>
    <w:rsid w:val="75B4584A"/>
    <w:rsid w:val="78FDF452"/>
    <w:rsid w:val="79B733A1"/>
    <w:rsid w:val="7B1A1590"/>
    <w:rsid w:val="7BBF2D2E"/>
    <w:rsid w:val="7CEF2B13"/>
    <w:rsid w:val="7D2C3E42"/>
    <w:rsid w:val="7D2F76D5"/>
    <w:rsid w:val="7DAF813A"/>
    <w:rsid w:val="BEF50D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9"/>
    <w:pPr>
      <w:keepNext/>
      <w:keepLines/>
      <w:spacing w:line="312" w:lineRule="auto"/>
      <w:jc w:val="center"/>
      <w:outlineLvl w:val="1"/>
    </w:pPr>
    <w:rPr>
      <w:rFonts w:ascii="Cambria" w:hAnsi="Cambria" w:cs="宋体"/>
      <w:b/>
      <w:bCs/>
      <w:sz w:val="36"/>
      <w:szCs w:val="32"/>
    </w:rPr>
  </w:style>
  <w:style w:type="character" w:default="1" w:styleId="12">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iPriority w:val="99"/>
    <w:pPr>
      <w:spacing w:after="120"/>
    </w:pPr>
  </w:style>
  <w:style w:type="paragraph" w:styleId="5">
    <w:name w:val="footer"/>
    <w:basedOn w:val="1"/>
    <w:link w:val="17"/>
    <w:uiPriority w:val="99"/>
    <w:pPr>
      <w:tabs>
        <w:tab w:val="center" w:pos="4153"/>
        <w:tab w:val="right" w:pos="8306"/>
      </w:tabs>
      <w:snapToGrid w:val="0"/>
      <w:jc w:val="left"/>
    </w:pPr>
    <w:rPr>
      <w:sz w:val="18"/>
      <w:szCs w:val="18"/>
    </w:rPr>
  </w:style>
  <w:style w:type="paragraph" w:styleId="6">
    <w:name w:val="header"/>
    <w:basedOn w:val="1"/>
    <w:link w:val="18"/>
    <w:autoRedefine/>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rPr>
      <w:rFonts w:ascii="黑体" w:hAnsi="黑体" w:eastAsia="黑体" w:cs="黑体"/>
    </w:rPr>
  </w:style>
  <w:style w:type="paragraph" w:styleId="8">
    <w:name w:val="Subtitle"/>
    <w:basedOn w:val="1"/>
    <w:next w:val="1"/>
    <w:link w:val="19"/>
    <w:qFormat/>
    <w:uiPriority w:val="99"/>
    <w:pPr>
      <w:ind w:firstLine="200" w:firstLineChars="200"/>
      <w:jc w:val="left"/>
      <w:outlineLvl w:val="2"/>
    </w:pPr>
    <w:rPr>
      <w:rFonts w:ascii="Cambria" w:hAnsi="Cambria" w:eastAsia="黑体"/>
      <w:bCs/>
      <w:kern w:val="28"/>
      <w:sz w:val="28"/>
      <w:szCs w:val="32"/>
    </w:rPr>
  </w:style>
  <w:style w:type="paragraph" w:styleId="9">
    <w:name w:val="Normal (Web)"/>
    <w:basedOn w:val="1"/>
    <w:autoRedefine/>
    <w:uiPriority w:val="99"/>
    <w:pPr>
      <w:spacing w:before="100" w:beforeAutospacing="1" w:after="100" w:afterAutospacing="1"/>
      <w:jc w:val="left"/>
    </w:pPr>
    <w:rPr>
      <w:kern w:val="0"/>
      <w:sz w:val="24"/>
      <w:szCs w:val="20"/>
    </w:rPr>
  </w:style>
  <w:style w:type="paragraph" w:styleId="10">
    <w:name w:val="Body Text First Indent"/>
    <w:basedOn w:val="4"/>
    <w:link w:val="20"/>
    <w:uiPriority w:val="99"/>
    <w:pPr>
      <w:ind w:firstLine="664"/>
    </w:pPr>
  </w:style>
  <w:style w:type="character" w:styleId="13">
    <w:name w:val="page number"/>
    <w:basedOn w:val="12"/>
    <w:uiPriority w:val="99"/>
    <w:rPr>
      <w:rFonts w:cs="Times New Roman"/>
    </w:rPr>
  </w:style>
  <w:style w:type="character" w:customStyle="1" w:styleId="14">
    <w:name w:val="Heading 1 Char"/>
    <w:basedOn w:val="12"/>
    <w:link w:val="2"/>
    <w:locked/>
    <w:uiPriority w:val="99"/>
    <w:rPr>
      <w:rFonts w:cs="Times New Roman"/>
      <w:b/>
      <w:bCs/>
      <w:kern w:val="44"/>
      <w:sz w:val="44"/>
      <w:szCs w:val="44"/>
    </w:rPr>
  </w:style>
  <w:style w:type="character" w:customStyle="1" w:styleId="15">
    <w:name w:val="Heading 2 Char"/>
    <w:basedOn w:val="12"/>
    <w:link w:val="3"/>
    <w:semiHidden/>
    <w:locked/>
    <w:uiPriority w:val="99"/>
    <w:rPr>
      <w:rFonts w:ascii="Cambria" w:hAnsi="Cambria" w:eastAsia="宋体" w:cs="Times New Roman"/>
      <w:b/>
      <w:bCs/>
      <w:sz w:val="32"/>
      <w:szCs w:val="32"/>
    </w:rPr>
  </w:style>
  <w:style w:type="character" w:customStyle="1" w:styleId="16">
    <w:name w:val="Body Text Char"/>
    <w:basedOn w:val="12"/>
    <w:link w:val="4"/>
    <w:semiHidden/>
    <w:locked/>
    <w:uiPriority w:val="99"/>
    <w:rPr>
      <w:rFonts w:cs="Times New Roman"/>
      <w:sz w:val="24"/>
      <w:szCs w:val="24"/>
    </w:rPr>
  </w:style>
  <w:style w:type="character" w:customStyle="1" w:styleId="17">
    <w:name w:val="Footer Char"/>
    <w:basedOn w:val="12"/>
    <w:link w:val="5"/>
    <w:semiHidden/>
    <w:locked/>
    <w:uiPriority w:val="99"/>
    <w:rPr>
      <w:rFonts w:cs="Times New Roman"/>
      <w:sz w:val="18"/>
      <w:szCs w:val="18"/>
    </w:rPr>
  </w:style>
  <w:style w:type="character" w:customStyle="1" w:styleId="18">
    <w:name w:val="Header Char"/>
    <w:basedOn w:val="12"/>
    <w:link w:val="6"/>
    <w:semiHidden/>
    <w:locked/>
    <w:uiPriority w:val="99"/>
    <w:rPr>
      <w:rFonts w:cs="Times New Roman"/>
      <w:sz w:val="18"/>
      <w:szCs w:val="18"/>
    </w:rPr>
  </w:style>
  <w:style w:type="character" w:customStyle="1" w:styleId="19">
    <w:name w:val="Subtitle Char"/>
    <w:basedOn w:val="12"/>
    <w:link w:val="8"/>
    <w:qFormat/>
    <w:locked/>
    <w:uiPriority w:val="99"/>
    <w:rPr>
      <w:rFonts w:ascii="Cambria" w:hAnsi="Cambria" w:cs="Times New Roman"/>
      <w:b/>
      <w:bCs/>
      <w:kern w:val="28"/>
      <w:sz w:val="32"/>
      <w:szCs w:val="32"/>
    </w:rPr>
  </w:style>
  <w:style w:type="character" w:customStyle="1" w:styleId="20">
    <w:name w:val="Body Text First Indent Char"/>
    <w:basedOn w:val="16"/>
    <w:link w:val="10"/>
    <w:semiHidden/>
    <w:qFormat/>
    <w:locked/>
    <w:uiPriority w:val="99"/>
  </w:style>
  <w:style w:type="paragraph" w:customStyle="1" w:styleId="21">
    <w:name w:val="引文目录1"/>
    <w:basedOn w:val="1"/>
    <w:next w:val="1"/>
    <w:uiPriority w:val="99"/>
    <w:pPr>
      <w:ind w:left="420" w:leftChars="200"/>
    </w:pPr>
    <w:rPr>
      <w:sz w:val="32"/>
      <w:szCs w:val="32"/>
    </w:rPr>
  </w:style>
  <w:style w:type="paragraph" w:customStyle="1" w:styleId="22">
    <w:name w:val="BodyText1I2"/>
    <w:basedOn w:val="23"/>
    <w:autoRedefine/>
    <w:qFormat/>
    <w:uiPriority w:val="99"/>
    <w:pPr>
      <w:ind w:firstLine="420"/>
    </w:pPr>
  </w:style>
  <w:style w:type="paragraph" w:customStyle="1" w:styleId="23">
    <w:name w:val="BodyTextIndent"/>
    <w:basedOn w:val="1"/>
    <w:uiPriority w:val="99"/>
    <w:pPr>
      <w:spacing w:after="120"/>
      <w:ind w:left="420" w:leftChars="200" w:firstLine="200" w:firstLineChars="200"/>
      <w:textAlignment w:val="baseline"/>
    </w:pPr>
  </w:style>
  <w:style w:type="paragraph" w:customStyle="1" w:styleId="24">
    <w:name w:val="Default"/>
    <w:autoRedefine/>
    <w:uiPriority w:val="99"/>
    <w:pPr>
      <w:widowControl w:val="0"/>
      <w:autoSpaceDE w:val="0"/>
      <w:autoSpaceDN w:val="0"/>
      <w:adjustRightInd w:val="0"/>
    </w:pPr>
    <w:rPr>
      <w:rFonts w:ascii="??_GB2312" w:hAnsi="Times New Roman" w:eastAsia="Times New Roman" w:cs="??_GB2312"/>
      <w:color w:val="000000"/>
      <w:kern w:val="0"/>
      <w:sz w:val="24"/>
      <w:szCs w:val="24"/>
      <w:lang w:val="en-US" w:eastAsia="zh-CN" w:bidi="ar-SA"/>
    </w:rPr>
  </w:style>
  <w:style w:type="paragraph" w:customStyle="1" w:styleId="25">
    <w:name w:val="无间隔1"/>
    <w:uiPriority w:val="99"/>
    <w:pPr>
      <w:widowControl w:val="0"/>
      <w:spacing w:beforeLines="50"/>
      <w:jc w:val="center"/>
    </w:pPr>
    <w:rPr>
      <w:rFonts w:ascii="Times New Roman" w:hAnsi="Times New Roman" w:eastAsia="宋体" w:cs="Times New Roman"/>
      <w:kern w:val="2"/>
      <w:sz w:val="24"/>
      <w:szCs w:val="22"/>
      <w:lang w:val="en-US" w:eastAsia="zh-CN" w:bidi="ar-SA"/>
    </w:rPr>
  </w:style>
  <w:style w:type="paragraph" w:customStyle="1" w:styleId="26">
    <w:name w:val="无缩进"/>
    <w:basedOn w:val="1"/>
    <w:autoRedefine/>
    <w:qFormat/>
    <w:uiPriority w:val="99"/>
    <w:pPr>
      <w:spacing w:line="312" w:lineRule="auto"/>
    </w:pPr>
    <w:rPr>
      <w:sz w:val="24"/>
      <w:szCs w:val="22"/>
    </w:rPr>
  </w:style>
  <w:style w:type="paragraph" w:customStyle="1" w:styleId="27">
    <w:name w:val="列出段落1"/>
    <w:basedOn w:val="1"/>
    <w:uiPriority w:val="99"/>
    <w:pPr>
      <w:ind w:firstLine="420" w:firstLineChars="200"/>
    </w:pPr>
  </w:style>
  <w:style w:type="paragraph" w:customStyle="1" w:styleId="28">
    <w:name w:val="列出段落2"/>
    <w:basedOn w:val="1"/>
    <w:uiPriority w:val="99"/>
    <w:pPr>
      <w:ind w:firstLine="420" w:firstLineChars="200"/>
    </w:pPr>
    <w:rPr>
      <w:rFonts w:ascii="Calibri" w:hAnsi="Calibri"/>
      <w:szCs w:val="22"/>
    </w:rPr>
  </w:style>
  <w:style w:type="character" w:customStyle="1" w:styleId="29">
    <w:name w:val="font61"/>
    <w:basedOn w:val="12"/>
    <w:uiPriority w:val="99"/>
    <w:rPr>
      <w:rFonts w:ascii="Times New Roman" w:hAnsi="Times New Roman" w:cs="Times New Roman"/>
      <w:b/>
      <w:color w:val="000000"/>
      <w:sz w:val="28"/>
      <w:szCs w:val="28"/>
      <w:u w:val="none"/>
    </w:rPr>
  </w:style>
  <w:style w:type="character" w:customStyle="1" w:styleId="30">
    <w:name w:val="font121"/>
    <w:basedOn w:val="12"/>
    <w:uiPriority w:val="99"/>
    <w:rPr>
      <w:rFonts w:ascii="Times New Roman" w:hAnsi="Times New Roman" w:cs="Times New Roman"/>
      <w:color w:val="000000"/>
      <w:sz w:val="20"/>
      <w:szCs w:val="20"/>
      <w:u w:val="none"/>
    </w:rPr>
  </w:style>
  <w:style w:type="character" w:customStyle="1" w:styleId="31">
    <w:name w:val="font11"/>
    <w:basedOn w:val="12"/>
    <w:qFormat/>
    <w:uiPriority w:val="99"/>
    <w:rPr>
      <w:rFonts w:ascii="宋体" w:hAnsi="宋体" w:eastAsia="宋体" w:cs="宋体"/>
      <w:color w:val="000000"/>
      <w:sz w:val="20"/>
      <w:szCs w:val="20"/>
      <w:u w:val="none"/>
    </w:rPr>
  </w:style>
  <w:style w:type="character" w:customStyle="1" w:styleId="32">
    <w:name w:val="font131"/>
    <w:basedOn w:val="12"/>
    <w:uiPriority w:val="99"/>
    <w:rPr>
      <w:rFonts w:ascii="宋体" w:hAnsi="宋体" w:eastAsia="宋体" w:cs="宋体"/>
      <w:color w:val="000000"/>
      <w:sz w:val="18"/>
      <w:szCs w:val="18"/>
      <w:u w:val="none"/>
    </w:rPr>
  </w:style>
  <w:style w:type="character" w:customStyle="1" w:styleId="33">
    <w:name w:val="font141"/>
    <w:basedOn w:val="12"/>
    <w:uiPriority w:val="99"/>
    <w:rPr>
      <w:rFonts w:ascii="Times New Roman" w:hAnsi="Times New Roman" w:cs="Times New Roman"/>
      <w:color w:val="000000"/>
      <w:sz w:val="24"/>
      <w:szCs w:val="24"/>
      <w:u w:val="none"/>
    </w:rPr>
  </w:style>
  <w:style w:type="character" w:customStyle="1" w:styleId="34">
    <w:name w:val="font101"/>
    <w:basedOn w:val="12"/>
    <w:qFormat/>
    <w:uiPriority w:val="99"/>
    <w:rPr>
      <w:rFonts w:ascii="宋体" w:hAnsi="宋体" w:eastAsia="宋体" w:cs="宋体"/>
      <w:color w:val="000000"/>
      <w:sz w:val="24"/>
      <w:szCs w:val="24"/>
      <w:u w:val="none"/>
    </w:rPr>
  </w:style>
  <w:style w:type="paragraph" w:customStyle="1" w:styleId="35">
    <w:name w:val="Other|1"/>
    <w:basedOn w:val="1"/>
    <w:uiPriority w:val="99"/>
    <w:pPr>
      <w:spacing w:line="238" w:lineRule="exact"/>
    </w:pPr>
    <w:rPr>
      <w:rFonts w:ascii="宋体" w:hAnsi="宋体" w:cs="宋体"/>
      <w:color w:val="1D1433"/>
      <w:sz w:val="20"/>
      <w:szCs w:val="20"/>
      <w:lang w:val="zh-TW" w:eastAsia="zh-TW"/>
    </w:rPr>
  </w:style>
  <w:style w:type="paragraph" w:customStyle="1" w:styleId="36">
    <w:name w:val="列出段落"/>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1390</Words>
  <Characters>1489</Characters>
  <Lines>0</Lines>
  <Paragraphs>0</Paragraphs>
  <TotalTime>7</TotalTime>
  <ScaleCrop>false</ScaleCrop>
  <LinksUpToDate>false</LinksUpToDate>
  <CharactersWithSpaces>1501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2024-06-21T01:45:00Z</dcterms:created>
  <dc:creator>greatwall</dc:creator>
  <cp:lastModifiedBy>Joanna</cp:lastModifiedBy>
  <cp:lastPrinted>2024-06-18T09:29:00Z</cp:lastPrinted>
  <dcterms:modified xsi:type="dcterms:W3CDTF">2024-06-21T03:52:59Z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995B51C9939542988E875E6CA0F0DDD2_13</vt:lpwstr>
  </property>
  <property fmtid="{D5CDD505-2E9C-101B-9397-08002B2CF9AE}" pid="4" name="commondata">
    <vt:lpwstr>eyJoZGlkIjoiYTYyNDdjODg3NGNlNDkxMWExODY4YWEyMTRmNzM4NmQifQ==</vt:lpwstr>
  </property>
</Properties>
</file>