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60B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bookmarkStart w:id="0" w:name="_GoBack"/>
      <w:bookmarkEnd w:id="0"/>
    </w:p>
    <w:p w14:paraId="7374A98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32F5AC9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45820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楷体" w:hAnsi="华文楷体" w:eastAsia="华文楷体" w:cs="华文楷体"/>
          <w:bCs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2023年度田庄乡</w:t>
      </w: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</w:p>
    <w:p w14:paraId="0086D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4E26FC63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6A7D895C"/>
    <w:p w14:paraId="1AEEC690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50181D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70451AC1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F714FF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6F8D70E0">
      <w:pPr>
        <w:pStyle w:val="3"/>
      </w:pPr>
    </w:p>
    <w:p w14:paraId="3315C3AA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538E955B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  <w:lang w:eastAsia="zh-CN"/>
        </w:rPr>
        <w:t>田庄乡人民政府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</w:t>
      </w:r>
    </w:p>
    <w:p w14:paraId="0AC2F7E9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1769BE63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日</w:t>
      </w:r>
    </w:p>
    <w:p w14:paraId="2F53DD6C"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（此页为封面）</w:t>
      </w: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0F962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田庄乡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5A6E5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0AB00B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0E4B6AC3">
      <w:pPr>
        <w:pStyle w:val="2"/>
        <w:widowControl w:val="0"/>
        <w:spacing w:line="600" w:lineRule="exact"/>
        <w:ind w:firstLine="64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Cs w:val="32"/>
        </w:rPr>
        <w:t>2023年，我们全面落实县委“一四五”战略定位和使命任务，始终坚持“生态立乡、交通活乡、茶药兴乡、旅游富乡、工业强乡”发展定位，补短板、强弱项、固根基，努力开创田庄经济社会新局面。2023年全乡经济社会发展主要预期目标是：地方一般公共预算增长10%以上，固定资产投资增加12%以上，规模工业增加值增长9.5%以上。</w:t>
      </w:r>
    </w:p>
    <w:p w14:paraId="1E5001F2">
      <w:pPr>
        <w:spacing w:line="520" w:lineRule="exact"/>
        <w:ind w:firstLine="643"/>
        <w:rPr>
          <w:rFonts w:ascii="仿宋" w:hAnsi="仿宋" w:eastAsia="仿宋"/>
          <w:sz w:val="32"/>
          <w:szCs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</w:t>
      </w:r>
      <w:r>
        <w:rPr>
          <w:rFonts w:ascii="仿宋" w:hAnsi="仿宋" w:eastAsia="仿宋"/>
          <w:sz w:val="32"/>
          <w:szCs w:val="24"/>
        </w:rPr>
        <w:t>202</w:t>
      </w:r>
      <w:r>
        <w:rPr>
          <w:rFonts w:hint="eastAsia" w:ascii="仿宋" w:hAnsi="仿宋" w:eastAsia="仿宋"/>
          <w:sz w:val="32"/>
          <w:szCs w:val="24"/>
        </w:rPr>
        <w:t>3年，本部门支出1715.21万元。其中：基本支出完成1372.31万元，；项目支出</w:t>
      </w:r>
      <w:r>
        <w:rPr>
          <w:rFonts w:hint="eastAsia" w:ascii="仿宋" w:hAnsi="仿宋" w:eastAsia="仿宋"/>
          <w:sz w:val="28"/>
          <w:szCs w:val="24"/>
        </w:rPr>
        <w:t>342.9</w:t>
      </w:r>
      <w:r>
        <w:rPr>
          <w:rFonts w:hint="eastAsia" w:ascii="仿宋" w:hAnsi="仿宋" w:eastAsia="仿宋"/>
          <w:sz w:val="32"/>
          <w:szCs w:val="24"/>
        </w:rPr>
        <w:t>万元。</w:t>
      </w:r>
      <w:r>
        <w:rPr>
          <w:rFonts w:hint="eastAsia" w:ascii="仿宋" w:hAnsi="仿宋" w:eastAsia="仿宋"/>
          <w:sz w:val="32"/>
          <w:szCs w:val="24"/>
          <w:lang w:val="zh-CN"/>
        </w:rPr>
        <w:t>人员经费</w:t>
      </w:r>
      <w:r>
        <w:rPr>
          <w:rFonts w:hint="eastAsia" w:ascii="仿宋" w:hAnsi="仿宋" w:eastAsia="仿宋"/>
          <w:sz w:val="32"/>
          <w:szCs w:val="24"/>
        </w:rPr>
        <w:t>完成1102.6</w:t>
      </w:r>
      <w:r>
        <w:rPr>
          <w:rFonts w:hint="eastAsia" w:ascii="仿宋" w:hAnsi="仿宋" w:eastAsia="仿宋"/>
          <w:sz w:val="28"/>
          <w:szCs w:val="24"/>
        </w:rPr>
        <w:t>万</w:t>
      </w:r>
      <w:r>
        <w:rPr>
          <w:rFonts w:hint="eastAsia" w:ascii="仿宋" w:hAnsi="仿宋" w:eastAsia="仿宋"/>
          <w:sz w:val="32"/>
          <w:szCs w:val="24"/>
        </w:rPr>
        <w:t>元；公用</w:t>
      </w:r>
      <w:r>
        <w:rPr>
          <w:rFonts w:hint="eastAsia" w:ascii="仿宋" w:hAnsi="仿宋" w:eastAsia="仿宋"/>
          <w:sz w:val="32"/>
          <w:szCs w:val="24"/>
          <w:lang w:val="zh-CN"/>
        </w:rPr>
        <w:t>经费</w:t>
      </w:r>
      <w:r>
        <w:rPr>
          <w:rFonts w:hint="eastAsia" w:ascii="仿宋" w:hAnsi="仿宋" w:eastAsia="仿宋"/>
          <w:sz w:val="32"/>
          <w:szCs w:val="24"/>
        </w:rPr>
        <w:t>完成</w:t>
      </w:r>
      <w:r>
        <w:rPr>
          <w:rFonts w:ascii="仿宋" w:hAnsi="仿宋" w:eastAsia="仿宋"/>
          <w:sz w:val="28"/>
          <w:szCs w:val="24"/>
        </w:rPr>
        <w:t>2</w:t>
      </w:r>
      <w:r>
        <w:rPr>
          <w:rFonts w:hint="eastAsia" w:ascii="仿宋" w:hAnsi="仿宋" w:eastAsia="仿宋"/>
          <w:sz w:val="28"/>
          <w:szCs w:val="24"/>
        </w:rPr>
        <w:t>69.71</w:t>
      </w:r>
      <w:r>
        <w:rPr>
          <w:rFonts w:hint="eastAsia" w:ascii="仿宋" w:hAnsi="仿宋" w:eastAsia="仿宋"/>
          <w:sz w:val="32"/>
          <w:szCs w:val="24"/>
        </w:rPr>
        <w:t>万元。</w:t>
      </w:r>
    </w:p>
    <w:p w14:paraId="5DFDF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33FEA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7BFAF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仿宋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24"/>
        </w:rPr>
        <w:t>基本支出完成1372.31万元，比上年减少76.77万元，减少5.3</w:t>
      </w:r>
      <w:r>
        <w:rPr>
          <w:rFonts w:ascii="仿宋" w:hAnsi="仿宋" w:eastAsia="仿宋"/>
          <w:sz w:val="28"/>
          <w:szCs w:val="24"/>
        </w:rPr>
        <w:t>%</w:t>
      </w:r>
      <w:r>
        <w:rPr>
          <w:rFonts w:hint="eastAsia" w:ascii="仿宋" w:hAnsi="仿宋" w:eastAsia="仿宋"/>
          <w:sz w:val="28"/>
          <w:szCs w:val="24"/>
        </w:rPr>
        <w:t>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sz w:val="28"/>
          <w:szCs w:val="24"/>
        </w:rPr>
        <w:t>年</w:t>
      </w:r>
      <w:r>
        <w:rPr>
          <w:rFonts w:hint="eastAsia" w:ascii="仿宋" w:hAnsi="仿宋" w:eastAsia="仿宋"/>
          <w:sz w:val="32"/>
          <w:szCs w:val="24"/>
        </w:rPr>
        <w:t>度规范了津贴补贴绩效工资等，基本支出有所减少</w:t>
      </w:r>
      <w:r>
        <w:rPr>
          <w:rFonts w:hint="eastAsia" w:ascii="仿宋" w:hAnsi="仿宋" w:eastAsia="仿宋"/>
          <w:sz w:val="32"/>
          <w:szCs w:val="24"/>
          <w:lang w:eastAsia="zh-CN"/>
        </w:rPr>
        <w:t>。</w:t>
      </w:r>
    </w:p>
    <w:p w14:paraId="5E8EFE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63D40A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4"/>
        </w:rPr>
        <w:t>项目支出</w:t>
      </w:r>
      <w:r>
        <w:rPr>
          <w:rFonts w:hint="eastAsia" w:ascii="仿宋" w:hAnsi="仿宋" w:eastAsia="仿宋"/>
          <w:sz w:val="28"/>
          <w:szCs w:val="24"/>
        </w:rPr>
        <w:t>342.9</w:t>
      </w:r>
      <w:r>
        <w:rPr>
          <w:rFonts w:hint="eastAsia" w:ascii="仿宋" w:hAnsi="仿宋" w:eastAsia="仿宋"/>
          <w:sz w:val="32"/>
          <w:szCs w:val="24"/>
        </w:rPr>
        <w:t>万元，比上年增加1.77万元，增长0.52</w:t>
      </w:r>
      <w:r>
        <w:rPr>
          <w:rFonts w:ascii="仿宋" w:hAnsi="仿宋" w:eastAsia="仿宋"/>
          <w:sz w:val="28"/>
          <w:szCs w:val="24"/>
        </w:rPr>
        <w:t>%</w:t>
      </w:r>
      <w:r>
        <w:rPr>
          <w:rFonts w:hint="eastAsia" w:ascii="仿宋" w:hAnsi="仿宋" w:eastAsia="仿宋"/>
          <w:sz w:val="32"/>
          <w:szCs w:val="24"/>
        </w:rPr>
        <w:t>；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" w:hAnsi="仿宋" w:eastAsia="仿宋"/>
          <w:sz w:val="32"/>
          <w:szCs w:val="24"/>
        </w:rPr>
        <w:t>全面推进乡村振兴战略，资金投入增加。</w:t>
      </w:r>
    </w:p>
    <w:p w14:paraId="4728894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005E8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eastAsia="zh-CN"/>
        </w:rPr>
        <w:t>政府性基金预算支出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44万元，其中用于其他社会公益事业的彩票公益金支出20万元，农村基础设施建设支出5万元，用于社会福利的彩票公益金支出19万元。</w:t>
      </w:r>
    </w:p>
    <w:p w14:paraId="47192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四、国有资本经营预算支出情况</w:t>
      </w:r>
    </w:p>
    <w:p w14:paraId="465C3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4"/>
          <w:lang w:val="zh-CN" w:eastAsia="zh-CN"/>
        </w:rPr>
      </w:pPr>
      <w:r>
        <w:rPr>
          <w:rFonts w:hint="eastAsia" w:ascii="仿宋" w:hAnsi="仿宋" w:eastAsia="仿宋"/>
          <w:sz w:val="32"/>
          <w:szCs w:val="24"/>
          <w:lang w:val="zh-CN" w:eastAsia="zh-CN"/>
        </w:rPr>
        <w:t>无</w:t>
      </w:r>
    </w:p>
    <w:p w14:paraId="0B40C23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180005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24"/>
          <w:lang w:val="zh-CN" w:eastAsia="zh-CN"/>
        </w:rPr>
      </w:pPr>
      <w:r>
        <w:rPr>
          <w:rFonts w:hint="eastAsia" w:ascii="仿宋" w:hAnsi="仿宋" w:eastAsia="仿宋"/>
          <w:sz w:val="32"/>
          <w:szCs w:val="24"/>
          <w:lang w:val="zh-CN" w:eastAsia="zh-CN"/>
        </w:rPr>
        <w:t>无</w:t>
      </w:r>
    </w:p>
    <w:p w14:paraId="4C920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637B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在过去一年里，紧紧围绕行业发展规划和部门职责，以预算资金管理为核心，全面优化资源配置，提高管理效能，强化履职能力，取得了显著的成效。</w:t>
      </w:r>
    </w:p>
    <w:p w14:paraId="433B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严格控制运行成本方面。通过精细化的预算管理，合理规划资金使用，实现了预算内支出的有效控制。同时，加强了对各项支出的监督和管理，避免了不必要的浪费，确保了资金的高效使用。在提升管理效率方面，采取了一系列措施。通过优化内部管理流程，提高了工作效率。加强了人员培训，提高业务素质和管理能力。在履职效能方面，积极履行职责，圆满完成了各项工作任务。通过加强与其他部门的协调合作，推动了业务工作的顺利开展。同时，注重工作创新，积极探索新的工作方法和思路。在履行职责的过程中，始终坚持依法依规办事，确保了工作的合法性和合规性。在履行职责的过程中，积极关注社会效应，努力为社会作出贡献。通过加强对外宣传和信息发布，提高了公众认知度和信任度。在发展过程中注重可持续发展能力的建设。通过加强培训，提高了队伍的整体素质和专业水平。始终将服务对象满意度作为工作的重要评价指标。通过加强与服务对象的沟通和交流，及时了解他们的需求和意见，并针对性地改进工作方法和服务质量。</w:t>
      </w:r>
    </w:p>
    <w:p w14:paraId="3874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项目库建设完善，涵盖所有计划实施项目，项目信息全面、准确、更新及时。部门整体支出年度绩效目标明确、具体、可衡量。项目支出绩效目标设置合理，与项目内容紧密相关，能够客观反映项目成果。对新增政策和项目支出进行事前绩效评估，评估结果作为预算安排的重要依据。对绩效目标和预算执行进度进行定期跟踪、分析，及时发现问题并采取措施解决。绩效管理结果得到及时、有效的应用，指导预算编制、项目执行和后续改进。绩效管理结果反馈机制健全，对绩效结果有明确的认知并采取相应的行动。</w:t>
      </w:r>
    </w:p>
    <w:p w14:paraId="50FB8CEB">
      <w:pPr>
        <w:pStyle w:val="3"/>
        <w:rPr>
          <w:rFonts w:hint="eastAsia"/>
        </w:rPr>
      </w:pPr>
    </w:p>
    <w:p w14:paraId="39149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3A2B980E">
      <w:pPr>
        <w:keepNext w:val="0"/>
        <w:keepLines w:val="0"/>
        <w:shd w:val="clear"/>
        <w:bidi w:val="0"/>
        <w:spacing w:before="0" w:after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在项目实施过程和资料的完善等方面还存在薄弱环节，实施项目后图片和佐证资料不齐，项目推进缓慢等，资金滞留。以及上级拨付资金较晚。</w:t>
      </w:r>
    </w:p>
    <w:p w14:paraId="25B9B16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29EAE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一、对照清单查漏补缺确保完善，对资料进行规范管理并归档整齐，督促各村加快施工进度；完善报账资料，规范财务开支行为重新对项目资金进行公示，接受群众监督。二、是严格执行上级相关文件精神、规范资料归档格式、明确责任分工确保相关资料符合程序规定；三是不断改进和完善资金的管理机制，规范财务审核支出操作流程，确保资金的安全，坚持资金跟着项目走，监管跟着资金走的原则，加强资金管理、使用合理化，规范化。</w:t>
      </w:r>
    </w:p>
    <w:p w14:paraId="6CF14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九、绩效自评结果拟应用和公开情况</w:t>
      </w:r>
    </w:p>
    <w:p w14:paraId="7A468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1.绩效自评结果应用</w:t>
      </w:r>
    </w:p>
    <w:p w14:paraId="1029BC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在工作过程中,根据自身的绩效自评结果,对比自己的设定目标和实际完成情况,及时调整工作重点和提高工作效率。同时根据绩效自评结果,制定个人发展计划，完善自身的职业技能，提升自身综合素质。</w:t>
      </w:r>
    </w:p>
    <w:p w14:paraId="42D3C4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val="en-US" w:eastAsia="zh-CN" w:bidi="ar-SA"/>
        </w:rPr>
        <w:t>2.</w:t>
      </w: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公开情况</w:t>
      </w:r>
    </w:p>
    <w:p w14:paraId="2BC468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绩效自评结果,根据工作性质和相关规定，向领导或同事进行公开。通过公开,可以接受他人的反馈和意见,帮助自己更好地认识自身的优势和不足,从而更好地调整工作方向和提升工作能力。</w:t>
      </w:r>
    </w:p>
    <w:p w14:paraId="2E720AD6">
      <w:pPr>
        <w:ind w:firstLine="643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、其他需要说明的情况</w:t>
      </w:r>
    </w:p>
    <w:p w14:paraId="21914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</w:pPr>
      <w:r>
        <w:rPr>
          <w:rFonts w:hint="eastAsia" w:ascii="宋体" w:hAnsi="宋体" w:eastAsia="宋体" w:cs="宋体"/>
          <w:spacing w:val="0"/>
          <w:w w:val="100"/>
          <w:kern w:val="2"/>
          <w:position w:val="0"/>
          <w:sz w:val="28"/>
          <w:szCs w:val="28"/>
          <w:shd w:val="clear"/>
          <w:lang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76086"/>
    <w:multiLevelType w:val="singleLevel"/>
    <w:tmpl w:val="804760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EE6F34"/>
    <w:multiLevelType w:val="singleLevel"/>
    <w:tmpl w:val="BDEE6F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4550F77"/>
    <w:multiLevelType w:val="singleLevel"/>
    <w:tmpl w:val="C4550F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642656"/>
    <w:multiLevelType w:val="singleLevel"/>
    <w:tmpl w:val="1264265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zk1OWI1Mzk2NGYwYjEwNmI3OTgzYmJmYjlkMDEifQ=="/>
  </w:docVars>
  <w:rsids>
    <w:rsidRoot w:val="00000000"/>
    <w:rsid w:val="18632D7C"/>
    <w:rsid w:val="5E234249"/>
    <w:rsid w:val="6592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880" w:firstLineChars="200"/>
    </w:pPr>
    <w:rPr>
      <w:rFonts w:ascii="Times New Roman" w:hAnsi="Times New Roman"/>
      <w:sz w:val="32"/>
    </w:rPr>
  </w:style>
  <w:style w:type="paragraph" w:styleId="3">
    <w:name w:val="toc 1"/>
    <w:basedOn w:val="1"/>
    <w:next w:val="1"/>
    <w:semiHidden/>
    <w:qFormat/>
    <w:uiPriority w:val="99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1736</Words>
  <Characters>1819</Characters>
  <Lines>0</Lines>
  <Paragraphs>0</Paragraphs>
  <TotalTime>181</TotalTime>
  <ScaleCrop>false</ScaleCrop>
  <LinksUpToDate>false</LinksUpToDate>
  <CharactersWithSpaces>1830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2024-06-26T01:13:00Z</dcterms:created>
  <dc:creator>Administrator</dc:creator>
  <cp:lastModifiedBy>糖果橙</cp:lastModifiedBy>
  <dcterms:modified xsi:type="dcterms:W3CDTF">2024-10-17T01:47:02Z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9CB15ABD7B8B45F3806F5AE954F22A49_13</vt:lpwstr>
  </property>
</Properties>
</file>