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32E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jc w:val="center"/>
        <w:textAlignment w:val="auto"/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  <w:lang w:val="en-US" w:eastAsia="zh-CN"/>
        </w:rPr>
      </w:pPr>
    </w:p>
    <w:p w14:paraId="0C4ECA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jc w:val="center"/>
        <w:textAlignment w:val="auto"/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  <w:lang w:val="en-US" w:eastAsia="zh-CN"/>
        </w:rPr>
      </w:pPr>
      <w:r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  <w:lang w:val="en-US" w:eastAsia="zh-CN"/>
        </w:rPr>
        <w:t>2023</w:t>
      </w:r>
      <w:r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</w:rPr>
        <w:t>年度安化县就业服务</w:t>
      </w:r>
      <w:r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  <w:lang w:val="en-US" w:eastAsia="zh-CN"/>
        </w:rPr>
        <w:t>中心</w:t>
      </w:r>
    </w:p>
    <w:p w14:paraId="5E216D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jc w:val="center"/>
        <w:textAlignment w:val="auto"/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</w:rPr>
      </w:pPr>
      <w:r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</w:rPr>
        <w:t>整体支出绩效自评报告</w:t>
      </w:r>
    </w:p>
    <w:p w14:paraId="29DA6C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一、部门(单位)基本情况</w:t>
      </w:r>
    </w:p>
    <w:p w14:paraId="4827F0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(一)2023年度重点工作</w:t>
      </w:r>
    </w:p>
    <w:p w14:paraId="02B80C68">
      <w:pPr>
        <w:pStyle w:val="6"/>
        <w:shd w:val="clear" w:color="auto" w:fill="FFFFFF"/>
        <w:spacing w:before="0" w:beforeAutospacing="0" w:after="0" w:afterAutospacing="0" w:line="594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  <w:lang w:val="en-US" w:eastAsia="zh-CN"/>
        </w:rPr>
        <w:t>1、保障全县劳动力就业服务工作，指导乡镇劳动保障业务工作；</w:t>
      </w:r>
    </w:p>
    <w:p w14:paraId="7A143AA8">
      <w:pPr>
        <w:pStyle w:val="6"/>
        <w:shd w:val="clear" w:color="auto" w:fill="FFFFFF"/>
        <w:spacing w:before="0" w:beforeAutospacing="0" w:after="0" w:afterAutospacing="0" w:line="594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  <w:lang w:val="en-US" w:eastAsia="zh-CN"/>
        </w:rPr>
        <w:t>2、保障全县失业保险工作管理和失业保险基金的征缴、支付、管理工作；</w:t>
      </w:r>
      <w:bookmarkStart w:id="0" w:name="_GoBack"/>
      <w:bookmarkEnd w:id="0"/>
    </w:p>
    <w:p w14:paraId="285145AF">
      <w:pPr>
        <w:pStyle w:val="6"/>
        <w:shd w:val="clear" w:color="auto" w:fill="FFFFFF"/>
        <w:spacing w:before="0" w:beforeAutospacing="0" w:after="0" w:afterAutospacing="0" w:line="594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  <w:lang w:val="en-US" w:eastAsia="zh-CN"/>
        </w:rPr>
        <w:t>3、保障全县小额担保贷款申请、审核等工作；</w:t>
      </w:r>
    </w:p>
    <w:p w14:paraId="2E8DF57F">
      <w:pPr>
        <w:pStyle w:val="6"/>
        <w:shd w:val="clear" w:color="auto" w:fill="FFFFFF"/>
        <w:spacing w:before="0" w:beforeAutospacing="0" w:after="0" w:afterAutospacing="0" w:line="594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  <w:lang w:val="en-US" w:eastAsia="zh-CN"/>
        </w:rPr>
        <w:t>4、保障城乡劳动力技能培训、劳动预备培训、创业培训和创业指导工作；</w:t>
      </w:r>
    </w:p>
    <w:p w14:paraId="262232FB">
      <w:pPr>
        <w:pStyle w:val="6"/>
        <w:shd w:val="clear" w:color="auto" w:fill="FFFFFF"/>
        <w:spacing w:before="0" w:beforeAutospacing="0" w:after="0" w:afterAutospacing="0" w:line="594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  <w:lang w:val="en-US" w:eastAsia="zh-CN"/>
        </w:rPr>
        <w:t>5、保障组织城镇社区就业工作的开展。</w:t>
      </w:r>
    </w:p>
    <w:p w14:paraId="472D772E">
      <w:pPr>
        <w:pStyle w:val="6"/>
        <w:shd w:val="clear" w:color="auto" w:fill="FFFFFF"/>
        <w:spacing w:before="0" w:beforeAutospacing="0" w:after="0" w:afterAutospacing="0" w:line="594" w:lineRule="exact"/>
        <w:ind w:firstLine="640" w:firstLineChars="200"/>
        <w:jc w:val="both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(二)部门整体支出规模、使用方向、主要内容和涉及范围</w:t>
      </w:r>
    </w:p>
    <w:p w14:paraId="11E8ABC6">
      <w:pPr>
        <w:pStyle w:val="6"/>
        <w:shd w:val="clear" w:color="auto" w:fill="FFFFFF"/>
        <w:spacing w:before="0" w:beforeAutospacing="0" w:after="0" w:afterAutospacing="0" w:line="594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  <w:lang w:val="en-US" w:eastAsia="zh-CN"/>
        </w:rPr>
        <w:t>2023年度整体支出总额247.39万元，其中财政拨款收入247.39万元，占总收入的100%。主要内容和涉及范围：人员经费包括基本工资、津贴补贴、奖金、其他社会保障缴费、退休费生活补助、住房公积金等；日常公用经费包括办公费、差旅费、培训费、公务接待费、劳务费、工会经费、福利费、公务用车运行维护费、其他交通费用、其他商品和服务支出等；项目支出主要包括其他对个人和家庭的补助支出、办公费、印刷费、邮电费、差旅费、维修（护）费、会议费、培训费、公务接待费、劳务费、委托业务费、公务用车运行维护费、其他交通费、其他商品和服务支出、办公设备购置。涉及人员经费、保障基本运转、开展各项专项业务工作、精准扶贫、党建所发生的全部支出。</w:t>
      </w:r>
    </w:p>
    <w:p w14:paraId="61FF4E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二、一般公共预算支出情况</w:t>
      </w:r>
    </w:p>
    <w:p w14:paraId="31D891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(一)基本支出情况</w:t>
      </w:r>
    </w:p>
    <w:p w14:paraId="365D4C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en-US" w:eastAsia="zh-CN" w:bidi="ar-SA"/>
        </w:rPr>
        <w:t>基本支出247.39万元，是为保障各部门正常运转、完成日常工作任务而发生的各项支出，主要包括工资福利支出207.25万元，商品和服务支出37.01万元，对个人和家庭支出3.12万元。</w:t>
      </w:r>
    </w:p>
    <w:p w14:paraId="67FA4F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en-US" w:eastAsia="zh-CN" w:bidi="ar-SA"/>
        </w:rPr>
        <w:t>“三公”经费支出情况：2023年，“三公”经费完成4.5万元，比上年减少1.52元，主要原因是：厉行节约严控公用经费</w:t>
      </w:r>
      <w:r>
        <w:rPr>
          <w:rFonts w:hint="eastAsia" w:ascii="仿宋" w:hAnsi="仿宋" w:eastAsia="仿宋"/>
          <w:sz w:val="32"/>
          <w:szCs w:val="24"/>
        </w:rPr>
        <w:t>，公务接待费有所减少，</w:t>
      </w:r>
      <w:r>
        <w:rPr>
          <w:rFonts w:hint="eastAsia" w:ascii="仿宋" w:hAnsi="仿宋" w:eastAsia="仿宋"/>
          <w:sz w:val="32"/>
          <w:szCs w:val="24"/>
          <w:lang w:eastAsia="zh-CN"/>
        </w:rPr>
        <w:t>无公车购置费，</w:t>
      </w:r>
      <w:r>
        <w:rPr>
          <w:rFonts w:hint="eastAsia" w:ascii="仿宋" w:hAnsi="仿宋" w:eastAsia="仿宋"/>
          <w:sz w:val="32"/>
          <w:szCs w:val="24"/>
        </w:rPr>
        <w:t>按照预算指标数列支公务用车运行维护费</w:t>
      </w:r>
      <w:r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zh-CN" w:eastAsia="zh-CN" w:bidi="ar-SA"/>
        </w:rPr>
        <w:t>。其中，公务接待费</w:t>
      </w:r>
      <w:r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en-US" w:eastAsia="zh-CN" w:bidi="ar-SA"/>
        </w:rPr>
        <w:t>完成4.5万元，比上年减少1.52万元；</w:t>
      </w:r>
      <w:r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zh-CN" w:eastAsia="zh-CN" w:bidi="ar-SA"/>
        </w:rPr>
        <w:t>公务用车购置及运行维护费</w:t>
      </w:r>
      <w:r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en-US" w:eastAsia="zh-CN" w:bidi="ar-SA"/>
        </w:rPr>
        <w:t>完成0万元，比上年减少0万元</w:t>
      </w:r>
      <w:r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zh-CN" w:eastAsia="zh-CN" w:bidi="ar-SA"/>
        </w:rPr>
        <w:t>。</w:t>
      </w:r>
    </w:p>
    <w:p w14:paraId="64FAD5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(二)项目支出情况</w:t>
      </w:r>
    </w:p>
    <w:p w14:paraId="237FFA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en-US" w:eastAsia="zh-CN" w:bidi="ar-SA"/>
        </w:rPr>
        <w:t>项目支出0万元，包含：</w:t>
      </w:r>
      <w:r>
        <w:rPr>
          <w:rFonts w:hint="eastAsia" w:ascii="仿宋_GB2312" w:eastAsia="仿宋_GB2312"/>
          <w:sz w:val="32"/>
          <w:szCs w:val="32"/>
          <w:lang w:eastAsia="zh-CN"/>
        </w:rPr>
        <w:t>业务工作</w:t>
      </w:r>
      <w:r>
        <w:rPr>
          <w:rFonts w:hint="eastAsia" w:ascii="仿宋_GB2312" w:eastAsia="仿宋_GB2312"/>
          <w:sz w:val="32"/>
          <w:szCs w:val="32"/>
        </w:rPr>
        <w:t>经费</w:t>
      </w:r>
      <w:r>
        <w:rPr>
          <w:rFonts w:hint="eastAsia" w:ascii="仿宋_GB2312" w:eastAsia="仿宋_GB2312"/>
          <w:sz w:val="32"/>
          <w:szCs w:val="32"/>
          <w:lang w:eastAsia="zh-CN"/>
        </w:rPr>
        <w:t>以及运行维护经费等。</w:t>
      </w:r>
    </w:p>
    <w:p w14:paraId="49841163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政府性基金预算支出情况</w:t>
      </w:r>
    </w:p>
    <w:p w14:paraId="384072CE">
      <w:pPr>
        <w:ind w:firstLine="640" w:firstLineChars="200"/>
        <w:rPr>
          <w:rFonts w:hint="default" w:eastAsia="仿宋_GB2312"/>
          <w:lang w:val="en-US" w:eastAsia="zh-CN"/>
        </w:rPr>
      </w:pPr>
      <w:r>
        <w:rPr>
          <w:color w:val="232323"/>
          <w:sz w:val="32"/>
          <w:szCs w:val="32"/>
          <w:shd w:val="clear" w:color="auto" w:fill="FFFFFF"/>
        </w:rPr>
        <w:t>2023</w:t>
      </w:r>
      <w:r>
        <w:rPr>
          <w:rFonts w:hint="eastAsia" w:ascii="仿宋_GB2312" w:eastAsia="仿宋_GB2312" w:cs="仿宋_GB2312"/>
          <w:color w:val="232323"/>
          <w:sz w:val="32"/>
          <w:szCs w:val="32"/>
          <w:shd w:val="clear" w:color="auto" w:fill="FFFFFF"/>
        </w:rPr>
        <w:t>年本部门政府性基金支出预算</w:t>
      </w:r>
      <w:r>
        <w:rPr>
          <w:rFonts w:hint="eastAsia" w:eastAsia="仿宋_GB2312"/>
          <w:color w:val="23232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eastAsia="仿宋_GB2312" w:cs="仿宋_GB2312"/>
          <w:color w:val="232323"/>
          <w:sz w:val="32"/>
          <w:szCs w:val="32"/>
          <w:shd w:val="clear" w:color="auto" w:fill="FFFFFF"/>
        </w:rPr>
        <w:t>万元</w:t>
      </w:r>
      <w:r>
        <w:rPr>
          <w:rFonts w:hint="eastAsia" w:ascii="仿宋_GB2312" w:hAnsi="宋体" w:eastAsia="仿宋_GB2312" w:cs="仿宋_GB2312"/>
          <w:color w:val="232323"/>
          <w:sz w:val="32"/>
          <w:szCs w:val="32"/>
          <w:shd w:val="clear" w:color="auto" w:fill="FFFFFF"/>
        </w:rPr>
        <w:t>。</w:t>
      </w:r>
    </w:p>
    <w:p w14:paraId="2DD9319F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国有资本经营预算支出情况</w:t>
      </w:r>
    </w:p>
    <w:p w14:paraId="61B8984D">
      <w:pPr>
        <w:pStyle w:val="7"/>
        <w:ind w:left="420" w:leftChars="200" w:firstLine="0" w:firstLineChars="0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color w:val="232323"/>
          <w:shd w:val="clear" w:color="auto" w:fill="FFFFFF"/>
        </w:rPr>
        <w:t>2023</w:t>
      </w:r>
      <w:r>
        <w:rPr>
          <w:rFonts w:hint="eastAsia" w:ascii="仿宋_GB2312" w:eastAsia="仿宋_GB2312" w:cs="仿宋_GB2312"/>
          <w:color w:val="232323"/>
          <w:shd w:val="clear" w:color="auto" w:fill="FFFFFF"/>
        </w:rPr>
        <w:t>年</w:t>
      </w:r>
      <w:r>
        <w:rPr>
          <w:rFonts w:hint="eastAsia" w:ascii="仿宋_GB2312" w:hAnsi="宋体" w:eastAsia="仿宋_GB2312" w:cs="仿宋_GB2312"/>
          <w:color w:val="232323"/>
          <w:shd w:val="clear" w:color="auto" w:fill="FFFFFF"/>
        </w:rPr>
        <w:t>本部门无国有资本经营预算的支出。</w:t>
      </w:r>
    </w:p>
    <w:p w14:paraId="316D5AA3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社会保险基金预算支出情况</w:t>
      </w:r>
    </w:p>
    <w:p w14:paraId="0F95BC62">
      <w:pPr>
        <w:pStyle w:val="7"/>
        <w:ind w:left="420" w:leftChars="200" w:firstLine="0" w:firstLineChars="0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color w:val="232323"/>
          <w:shd w:val="clear" w:color="auto" w:fill="FFFFFF"/>
        </w:rPr>
        <w:t>2023</w:t>
      </w:r>
      <w:r>
        <w:rPr>
          <w:rFonts w:hint="eastAsia" w:ascii="仿宋_GB2312" w:eastAsia="仿宋_GB2312" w:cs="仿宋_GB2312"/>
          <w:color w:val="232323"/>
          <w:shd w:val="clear" w:color="auto" w:fill="FFFFFF"/>
        </w:rPr>
        <w:t>年</w:t>
      </w:r>
      <w:r>
        <w:rPr>
          <w:rFonts w:hint="eastAsia" w:ascii="仿宋_GB2312" w:hAnsi="宋体" w:eastAsia="仿宋_GB2312" w:cs="仿宋_GB2312"/>
          <w:color w:val="232323"/>
          <w:shd w:val="clear" w:color="auto" w:fill="FFFFFF"/>
        </w:rPr>
        <w:t>本部门无社会保险基金预算的支出。</w:t>
      </w:r>
    </w:p>
    <w:p w14:paraId="5B2E60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六、部门整体支出绩效情况</w:t>
      </w:r>
    </w:p>
    <w:p w14:paraId="5DF71A3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640" w:firstLineChars="200"/>
        <w:jc w:val="left"/>
        <w:textAlignment w:val="center"/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2023年度支出总额247.39万元，其中基本支出247.39万元，基本支出保障了单位正常运转的日常支出，包括基本工资、津贴补贴等人员经费以及办公费、水电费、差旅费等日常公用经费；项目支出金额</w:t>
      </w:r>
      <w:r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en-US" w:eastAsia="zh-CN" w:bidi="ar-SA"/>
        </w:rPr>
        <w:t>0</w:t>
      </w: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万元。</w:t>
      </w:r>
    </w:p>
    <w:p w14:paraId="608754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七、存在的问题及原因分析</w:t>
      </w:r>
    </w:p>
    <w:p w14:paraId="37788FBF">
      <w:pPr>
        <w:keepNext w:val="0"/>
        <w:keepLines w:val="0"/>
        <w:widowControl/>
        <w:suppressLineNumbers w:val="0"/>
        <w:ind w:firstLine="640" w:firstLineChars="200"/>
        <w:jc w:val="left"/>
        <w:rPr>
          <w:kern w:val="0"/>
          <w:szCs w:val="32"/>
        </w:rPr>
      </w:pPr>
      <w:r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  <w:t>部门预算的人员经费和公用经费不足。单位日常运转的刚性支出大，现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有的部门预算资金不能满足日益增长的工作需要。</w:t>
      </w:r>
    </w:p>
    <w:p w14:paraId="5866E593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下一步改进措施</w:t>
      </w:r>
    </w:p>
    <w:p w14:paraId="05C4FCB0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  <w:t>对存在的问题提出切实可行的改进措施和有关建议等。</w:t>
      </w:r>
    </w:p>
    <w:p w14:paraId="481D71B8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1、加强财务管理，严格财务审核。</w:t>
      </w:r>
    </w:p>
    <w:p w14:paraId="0377B329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2、对相关人员加强培训，切实提高</w:t>
      </w:r>
      <w:r>
        <w:rPr>
          <w:rFonts w:hint="eastAsia" w:ascii="仿宋_GB2312" w:hAnsi="仿宋" w:cs="Times New Roman"/>
          <w:sz w:val="32"/>
          <w:szCs w:val="32"/>
          <w:lang w:val="en-US" w:eastAsia="zh-CN"/>
        </w:rPr>
        <w:t>财务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人员业务水平。</w:t>
      </w:r>
    </w:p>
    <w:p w14:paraId="3F4E9ED4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绩效自评结果拟应用和公开情况</w:t>
      </w:r>
    </w:p>
    <w:p w14:paraId="47BD934C">
      <w:pPr>
        <w:pStyle w:val="2"/>
        <w:numPr>
          <w:ilvl w:val="0"/>
          <w:numId w:val="0"/>
        </w:numPr>
        <w:ind w:leftChars="200"/>
        <w:rPr>
          <w:rFonts w:hint="eastAsia" w:eastAsia="宋体"/>
          <w:lang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 w:bidi="ar-SA"/>
        </w:rPr>
        <w:t>暂未公开。</w:t>
      </w:r>
    </w:p>
    <w:p w14:paraId="19727221">
      <w:pPr>
        <w:numPr>
          <w:ilvl w:val="0"/>
          <w:numId w:val="2"/>
        </w:numPr>
        <w:ind w:left="0" w:leftChars="0" w:firstLine="640" w:firstLineChars="200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其他需要说明的情况</w:t>
      </w:r>
    </w:p>
    <w:p w14:paraId="5434546A">
      <w:pPr>
        <w:numPr>
          <w:ilvl w:val="0"/>
          <w:numId w:val="0"/>
        </w:numPr>
        <w:ind w:leftChars="200"/>
      </w:pPr>
      <w:r>
        <w:rPr>
          <w:rFonts w:hint="eastAsia" w:eastAsia="仿宋_GB2312" w:cs="Times New Roman"/>
          <w:kern w:val="0"/>
          <w:sz w:val="32"/>
          <w:szCs w:val="32"/>
          <w:lang w:val="en-US" w:eastAsia="zh-CN" w:bidi="ar-SA"/>
        </w:rPr>
        <w:t>无。</w:t>
      </w:r>
      <w:r>
        <w:rPr>
          <w:rFonts w:eastAsia="Times New Roman"/>
          <w:kern w:val="0"/>
          <w:sz w:val="2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F4109C"/>
    <w:multiLevelType w:val="singleLevel"/>
    <w:tmpl w:val="0DF4109C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F4048D7"/>
    <w:multiLevelType w:val="singleLevel"/>
    <w:tmpl w:val="7F4048D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0MDMxNzkzZTE3NTYzZDYyYTc0NWUzMzE4MDZiMGEifQ=="/>
  </w:docVars>
  <w:rsids>
    <w:rsidRoot w:val="6D445020"/>
    <w:rsid w:val="029228E1"/>
    <w:rsid w:val="074B01AA"/>
    <w:rsid w:val="0E9631A5"/>
    <w:rsid w:val="14FF1319"/>
    <w:rsid w:val="257D691C"/>
    <w:rsid w:val="33357B76"/>
    <w:rsid w:val="42F63092"/>
    <w:rsid w:val="53246BC3"/>
    <w:rsid w:val="541E597E"/>
    <w:rsid w:val="583F1F42"/>
    <w:rsid w:val="64B56C4A"/>
    <w:rsid w:val="6D445020"/>
    <w:rsid w:val="720A579D"/>
    <w:rsid w:val="7E4C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rPr>
      <w:rFonts w:ascii="Times New Roman" w:hAnsi="Times New Roman"/>
    </w:rPr>
  </w:style>
  <w:style w:type="paragraph" w:styleId="3">
    <w:name w:val="Body Text Indent"/>
    <w:basedOn w:val="1"/>
    <w:autoRedefine/>
    <w:qFormat/>
    <w:uiPriority w:val="99"/>
    <w:pPr>
      <w:ind w:firstLine="640" w:firstLineChars="200"/>
    </w:pPr>
    <w:rPr>
      <w:sz w:val="32"/>
      <w:szCs w:val="32"/>
    </w:rPr>
  </w:style>
  <w:style w:type="paragraph" w:styleId="4">
    <w:name w:val="toc 5"/>
    <w:basedOn w:val="1"/>
    <w:next w:val="1"/>
    <w:autoRedefine/>
    <w:unhideWhenUsed/>
    <w:qFormat/>
    <w:uiPriority w:val="39"/>
    <w:pPr>
      <w:ind w:left="1680" w:leftChars="800"/>
    </w:pPr>
    <w:rPr>
      <w:rFonts w:ascii="等线" w:hAnsi="等线" w:eastAsia="等线" w:cs="Times New Roman"/>
      <w:szCs w:val="22"/>
    </w:rPr>
  </w:style>
  <w:style w:type="paragraph" w:styleId="5">
    <w:name w:val="toc 1"/>
    <w:basedOn w:val="1"/>
    <w:next w:val="1"/>
    <w:autoRedefine/>
    <w:unhideWhenUsed/>
    <w:qFormat/>
    <w:uiPriority w:val="99"/>
    <w:pPr>
      <w:spacing w:beforeLines="0" w:afterLines="0"/>
    </w:pPr>
    <w:rPr>
      <w:rFonts w:hint="default"/>
      <w:sz w:val="21"/>
      <w:szCs w:val="24"/>
    </w:rPr>
  </w:style>
  <w:style w:type="paragraph" w:styleId="6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Body Text First Indent 2"/>
    <w:basedOn w:val="3"/>
    <w:qFormat/>
    <w:uiPriority w:val="99"/>
    <w:pPr>
      <w:ind w:firstLine="420"/>
    </w:pPr>
  </w:style>
  <w:style w:type="character" w:styleId="10">
    <w:name w:val="Strong"/>
    <w:basedOn w:val="9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1161</Words>
  <Characters>1244</Characters>
  <Lines>0</Lines>
  <Paragraphs>0</Paragraphs>
  <TotalTime>12</TotalTime>
  <ScaleCrop>false</ScaleCrop>
  <LinksUpToDate>false</LinksUpToDate>
  <CharactersWithSpaces>1263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2024-06-17T10:01:00Z</dcterms:created>
  <dc:creator>啊斌</dc:creator>
  <cp:lastModifiedBy>Deer</cp:lastModifiedBy>
  <dcterms:modified xsi:type="dcterms:W3CDTF">2024-10-18T07:31:30Z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0460A9850ACA406FAC9150BB5B435EFC_13</vt:lpwstr>
  </property>
</Properties>
</file>