
<file path=[Content_Types].xml><?xml version="1.0" encoding="utf-8"?>
<Types xmlns="http://schemas.openxmlformats.org/package/2006/content-types">
  <Default Extension="xml" ContentType="application/xml"/>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embeddings/Microsoft_Visio___4.vsdx" ContentType="application/vnd.ms-visio.drawing"/>
  <Override PartName="/word/embeddings/Microsoft_Visio___5.vsdx" ContentType="application/vnd.ms-visio.drawing"/>
  <Override PartName="/word/embeddings/Microsoft_Visio___6.vsdx" ContentType="application/vnd.ms-visio.drawing"/>
  <Override PartName="/word/embeddings/Microsoft_Visio___7.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2C3A5E">
      <w:pPr>
        <w:spacing w:line="360" w:lineRule="auto"/>
        <w:jc w:val="center"/>
        <w:rPr>
          <w:rFonts w:hint="eastAsia"/>
          <w:color w:val="FF0000"/>
          <w:sz w:val="24"/>
          <w:szCs w:val="24"/>
        </w:rPr>
      </w:pPr>
      <w:bookmarkStart w:id="0" w:name="_Hlk118120180"/>
    </w:p>
    <w:p w14:paraId="1E5D2C99">
      <w:pPr>
        <w:spacing w:line="360" w:lineRule="auto"/>
        <w:jc w:val="center"/>
        <w:rPr>
          <w:color w:val="FF0000"/>
          <w:sz w:val="24"/>
          <w:szCs w:val="24"/>
        </w:rPr>
      </w:pPr>
      <w:r>
        <w:rPr>
          <w:rFonts w:hint="eastAsia"/>
          <w:color w:val="FF0000"/>
          <w:sz w:val="24"/>
          <w:szCs w:val="24"/>
        </w:rPr>
        <w:t xml:space="preserve"> </w:t>
      </w:r>
    </w:p>
    <w:p w14:paraId="78748B46">
      <w:pPr>
        <w:spacing w:line="360" w:lineRule="auto"/>
        <w:jc w:val="center"/>
        <w:rPr>
          <w:color w:val="FF0000"/>
          <w:sz w:val="24"/>
          <w:szCs w:val="24"/>
        </w:rPr>
      </w:pPr>
    </w:p>
    <w:p w14:paraId="37C68F60">
      <w:pPr>
        <w:spacing w:line="360" w:lineRule="auto"/>
        <w:jc w:val="center"/>
        <w:rPr>
          <w:color w:val="FF0000"/>
          <w:sz w:val="24"/>
          <w:szCs w:val="24"/>
        </w:rPr>
      </w:pPr>
    </w:p>
    <w:p w14:paraId="2483F213">
      <w:pPr>
        <w:jc w:val="center"/>
        <w:rPr>
          <w:rFonts w:ascii="楷体" w:hAnsi="楷体" w:eastAsia="楷体"/>
          <w:bCs/>
          <w:color w:val="000000"/>
          <w:sz w:val="72"/>
          <w:szCs w:val="72"/>
        </w:rPr>
      </w:pPr>
      <w:r>
        <w:rPr>
          <w:rFonts w:ascii="楷体" w:hAnsi="楷体" w:eastAsia="楷体"/>
          <w:bCs/>
          <w:color w:val="000000"/>
          <w:sz w:val="72"/>
          <w:szCs w:val="72"/>
        </w:rPr>
        <w:t>建设项目环境影响报告表</w:t>
      </w:r>
    </w:p>
    <w:p w14:paraId="4B6A98E9">
      <w:pPr>
        <w:spacing w:before="192" w:beforeLines="80"/>
        <w:jc w:val="center"/>
        <w:rPr>
          <w:rFonts w:ascii="楷体" w:hAnsi="楷体" w:eastAsia="楷体"/>
          <w:bCs/>
          <w:color w:val="000000"/>
          <w:sz w:val="48"/>
          <w:szCs w:val="48"/>
        </w:rPr>
      </w:pPr>
      <w:r>
        <w:rPr>
          <w:rFonts w:ascii="楷体" w:hAnsi="楷体" w:eastAsia="楷体"/>
          <w:bCs/>
          <w:color w:val="000000"/>
          <w:sz w:val="48"/>
          <w:szCs w:val="48"/>
        </w:rPr>
        <w:t>（污染影响类）</w:t>
      </w:r>
    </w:p>
    <w:p w14:paraId="6E5BE086">
      <w:pPr>
        <w:spacing w:line="360" w:lineRule="auto"/>
        <w:jc w:val="center"/>
        <w:rPr>
          <w:color w:val="000000"/>
          <w:sz w:val="24"/>
          <w:szCs w:val="24"/>
        </w:rPr>
      </w:pPr>
    </w:p>
    <w:p w14:paraId="0CBDC270">
      <w:pPr>
        <w:spacing w:line="360" w:lineRule="auto"/>
        <w:jc w:val="center"/>
        <w:rPr>
          <w:color w:val="FF0000"/>
          <w:sz w:val="24"/>
          <w:szCs w:val="24"/>
        </w:rPr>
      </w:pPr>
    </w:p>
    <w:p w14:paraId="74BA24B5">
      <w:pPr>
        <w:spacing w:line="360" w:lineRule="auto"/>
        <w:jc w:val="center"/>
        <w:rPr>
          <w:color w:val="FF0000"/>
          <w:sz w:val="24"/>
          <w:szCs w:val="24"/>
        </w:rPr>
      </w:pPr>
    </w:p>
    <w:p w14:paraId="230B2E4E">
      <w:pPr>
        <w:spacing w:line="360" w:lineRule="auto"/>
        <w:jc w:val="center"/>
        <w:rPr>
          <w:color w:val="FF0000"/>
          <w:sz w:val="24"/>
          <w:szCs w:val="24"/>
        </w:rPr>
      </w:pPr>
    </w:p>
    <w:p w14:paraId="77405EFD">
      <w:pPr>
        <w:spacing w:line="360" w:lineRule="auto"/>
        <w:jc w:val="center"/>
        <w:rPr>
          <w:color w:val="FF0000"/>
          <w:sz w:val="24"/>
          <w:szCs w:val="24"/>
        </w:rPr>
      </w:pPr>
    </w:p>
    <w:p w14:paraId="1C6AA414">
      <w:pPr>
        <w:spacing w:line="360" w:lineRule="auto"/>
        <w:jc w:val="center"/>
        <w:rPr>
          <w:color w:val="FF0000"/>
          <w:sz w:val="24"/>
          <w:szCs w:val="24"/>
        </w:rPr>
      </w:pPr>
    </w:p>
    <w:p w14:paraId="16EFAE65">
      <w:pPr>
        <w:spacing w:line="360" w:lineRule="auto"/>
        <w:jc w:val="center"/>
        <w:rPr>
          <w:color w:val="FF0000"/>
          <w:sz w:val="24"/>
          <w:szCs w:val="24"/>
        </w:rPr>
      </w:pPr>
    </w:p>
    <w:p w14:paraId="3DC29BC0">
      <w:pPr>
        <w:spacing w:line="360" w:lineRule="auto"/>
        <w:jc w:val="center"/>
        <w:rPr>
          <w:color w:val="FF0000"/>
          <w:sz w:val="24"/>
          <w:szCs w:val="24"/>
        </w:rPr>
      </w:pPr>
    </w:p>
    <w:p w14:paraId="6300E6F8">
      <w:pPr>
        <w:spacing w:line="360" w:lineRule="auto"/>
        <w:jc w:val="center"/>
        <w:rPr>
          <w:color w:val="FF0000"/>
          <w:sz w:val="24"/>
          <w:szCs w:val="24"/>
        </w:rPr>
      </w:pPr>
    </w:p>
    <w:p w14:paraId="2AC3CFE2">
      <w:pPr>
        <w:spacing w:line="360" w:lineRule="auto"/>
        <w:jc w:val="center"/>
        <w:rPr>
          <w:color w:val="FF0000"/>
          <w:sz w:val="24"/>
          <w:szCs w:val="24"/>
        </w:rPr>
      </w:pPr>
    </w:p>
    <w:p w14:paraId="2C62AA12">
      <w:pPr>
        <w:spacing w:line="360" w:lineRule="auto"/>
        <w:jc w:val="center"/>
        <w:rPr>
          <w:color w:val="FF0000"/>
          <w:sz w:val="24"/>
          <w:szCs w:val="24"/>
        </w:rPr>
      </w:pPr>
    </w:p>
    <w:p w14:paraId="162DA8B8">
      <w:pPr>
        <w:spacing w:line="360" w:lineRule="auto"/>
        <w:jc w:val="center"/>
        <w:rPr>
          <w:color w:val="FF0000"/>
          <w:sz w:val="24"/>
          <w:szCs w:val="24"/>
        </w:rPr>
      </w:pPr>
    </w:p>
    <w:p w14:paraId="2CA3EDA6">
      <w:pPr>
        <w:spacing w:line="360" w:lineRule="auto"/>
        <w:jc w:val="center"/>
        <w:rPr>
          <w:color w:val="FF0000"/>
          <w:sz w:val="24"/>
          <w:szCs w:val="24"/>
        </w:rPr>
      </w:pPr>
    </w:p>
    <w:p w14:paraId="1B9CEE7C">
      <w:pPr>
        <w:spacing w:line="360" w:lineRule="auto"/>
        <w:jc w:val="center"/>
        <w:rPr>
          <w:color w:val="FF0000"/>
          <w:sz w:val="24"/>
          <w:szCs w:val="24"/>
        </w:rPr>
      </w:pPr>
    </w:p>
    <w:p w14:paraId="7DD0E8C2">
      <w:pPr>
        <w:spacing w:line="360" w:lineRule="auto"/>
        <w:jc w:val="center"/>
        <w:rPr>
          <w:color w:val="FF0000"/>
          <w:sz w:val="24"/>
          <w:szCs w:val="24"/>
        </w:rPr>
      </w:pPr>
    </w:p>
    <w:p w14:paraId="124B00C5">
      <w:pPr>
        <w:spacing w:line="360" w:lineRule="auto"/>
        <w:rPr>
          <w:color w:val="000000"/>
          <w:sz w:val="32"/>
          <w:szCs w:val="32"/>
          <w:u w:val="single"/>
        </w:rPr>
      </w:pPr>
      <w:r>
        <w:rPr>
          <w:color w:val="000000"/>
          <w:sz w:val="32"/>
          <w:szCs w:val="32"/>
        </w:rPr>
        <w:t>项目名称：</w:t>
      </w:r>
      <w:r>
        <w:rPr>
          <w:color w:val="000000"/>
          <w:sz w:val="32"/>
          <w:szCs w:val="32"/>
          <w:u w:val="single"/>
        </w:rPr>
        <w:t xml:space="preserve">  </w:t>
      </w:r>
      <w:r>
        <w:rPr>
          <w:rFonts w:hint="eastAsia"/>
          <w:color w:val="000000"/>
          <w:sz w:val="32"/>
          <w:szCs w:val="32"/>
          <w:u w:val="single"/>
        </w:rPr>
        <w:t xml:space="preserve"> 年产12000吨肉类卤制品和3500吨非即食性生制食品项目</w:t>
      </w:r>
      <w:r>
        <w:rPr>
          <w:color w:val="000000"/>
          <w:sz w:val="32"/>
          <w:szCs w:val="32"/>
          <w:u w:val="single"/>
        </w:rPr>
        <w:t xml:space="preserve">       </w:t>
      </w:r>
      <w:r>
        <w:rPr>
          <w:rFonts w:hint="eastAsia"/>
          <w:color w:val="000000"/>
          <w:sz w:val="32"/>
          <w:szCs w:val="32"/>
          <w:u w:val="single"/>
        </w:rPr>
        <w:t xml:space="preserve">                                     </w:t>
      </w:r>
      <w:r>
        <w:rPr>
          <w:color w:val="000000"/>
          <w:sz w:val="32"/>
          <w:szCs w:val="32"/>
          <w:u w:val="single"/>
        </w:rPr>
        <w:t xml:space="preserve">    </w:t>
      </w:r>
    </w:p>
    <w:p w14:paraId="4AC80278">
      <w:pPr>
        <w:spacing w:line="360" w:lineRule="auto"/>
        <w:rPr>
          <w:color w:val="000000"/>
          <w:sz w:val="32"/>
          <w:szCs w:val="32"/>
          <w:u w:val="single"/>
        </w:rPr>
      </w:pPr>
      <w:r>
        <w:rPr>
          <w:color w:val="000000"/>
          <w:sz w:val="32"/>
          <w:szCs w:val="32"/>
        </w:rPr>
        <w:t>建设单位（盖章）：</w:t>
      </w:r>
      <w:bookmarkStart w:id="1" w:name="_Hlk71905516"/>
      <w:r>
        <w:rPr>
          <w:color w:val="000000"/>
          <w:sz w:val="32"/>
          <w:szCs w:val="32"/>
          <w:u w:val="single"/>
        </w:rPr>
        <w:t xml:space="preserve">         </w:t>
      </w:r>
      <w:bookmarkEnd w:id="1"/>
      <w:r>
        <w:rPr>
          <w:rFonts w:hint="eastAsia"/>
          <w:color w:val="000000"/>
          <w:sz w:val="32"/>
          <w:szCs w:val="32"/>
          <w:u w:val="single"/>
        </w:rPr>
        <w:t>安化卤师兄食品有限</w:t>
      </w:r>
      <w:r>
        <w:rPr>
          <w:color w:val="000000"/>
          <w:sz w:val="32"/>
          <w:szCs w:val="32"/>
          <w:u w:val="single"/>
        </w:rPr>
        <w:t xml:space="preserve">公司         </w:t>
      </w:r>
    </w:p>
    <w:p w14:paraId="67730FAB">
      <w:pPr>
        <w:spacing w:line="360" w:lineRule="auto"/>
        <w:rPr>
          <w:rFonts w:ascii="黑体" w:hAnsi="黑体" w:eastAsia="黑体"/>
          <w:color w:val="FF0000"/>
          <w:sz w:val="32"/>
          <w:szCs w:val="32"/>
          <w:u w:val="single"/>
        </w:rPr>
      </w:pPr>
      <w:r>
        <w:rPr>
          <w:color w:val="000000"/>
          <w:sz w:val="32"/>
          <w:szCs w:val="32"/>
        </w:rPr>
        <w:t>编制日期：</w:t>
      </w:r>
      <w:r>
        <w:rPr>
          <w:color w:val="000000"/>
          <w:sz w:val="32"/>
          <w:szCs w:val="32"/>
          <w:u w:val="single"/>
        </w:rPr>
        <w:t xml:space="preserve">                   2025年1月                 </w:t>
      </w:r>
    </w:p>
    <w:p w14:paraId="55CBEC93">
      <w:pPr>
        <w:adjustRightInd w:val="0"/>
        <w:snapToGrid w:val="0"/>
        <w:spacing w:line="360" w:lineRule="auto"/>
        <w:jc w:val="center"/>
        <w:rPr>
          <w:color w:val="FF0000"/>
          <w:sz w:val="24"/>
          <w:szCs w:val="24"/>
        </w:rPr>
      </w:pPr>
    </w:p>
    <w:p w14:paraId="43CCFA0C">
      <w:pPr>
        <w:adjustRightInd w:val="0"/>
        <w:snapToGrid w:val="0"/>
        <w:spacing w:line="360" w:lineRule="auto"/>
        <w:jc w:val="center"/>
        <w:rPr>
          <w:color w:val="FF0000"/>
          <w:sz w:val="24"/>
          <w:szCs w:val="24"/>
        </w:rPr>
      </w:pPr>
    </w:p>
    <w:p w14:paraId="1A9CD1B0">
      <w:pPr>
        <w:adjustRightInd w:val="0"/>
        <w:snapToGrid w:val="0"/>
        <w:spacing w:line="360" w:lineRule="auto"/>
        <w:jc w:val="center"/>
        <w:rPr>
          <w:color w:val="000000"/>
          <w:sz w:val="36"/>
          <w:szCs w:val="36"/>
        </w:rPr>
      </w:pPr>
      <w:r>
        <w:rPr>
          <w:color w:val="000000"/>
          <w:sz w:val="36"/>
          <w:szCs w:val="36"/>
        </w:rPr>
        <w:t>中华人民共和国生态环境部制</w:t>
      </w:r>
    </w:p>
    <w:p w14:paraId="79106F8E">
      <w:pPr>
        <w:pStyle w:val="113"/>
        <w:spacing w:before="0" w:line="360" w:lineRule="auto"/>
        <w:jc w:val="center"/>
        <w:rPr>
          <w:rFonts w:ascii="Times New Roman" w:hAnsi="Times New Roman"/>
          <w:b/>
          <w:bCs/>
          <w:color w:val="000000"/>
          <w:sz w:val="28"/>
          <w:szCs w:val="28"/>
        </w:rPr>
      </w:pPr>
      <w:r>
        <w:rPr>
          <w:rFonts w:ascii="Times New Roman" w:hAnsi="Times New Roman"/>
          <w:b/>
          <w:bCs/>
          <w:color w:val="000000"/>
          <w:sz w:val="28"/>
          <w:szCs w:val="28"/>
          <w:lang w:val="zh-CN"/>
        </w:rPr>
        <w:t>目录</w:t>
      </w:r>
    </w:p>
    <w:p w14:paraId="4FB24F02">
      <w:pPr>
        <w:pStyle w:val="18"/>
        <w:tabs>
          <w:tab w:val="right" w:leader="dot" w:pos="9016"/>
        </w:tabs>
        <w:spacing w:line="360" w:lineRule="auto"/>
        <w:rPr>
          <w:b/>
          <w:bCs/>
          <w:sz w:val="24"/>
          <w:szCs w:val="24"/>
        </w:rPr>
      </w:pPr>
      <w:r>
        <w:rPr>
          <w:b/>
          <w:bCs/>
          <w:sz w:val="24"/>
          <w:szCs w:val="24"/>
        </w:rPr>
        <w:fldChar w:fldCharType="begin"/>
      </w:r>
      <w:r>
        <w:rPr>
          <w:b/>
          <w:bCs/>
          <w:sz w:val="24"/>
          <w:szCs w:val="24"/>
        </w:rPr>
        <w:instrText xml:space="preserve"> TOC \o "1-3" \h \z \u </w:instrText>
      </w:r>
      <w:r>
        <w:rPr>
          <w:b/>
          <w:bCs/>
          <w:sz w:val="24"/>
          <w:szCs w:val="24"/>
        </w:rPr>
        <w:fldChar w:fldCharType="separate"/>
      </w:r>
      <w:r>
        <w:fldChar w:fldCharType="begin"/>
      </w:r>
      <w:r>
        <w:instrText xml:space="preserve"> HYPERLINK \l "_Toc135403213" </w:instrText>
      </w:r>
      <w:r>
        <w:fldChar w:fldCharType="separate"/>
      </w:r>
      <w:r>
        <w:rPr>
          <w:rStyle w:val="27"/>
          <w:b/>
          <w:bCs/>
          <w:snapToGrid w:val="0"/>
          <w:sz w:val="24"/>
          <w:szCs w:val="24"/>
        </w:rPr>
        <w:t>一、建设项目基本情况</w:t>
      </w:r>
      <w:r>
        <w:rPr>
          <w:b/>
          <w:bCs/>
          <w:sz w:val="24"/>
          <w:szCs w:val="24"/>
        </w:rPr>
        <w:tab/>
      </w:r>
      <w:r>
        <w:rPr>
          <w:b/>
          <w:bCs/>
          <w:sz w:val="24"/>
          <w:szCs w:val="24"/>
        </w:rPr>
        <w:fldChar w:fldCharType="begin"/>
      </w:r>
      <w:r>
        <w:rPr>
          <w:b/>
          <w:bCs/>
          <w:sz w:val="24"/>
          <w:szCs w:val="24"/>
        </w:rPr>
        <w:instrText xml:space="preserve"> PAGEREF _Toc135403213 \h </w:instrText>
      </w:r>
      <w:r>
        <w:rPr>
          <w:b/>
          <w:bCs/>
          <w:sz w:val="24"/>
          <w:szCs w:val="24"/>
        </w:rPr>
        <w:fldChar w:fldCharType="separate"/>
      </w:r>
      <w:r>
        <w:rPr>
          <w:b/>
          <w:bCs/>
          <w:sz w:val="24"/>
          <w:szCs w:val="24"/>
        </w:rPr>
        <w:t>1</w:t>
      </w:r>
      <w:r>
        <w:rPr>
          <w:b/>
          <w:bCs/>
          <w:sz w:val="24"/>
          <w:szCs w:val="24"/>
        </w:rPr>
        <w:fldChar w:fldCharType="end"/>
      </w:r>
      <w:r>
        <w:rPr>
          <w:b/>
          <w:bCs/>
          <w:sz w:val="24"/>
          <w:szCs w:val="24"/>
        </w:rPr>
        <w:fldChar w:fldCharType="end"/>
      </w:r>
    </w:p>
    <w:p w14:paraId="0DD86EAE">
      <w:pPr>
        <w:pStyle w:val="18"/>
        <w:tabs>
          <w:tab w:val="right" w:leader="dot" w:pos="9016"/>
        </w:tabs>
        <w:spacing w:line="360" w:lineRule="auto"/>
        <w:rPr>
          <w:b/>
          <w:bCs/>
          <w:sz w:val="24"/>
          <w:szCs w:val="24"/>
        </w:rPr>
      </w:pPr>
      <w:r>
        <w:fldChar w:fldCharType="begin"/>
      </w:r>
      <w:r>
        <w:instrText xml:space="preserve"> HYPERLINK \l "_Toc135403214" </w:instrText>
      </w:r>
      <w:r>
        <w:fldChar w:fldCharType="separate"/>
      </w:r>
      <w:r>
        <w:rPr>
          <w:rStyle w:val="27"/>
          <w:b/>
          <w:bCs/>
          <w:snapToGrid w:val="0"/>
          <w:sz w:val="24"/>
          <w:szCs w:val="24"/>
        </w:rPr>
        <w:t>二、建设项目工程分析</w:t>
      </w:r>
      <w:r>
        <w:rPr>
          <w:b/>
          <w:bCs/>
          <w:sz w:val="24"/>
          <w:szCs w:val="24"/>
        </w:rPr>
        <w:tab/>
      </w:r>
      <w:r>
        <w:rPr>
          <w:rFonts w:hint="eastAsia"/>
          <w:b/>
          <w:bCs/>
          <w:sz w:val="24"/>
          <w:szCs w:val="24"/>
        </w:rPr>
        <w:t>2</w:t>
      </w:r>
      <w:r>
        <w:rPr>
          <w:rFonts w:hint="eastAsia"/>
          <w:b/>
          <w:bCs/>
          <w:sz w:val="24"/>
          <w:szCs w:val="24"/>
        </w:rPr>
        <w:fldChar w:fldCharType="end"/>
      </w:r>
      <w:r>
        <w:rPr>
          <w:rFonts w:hint="eastAsia"/>
          <w:b/>
          <w:bCs/>
          <w:sz w:val="24"/>
          <w:szCs w:val="24"/>
        </w:rPr>
        <w:t>1</w:t>
      </w:r>
    </w:p>
    <w:p w14:paraId="4212BD15">
      <w:pPr>
        <w:pStyle w:val="18"/>
        <w:tabs>
          <w:tab w:val="right" w:leader="dot" w:pos="9016"/>
        </w:tabs>
        <w:spacing w:line="360" w:lineRule="auto"/>
        <w:rPr>
          <w:b/>
          <w:bCs/>
          <w:sz w:val="24"/>
          <w:szCs w:val="24"/>
        </w:rPr>
      </w:pPr>
      <w:r>
        <w:fldChar w:fldCharType="begin"/>
      </w:r>
      <w:r>
        <w:instrText xml:space="preserve"> HYPERLINK \l "_Toc135403215" </w:instrText>
      </w:r>
      <w:r>
        <w:fldChar w:fldCharType="separate"/>
      </w:r>
      <w:r>
        <w:rPr>
          <w:rStyle w:val="27"/>
          <w:b/>
          <w:bCs/>
          <w:snapToGrid w:val="0"/>
          <w:sz w:val="24"/>
          <w:szCs w:val="24"/>
        </w:rPr>
        <w:t>三、区域环境质量现状、环境保护目标及评价标准</w:t>
      </w:r>
      <w:r>
        <w:rPr>
          <w:b/>
          <w:bCs/>
          <w:sz w:val="24"/>
          <w:szCs w:val="24"/>
        </w:rPr>
        <w:tab/>
      </w:r>
      <w:r>
        <w:rPr>
          <w:rFonts w:hint="eastAsia"/>
          <w:b/>
          <w:bCs/>
          <w:sz w:val="24"/>
          <w:szCs w:val="24"/>
        </w:rPr>
        <w:t>5</w:t>
      </w:r>
      <w:r>
        <w:rPr>
          <w:rFonts w:hint="eastAsia"/>
          <w:b/>
          <w:bCs/>
          <w:sz w:val="24"/>
          <w:szCs w:val="24"/>
        </w:rPr>
        <w:fldChar w:fldCharType="end"/>
      </w:r>
      <w:r>
        <w:rPr>
          <w:rFonts w:hint="eastAsia"/>
          <w:b/>
          <w:bCs/>
          <w:sz w:val="24"/>
          <w:szCs w:val="24"/>
        </w:rPr>
        <w:t>2</w:t>
      </w:r>
    </w:p>
    <w:p w14:paraId="726DB8FC">
      <w:pPr>
        <w:pStyle w:val="18"/>
        <w:tabs>
          <w:tab w:val="right" w:leader="dot" w:pos="9016"/>
        </w:tabs>
        <w:spacing w:line="360" w:lineRule="auto"/>
        <w:rPr>
          <w:b/>
          <w:bCs/>
          <w:sz w:val="24"/>
          <w:szCs w:val="24"/>
        </w:rPr>
      </w:pPr>
      <w:r>
        <w:fldChar w:fldCharType="begin"/>
      </w:r>
      <w:r>
        <w:instrText xml:space="preserve"> HYPERLINK \l "_Toc135403216" </w:instrText>
      </w:r>
      <w:r>
        <w:fldChar w:fldCharType="separate"/>
      </w:r>
      <w:r>
        <w:rPr>
          <w:rStyle w:val="27"/>
          <w:b/>
          <w:bCs/>
          <w:snapToGrid w:val="0"/>
          <w:sz w:val="24"/>
          <w:szCs w:val="24"/>
        </w:rPr>
        <w:t>四、主要环境影响和保护措施</w:t>
      </w:r>
      <w:r>
        <w:rPr>
          <w:b/>
          <w:bCs/>
          <w:sz w:val="24"/>
          <w:szCs w:val="24"/>
        </w:rPr>
        <w:tab/>
      </w:r>
      <w:r>
        <w:rPr>
          <w:rFonts w:hint="eastAsia"/>
          <w:b/>
          <w:bCs/>
          <w:sz w:val="24"/>
          <w:szCs w:val="24"/>
        </w:rPr>
        <w:t>5</w:t>
      </w:r>
      <w:r>
        <w:rPr>
          <w:rFonts w:hint="eastAsia"/>
          <w:b/>
          <w:bCs/>
          <w:sz w:val="24"/>
          <w:szCs w:val="24"/>
        </w:rPr>
        <w:fldChar w:fldCharType="end"/>
      </w:r>
      <w:r>
        <w:rPr>
          <w:rFonts w:hint="eastAsia"/>
          <w:b/>
          <w:bCs/>
          <w:sz w:val="24"/>
          <w:szCs w:val="24"/>
        </w:rPr>
        <w:t>8</w:t>
      </w:r>
    </w:p>
    <w:p w14:paraId="2ED9A721">
      <w:pPr>
        <w:pStyle w:val="18"/>
        <w:tabs>
          <w:tab w:val="right" w:leader="dot" w:pos="9016"/>
        </w:tabs>
        <w:spacing w:line="360" w:lineRule="auto"/>
        <w:rPr>
          <w:b/>
          <w:bCs/>
          <w:sz w:val="24"/>
          <w:szCs w:val="24"/>
        </w:rPr>
      </w:pPr>
      <w:r>
        <w:fldChar w:fldCharType="begin"/>
      </w:r>
      <w:r>
        <w:instrText xml:space="preserve"> HYPERLINK \l "_Toc135403217" </w:instrText>
      </w:r>
      <w:r>
        <w:fldChar w:fldCharType="separate"/>
      </w:r>
      <w:r>
        <w:rPr>
          <w:rStyle w:val="27"/>
          <w:b/>
          <w:bCs/>
          <w:snapToGrid w:val="0"/>
          <w:sz w:val="24"/>
          <w:szCs w:val="24"/>
        </w:rPr>
        <w:t>五、环境保护措施监督检查清单</w:t>
      </w:r>
      <w:r>
        <w:rPr>
          <w:b/>
          <w:bCs/>
          <w:sz w:val="24"/>
          <w:szCs w:val="24"/>
        </w:rPr>
        <w:tab/>
      </w:r>
      <w:r>
        <w:rPr>
          <w:b/>
          <w:bCs/>
          <w:sz w:val="24"/>
          <w:szCs w:val="24"/>
        </w:rPr>
        <w:fldChar w:fldCharType="end"/>
      </w:r>
      <w:r>
        <w:rPr>
          <w:rFonts w:hint="eastAsia"/>
          <w:b/>
          <w:bCs/>
          <w:sz w:val="24"/>
          <w:szCs w:val="24"/>
        </w:rPr>
        <w:t>92</w:t>
      </w:r>
    </w:p>
    <w:p w14:paraId="41C6A83C">
      <w:pPr>
        <w:pStyle w:val="18"/>
        <w:tabs>
          <w:tab w:val="right" w:leader="dot" w:pos="9016"/>
        </w:tabs>
        <w:spacing w:line="360" w:lineRule="auto"/>
        <w:rPr>
          <w:b/>
          <w:bCs/>
          <w:sz w:val="24"/>
          <w:szCs w:val="24"/>
        </w:rPr>
      </w:pPr>
      <w:r>
        <w:fldChar w:fldCharType="begin"/>
      </w:r>
      <w:r>
        <w:instrText xml:space="preserve"> HYPERLINK \l "_Toc135403218" </w:instrText>
      </w:r>
      <w:r>
        <w:fldChar w:fldCharType="separate"/>
      </w:r>
      <w:r>
        <w:rPr>
          <w:rStyle w:val="27"/>
          <w:b/>
          <w:bCs/>
          <w:snapToGrid w:val="0"/>
          <w:sz w:val="24"/>
          <w:szCs w:val="24"/>
        </w:rPr>
        <w:t>六、结论</w:t>
      </w:r>
      <w:r>
        <w:rPr>
          <w:b/>
          <w:bCs/>
          <w:sz w:val="24"/>
          <w:szCs w:val="24"/>
        </w:rPr>
        <w:tab/>
      </w:r>
      <w:r>
        <w:rPr>
          <w:rFonts w:hint="eastAsia"/>
          <w:b/>
          <w:bCs/>
          <w:sz w:val="24"/>
          <w:szCs w:val="24"/>
        </w:rPr>
        <w:t>9</w:t>
      </w:r>
      <w:r>
        <w:rPr>
          <w:rFonts w:hint="eastAsia"/>
          <w:b/>
          <w:bCs/>
          <w:sz w:val="24"/>
          <w:szCs w:val="24"/>
        </w:rPr>
        <w:fldChar w:fldCharType="end"/>
      </w:r>
      <w:r>
        <w:rPr>
          <w:rFonts w:hint="eastAsia"/>
          <w:b/>
          <w:bCs/>
          <w:sz w:val="24"/>
          <w:szCs w:val="24"/>
        </w:rPr>
        <w:t>6</w:t>
      </w:r>
    </w:p>
    <w:p w14:paraId="57A50F0D">
      <w:pPr>
        <w:spacing w:line="400" w:lineRule="exact"/>
        <w:rPr>
          <w:b/>
          <w:bCs/>
          <w:sz w:val="24"/>
          <w:szCs w:val="24"/>
          <w:lang w:val="zh-CN"/>
        </w:rPr>
      </w:pPr>
      <w:r>
        <w:rPr>
          <w:b/>
          <w:bCs/>
          <w:sz w:val="24"/>
          <w:szCs w:val="24"/>
          <w:lang w:val="zh-CN"/>
        </w:rPr>
        <w:fldChar w:fldCharType="end"/>
      </w:r>
    </w:p>
    <w:p w14:paraId="033862EC">
      <w:pPr>
        <w:spacing w:line="400" w:lineRule="exact"/>
        <w:rPr>
          <w:b/>
          <w:bCs/>
          <w:sz w:val="24"/>
          <w:szCs w:val="24"/>
        </w:rPr>
      </w:pPr>
      <w:r>
        <w:rPr>
          <w:b/>
          <w:bCs/>
          <w:sz w:val="24"/>
          <w:szCs w:val="24"/>
        </w:rPr>
        <w:t>附件</w:t>
      </w:r>
    </w:p>
    <w:p w14:paraId="0359D2F4">
      <w:pPr>
        <w:spacing w:line="400" w:lineRule="exact"/>
        <w:rPr>
          <w:sz w:val="24"/>
          <w:szCs w:val="24"/>
        </w:rPr>
      </w:pPr>
      <w:r>
        <w:rPr>
          <w:sz w:val="24"/>
          <w:szCs w:val="24"/>
        </w:rPr>
        <w:t>附件1  环评委托书</w:t>
      </w:r>
    </w:p>
    <w:p w14:paraId="638854B0">
      <w:pPr>
        <w:spacing w:line="400" w:lineRule="exact"/>
        <w:rPr>
          <w:sz w:val="24"/>
          <w:szCs w:val="24"/>
        </w:rPr>
      </w:pPr>
      <w:r>
        <w:rPr>
          <w:sz w:val="24"/>
          <w:szCs w:val="24"/>
        </w:rPr>
        <w:t>附件2  营业执照</w:t>
      </w:r>
    </w:p>
    <w:p w14:paraId="2F38B8F7">
      <w:pPr>
        <w:spacing w:line="400" w:lineRule="exact"/>
        <w:rPr>
          <w:sz w:val="24"/>
          <w:szCs w:val="24"/>
        </w:rPr>
      </w:pPr>
      <w:r>
        <w:rPr>
          <w:sz w:val="24"/>
          <w:szCs w:val="24"/>
        </w:rPr>
        <w:t>附件3  法人身份证复印件</w:t>
      </w:r>
    </w:p>
    <w:p w14:paraId="11C20681">
      <w:pPr>
        <w:spacing w:line="400" w:lineRule="exact"/>
        <w:rPr>
          <w:sz w:val="24"/>
          <w:szCs w:val="24"/>
        </w:rPr>
      </w:pPr>
      <w:r>
        <w:rPr>
          <w:sz w:val="24"/>
          <w:szCs w:val="24"/>
        </w:rPr>
        <w:t>附件4  厂房</w:t>
      </w:r>
      <w:r>
        <w:rPr>
          <w:rFonts w:hint="eastAsia"/>
          <w:sz w:val="24"/>
          <w:szCs w:val="24"/>
        </w:rPr>
        <w:t>使用证明</w:t>
      </w:r>
    </w:p>
    <w:p w14:paraId="1142265B">
      <w:pPr>
        <w:spacing w:line="400" w:lineRule="exact"/>
        <w:rPr>
          <w:sz w:val="24"/>
          <w:szCs w:val="24"/>
        </w:rPr>
      </w:pPr>
      <w:r>
        <w:rPr>
          <w:sz w:val="24"/>
          <w:szCs w:val="24"/>
        </w:rPr>
        <w:t>附件5  不动产权证</w:t>
      </w:r>
    </w:p>
    <w:p w14:paraId="150A559D">
      <w:pPr>
        <w:spacing w:line="400" w:lineRule="exact"/>
        <w:rPr>
          <w:sz w:val="24"/>
          <w:szCs w:val="24"/>
        </w:rPr>
      </w:pPr>
      <w:r>
        <w:rPr>
          <w:sz w:val="24"/>
          <w:szCs w:val="24"/>
        </w:rPr>
        <w:t xml:space="preserve">附件6  </w:t>
      </w:r>
      <w:r>
        <w:rPr>
          <w:rFonts w:hint="eastAsia"/>
          <w:sz w:val="24"/>
          <w:szCs w:val="24"/>
        </w:rPr>
        <w:t>关于《湖南安化经济开发区调区扩区规划环境影响报告书》的审查意见的函</w:t>
      </w:r>
    </w:p>
    <w:p w14:paraId="336A4308">
      <w:pPr>
        <w:spacing w:line="400" w:lineRule="exact"/>
        <w:rPr>
          <w:sz w:val="24"/>
          <w:szCs w:val="24"/>
        </w:rPr>
      </w:pPr>
      <w:r>
        <w:rPr>
          <w:rFonts w:hint="eastAsia"/>
          <w:sz w:val="24"/>
          <w:szCs w:val="24"/>
        </w:rPr>
        <w:t>附件</w:t>
      </w:r>
      <w:r>
        <w:rPr>
          <w:sz w:val="24"/>
          <w:szCs w:val="24"/>
        </w:rPr>
        <w:t>7</w:t>
      </w:r>
      <w:r>
        <w:rPr>
          <w:rFonts w:hint="eastAsia"/>
          <w:sz w:val="24"/>
          <w:szCs w:val="24"/>
        </w:rPr>
        <w:t xml:space="preserve">  关于《湖南华益食品有限公司年加工</w:t>
      </w:r>
      <w:r>
        <w:rPr>
          <w:sz w:val="24"/>
          <w:szCs w:val="24"/>
        </w:rPr>
        <w:t>1</w:t>
      </w:r>
      <w:r>
        <w:rPr>
          <w:rFonts w:hint="eastAsia"/>
          <w:sz w:val="24"/>
          <w:szCs w:val="24"/>
        </w:rPr>
        <w:t>万吨槟榔建设项目环境影响报告表》的批复</w:t>
      </w:r>
    </w:p>
    <w:p w14:paraId="7484EBA9">
      <w:pPr>
        <w:spacing w:line="400" w:lineRule="exact"/>
        <w:rPr>
          <w:sz w:val="24"/>
          <w:szCs w:val="24"/>
          <w:u w:val="single"/>
        </w:rPr>
      </w:pPr>
      <w:r>
        <w:rPr>
          <w:rFonts w:hint="eastAsia"/>
          <w:sz w:val="24"/>
          <w:szCs w:val="24"/>
          <w:u w:val="single"/>
        </w:rPr>
        <w:t>附件8  湖南华益食品有限公司年加工1万吨槟榔建设项目验收意见</w:t>
      </w:r>
    </w:p>
    <w:p w14:paraId="5DCD2997">
      <w:pPr>
        <w:spacing w:line="400" w:lineRule="exact"/>
        <w:rPr>
          <w:sz w:val="24"/>
          <w:szCs w:val="24"/>
          <w:u w:val="single"/>
        </w:rPr>
      </w:pPr>
      <w:r>
        <w:rPr>
          <w:rFonts w:hint="eastAsia"/>
          <w:sz w:val="24"/>
          <w:szCs w:val="24"/>
          <w:u w:val="single"/>
        </w:rPr>
        <w:t>附件9  入园意见</w:t>
      </w:r>
    </w:p>
    <w:p w14:paraId="3074272F">
      <w:pPr>
        <w:spacing w:line="400" w:lineRule="exact"/>
        <w:rPr>
          <w:sz w:val="24"/>
          <w:szCs w:val="24"/>
          <w:u w:val="single"/>
        </w:rPr>
      </w:pPr>
      <w:r>
        <w:rPr>
          <w:rFonts w:hint="eastAsia"/>
          <w:sz w:val="24"/>
          <w:szCs w:val="24"/>
          <w:u w:val="single"/>
        </w:rPr>
        <w:t>附件10  废水接纳协议</w:t>
      </w:r>
    </w:p>
    <w:p w14:paraId="0E8CA8E3">
      <w:pPr>
        <w:spacing w:line="400" w:lineRule="exact"/>
        <w:rPr>
          <w:rFonts w:hint="eastAsia"/>
          <w:sz w:val="24"/>
          <w:szCs w:val="24"/>
          <w:u w:val="single"/>
        </w:rPr>
      </w:pPr>
      <w:r>
        <w:rPr>
          <w:rFonts w:hint="eastAsia"/>
          <w:sz w:val="24"/>
          <w:szCs w:val="24"/>
          <w:u w:val="single"/>
        </w:rPr>
        <w:t>附件11  专家评审意见及签名单</w:t>
      </w:r>
    </w:p>
    <w:p w14:paraId="2A45C1AE">
      <w:pPr>
        <w:spacing w:line="400" w:lineRule="exact"/>
        <w:rPr>
          <w:b/>
          <w:bCs/>
          <w:color w:val="000000"/>
          <w:sz w:val="24"/>
          <w:szCs w:val="24"/>
        </w:rPr>
      </w:pPr>
    </w:p>
    <w:p w14:paraId="58999E0D">
      <w:pPr>
        <w:spacing w:line="400" w:lineRule="exact"/>
        <w:rPr>
          <w:b/>
          <w:bCs/>
          <w:color w:val="000000"/>
          <w:sz w:val="24"/>
          <w:szCs w:val="24"/>
        </w:rPr>
      </w:pPr>
      <w:r>
        <w:rPr>
          <w:b/>
          <w:bCs/>
          <w:color w:val="000000"/>
          <w:sz w:val="24"/>
          <w:szCs w:val="24"/>
        </w:rPr>
        <w:t>附图</w:t>
      </w:r>
    </w:p>
    <w:p w14:paraId="67263F9B">
      <w:pPr>
        <w:spacing w:line="400" w:lineRule="exact"/>
        <w:rPr>
          <w:color w:val="000000"/>
          <w:sz w:val="24"/>
          <w:szCs w:val="24"/>
        </w:rPr>
      </w:pPr>
      <w:r>
        <w:rPr>
          <w:color w:val="000000"/>
          <w:sz w:val="24"/>
          <w:szCs w:val="24"/>
        </w:rPr>
        <w:t>附图1  项目地理位置图</w:t>
      </w:r>
    </w:p>
    <w:p w14:paraId="3448FC07">
      <w:pPr>
        <w:spacing w:line="400" w:lineRule="exact"/>
        <w:rPr>
          <w:color w:val="000000"/>
          <w:sz w:val="24"/>
          <w:szCs w:val="24"/>
        </w:rPr>
      </w:pPr>
      <w:r>
        <w:rPr>
          <w:color w:val="000000"/>
          <w:sz w:val="24"/>
          <w:szCs w:val="24"/>
        </w:rPr>
        <w:t xml:space="preserve">附图2  </w:t>
      </w:r>
      <w:r>
        <w:rPr>
          <w:rFonts w:hint="eastAsia"/>
          <w:color w:val="000000"/>
          <w:sz w:val="24"/>
          <w:szCs w:val="24"/>
        </w:rPr>
        <w:t>建设项目与湖南安化经济开发区调区扩区规划</w:t>
      </w:r>
      <w:r>
        <w:rPr>
          <w:color w:val="000000"/>
          <w:sz w:val="24"/>
          <w:szCs w:val="24"/>
        </w:rPr>
        <w:t>-</w:t>
      </w:r>
      <w:r>
        <w:rPr>
          <w:rFonts w:hint="eastAsia"/>
          <w:color w:val="000000"/>
          <w:sz w:val="24"/>
          <w:szCs w:val="24"/>
        </w:rPr>
        <w:t>黑茶片区土地利用规划的位置关系图</w:t>
      </w:r>
    </w:p>
    <w:p w14:paraId="109D0B6A">
      <w:pPr>
        <w:spacing w:line="400" w:lineRule="exact"/>
        <w:rPr>
          <w:color w:val="000000"/>
          <w:sz w:val="24"/>
          <w:szCs w:val="24"/>
        </w:rPr>
      </w:pPr>
      <w:r>
        <w:rPr>
          <w:color w:val="000000"/>
          <w:sz w:val="24"/>
          <w:szCs w:val="24"/>
        </w:rPr>
        <w:t>附图</w:t>
      </w:r>
      <w:r>
        <w:rPr>
          <w:rFonts w:hint="eastAsia"/>
          <w:color w:val="000000"/>
          <w:sz w:val="24"/>
          <w:szCs w:val="24"/>
        </w:rPr>
        <w:t>3</w:t>
      </w:r>
      <w:r>
        <w:rPr>
          <w:color w:val="000000"/>
          <w:sz w:val="24"/>
          <w:szCs w:val="24"/>
        </w:rPr>
        <w:t xml:space="preserve">  项目环境保护目标图</w:t>
      </w:r>
    </w:p>
    <w:p w14:paraId="30587AAC">
      <w:pPr>
        <w:spacing w:line="400" w:lineRule="exact"/>
        <w:rPr>
          <w:color w:val="000000"/>
          <w:sz w:val="24"/>
          <w:szCs w:val="24"/>
        </w:rPr>
      </w:pPr>
      <w:r>
        <w:rPr>
          <w:rFonts w:hint="eastAsia"/>
          <w:color w:val="000000"/>
          <w:sz w:val="24"/>
          <w:szCs w:val="24"/>
        </w:rPr>
        <w:t>附图4  项目总平图</w:t>
      </w:r>
    </w:p>
    <w:p w14:paraId="575DFC13">
      <w:pPr>
        <w:spacing w:line="400" w:lineRule="exact"/>
        <w:rPr>
          <w:color w:val="000000"/>
          <w:sz w:val="24"/>
          <w:szCs w:val="24"/>
        </w:rPr>
      </w:pPr>
      <w:r>
        <w:rPr>
          <w:color w:val="000000"/>
          <w:sz w:val="24"/>
          <w:szCs w:val="24"/>
        </w:rPr>
        <w:t>附图</w:t>
      </w:r>
      <w:r>
        <w:rPr>
          <w:rFonts w:hint="eastAsia"/>
          <w:color w:val="000000"/>
          <w:sz w:val="24"/>
          <w:szCs w:val="24"/>
        </w:rPr>
        <w:t>4-1</w:t>
      </w:r>
      <w:r>
        <w:rPr>
          <w:color w:val="000000"/>
          <w:sz w:val="24"/>
          <w:szCs w:val="24"/>
        </w:rPr>
        <w:t xml:space="preserve">  1F</w:t>
      </w:r>
      <w:r>
        <w:rPr>
          <w:rFonts w:hint="eastAsia"/>
          <w:color w:val="000000"/>
          <w:sz w:val="24"/>
          <w:szCs w:val="24"/>
        </w:rPr>
        <w:t>平面布局示意图</w:t>
      </w:r>
    </w:p>
    <w:p w14:paraId="004ACBB2">
      <w:pPr>
        <w:spacing w:line="400" w:lineRule="exact"/>
        <w:rPr>
          <w:color w:val="000000"/>
          <w:sz w:val="24"/>
          <w:szCs w:val="24"/>
        </w:rPr>
      </w:pPr>
      <w:r>
        <w:rPr>
          <w:color w:val="000000"/>
          <w:sz w:val="24"/>
          <w:szCs w:val="24"/>
        </w:rPr>
        <w:t>附图</w:t>
      </w:r>
      <w:r>
        <w:rPr>
          <w:rFonts w:hint="eastAsia"/>
          <w:color w:val="000000"/>
          <w:sz w:val="24"/>
          <w:szCs w:val="24"/>
        </w:rPr>
        <w:t>4-2</w:t>
      </w:r>
      <w:r>
        <w:rPr>
          <w:color w:val="000000"/>
          <w:sz w:val="24"/>
          <w:szCs w:val="24"/>
        </w:rPr>
        <w:t xml:space="preserve">  </w:t>
      </w:r>
      <w:r>
        <w:rPr>
          <w:rFonts w:hint="eastAsia"/>
          <w:color w:val="000000"/>
          <w:sz w:val="24"/>
          <w:szCs w:val="24"/>
        </w:rPr>
        <w:t>2</w:t>
      </w:r>
      <w:r>
        <w:rPr>
          <w:color w:val="000000"/>
          <w:sz w:val="24"/>
          <w:szCs w:val="24"/>
        </w:rPr>
        <w:t>F</w:t>
      </w:r>
      <w:r>
        <w:rPr>
          <w:rFonts w:hint="eastAsia"/>
          <w:color w:val="000000"/>
          <w:sz w:val="24"/>
          <w:szCs w:val="24"/>
        </w:rPr>
        <w:t>平面布局示意图</w:t>
      </w:r>
    </w:p>
    <w:p w14:paraId="5099919A">
      <w:pPr>
        <w:spacing w:line="400" w:lineRule="exact"/>
        <w:rPr>
          <w:color w:val="000000"/>
          <w:sz w:val="24"/>
          <w:szCs w:val="24"/>
        </w:rPr>
      </w:pPr>
      <w:r>
        <w:rPr>
          <w:color w:val="000000"/>
          <w:sz w:val="24"/>
          <w:szCs w:val="24"/>
        </w:rPr>
        <w:t>附图</w:t>
      </w:r>
      <w:r>
        <w:rPr>
          <w:rFonts w:hint="eastAsia"/>
          <w:color w:val="000000"/>
          <w:sz w:val="24"/>
          <w:szCs w:val="24"/>
        </w:rPr>
        <w:t>4-3</w:t>
      </w:r>
      <w:r>
        <w:rPr>
          <w:color w:val="000000"/>
          <w:sz w:val="24"/>
          <w:szCs w:val="24"/>
        </w:rPr>
        <w:t xml:space="preserve">  </w:t>
      </w:r>
      <w:r>
        <w:rPr>
          <w:rFonts w:hint="eastAsia"/>
          <w:color w:val="000000"/>
          <w:sz w:val="24"/>
          <w:szCs w:val="24"/>
        </w:rPr>
        <w:t>3</w:t>
      </w:r>
      <w:r>
        <w:rPr>
          <w:color w:val="000000"/>
          <w:sz w:val="24"/>
          <w:szCs w:val="24"/>
        </w:rPr>
        <w:t>F</w:t>
      </w:r>
      <w:r>
        <w:rPr>
          <w:rFonts w:hint="eastAsia"/>
          <w:color w:val="000000"/>
          <w:sz w:val="24"/>
          <w:szCs w:val="24"/>
        </w:rPr>
        <w:t>平面布局示意图</w:t>
      </w:r>
    </w:p>
    <w:p w14:paraId="3272A6EB">
      <w:pPr>
        <w:spacing w:line="400" w:lineRule="exact"/>
        <w:rPr>
          <w:color w:val="000000"/>
          <w:sz w:val="24"/>
          <w:szCs w:val="24"/>
        </w:rPr>
      </w:pPr>
      <w:r>
        <w:rPr>
          <w:color w:val="000000"/>
          <w:sz w:val="24"/>
          <w:szCs w:val="24"/>
        </w:rPr>
        <w:t>附图</w:t>
      </w:r>
      <w:r>
        <w:rPr>
          <w:rFonts w:hint="eastAsia"/>
          <w:color w:val="000000"/>
          <w:sz w:val="24"/>
          <w:szCs w:val="24"/>
        </w:rPr>
        <w:t>4-4</w:t>
      </w:r>
      <w:r>
        <w:rPr>
          <w:color w:val="000000"/>
          <w:sz w:val="24"/>
          <w:szCs w:val="24"/>
        </w:rPr>
        <w:t xml:space="preserve">  </w:t>
      </w:r>
      <w:r>
        <w:rPr>
          <w:rFonts w:hint="eastAsia"/>
          <w:color w:val="000000"/>
          <w:sz w:val="24"/>
          <w:szCs w:val="24"/>
        </w:rPr>
        <w:t>4</w:t>
      </w:r>
      <w:r>
        <w:rPr>
          <w:color w:val="000000"/>
          <w:sz w:val="24"/>
          <w:szCs w:val="24"/>
        </w:rPr>
        <w:t>F</w:t>
      </w:r>
      <w:r>
        <w:rPr>
          <w:rFonts w:hint="eastAsia"/>
          <w:color w:val="000000"/>
          <w:sz w:val="24"/>
          <w:szCs w:val="24"/>
        </w:rPr>
        <w:t>平面布局示意图</w:t>
      </w:r>
    </w:p>
    <w:p w14:paraId="5B564A27">
      <w:pPr>
        <w:spacing w:line="400" w:lineRule="exact"/>
        <w:rPr>
          <w:color w:val="000000"/>
          <w:sz w:val="24"/>
          <w:szCs w:val="24"/>
        </w:rPr>
      </w:pPr>
      <w:r>
        <w:rPr>
          <w:color w:val="000000"/>
          <w:sz w:val="24"/>
          <w:szCs w:val="24"/>
        </w:rPr>
        <w:t>附图</w:t>
      </w:r>
      <w:r>
        <w:rPr>
          <w:rFonts w:hint="eastAsia"/>
          <w:color w:val="000000"/>
          <w:sz w:val="24"/>
          <w:szCs w:val="24"/>
        </w:rPr>
        <w:t>5</w:t>
      </w:r>
      <w:r>
        <w:rPr>
          <w:color w:val="000000"/>
          <w:sz w:val="24"/>
          <w:szCs w:val="24"/>
        </w:rPr>
        <w:t xml:space="preserve">  </w:t>
      </w:r>
      <w:r>
        <w:rPr>
          <w:rFonts w:hint="eastAsia"/>
          <w:color w:val="000000"/>
          <w:sz w:val="24"/>
          <w:szCs w:val="24"/>
        </w:rPr>
        <w:t>项目区域污水管网走向图</w:t>
      </w:r>
    </w:p>
    <w:p w14:paraId="07C0CFAE">
      <w:pPr>
        <w:widowControl/>
        <w:spacing w:line="400" w:lineRule="exact"/>
        <w:jc w:val="left"/>
        <w:rPr>
          <w:color w:val="000000"/>
          <w:sz w:val="24"/>
          <w:szCs w:val="24"/>
        </w:rPr>
      </w:pPr>
      <w:r>
        <w:rPr>
          <w:color w:val="000000"/>
          <w:sz w:val="24"/>
          <w:szCs w:val="24"/>
        </w:rPr>
        <w:t>附图</w:t>
      </w:r>
      <w:r>
        <w:rPr>
          <w:rFonts w:hint="eastAsia"/>
          <w:color w:val="000000"/>
          <w:sz w:val="24"/>
          <w:szCs w:val="24"/>
        </w:rPr>
        <w:t>6</w:t>
      </w:r>
      <w:r>
        <w:rPr>
          <w:color w:val="000000"/>
          <w:sz w:val="24"/>
          <w:szCs w:val="24"/>
        </w:rPr>
        <w:t xml:space="preserve">  </w:t>
      </w:r>
      <w:r>
        <w:rPr>
          <w:rFonts w:hint="eastAsia"/>
          <w:color w:val="000000"/>
          <w:sz w:val="24"/>
          <w:szCs w:val="24"/>
        </w:rPr>
        <w:t>本项目与安化经开区——黑茶片区核准范围的位置关系图</w:t>
      </w:r>
    </w:p>
    <w:p w14:paraId="3EF1B33B">
      <w:pPr>
        <w:widowControl/>
        <w:spacing w:line="400" w:lineRule="exact"/>
        <w:jc w:val="left"/>
        <w:rPr>
          <w:color w:val="000000"/>
          <w:sz w:val="24"/>
          <w:szCs w:val="24"/>
        </w:rPr>
      </w:pPr>
      <w:r>
        <w:rPr>
          <w:color w:val="000000"/>
          <w:sz w:val="24"/>
          <w:szCs w:val="24"/>
        </w:rPr>
        <w:t xml:space="preserve">附图7  </w:t>
      </w:r>
      <w:r>
        <w:rPr>
          <w:rFonts w:hint="eastAsia"/>
          <w:color w:val="000000"/>
          <w:sz w:val="24"/>
          <w:szCs w:val="24"/>
        </w:rPr>
        <w:t>本项目与安化经开区——黑茶片区功能布局的位置关系图</w:t>
      </w:r>
    </w:p>
    <w:p w14:paraId="32F7FE7D">
      <w:pPr>
        <w:widowControl/>
        <w:spacing w:line="400" w:lineRule="exact"/>
        <w:jc w:val="left"/>
        <w:rPr>
          <w:color w:val="000000"/>
          <w:sz w:val="24"/>
          <w:szCs w:val="24"/>
        </w:rPr>
        <w:sectPr>
          <w:footerReference r:id="rId3" w:type="default"/>
          <w:pgSz w:w="11906" w:h="16838"/>
          <w:pgMar w:top="1701" w:right="1440" w:bottom="1701" w:left="1440" w:header="851" w:footer="1077" w:gutter="0"/>
          <w:pgNumType w:start="3"/>
          <w:cols w:space="720" w:num="1"/>
        </w:sectPr>
      </w:pPr>
    </w:p>
    <w:bookmarkEnd w:id="0"/>
    <w:p w14:paraId="6E2E2188">
      <w:pPr>
        <w:pStyle w:val="21"/>
        <w:spacing w:before="120" w:beforeLines="50" w:beforeAutospacing="0" w:after="120" w:afterLines="50" w:afterAutospacing="0"/>
        <w:jc w:val="center"/>
        <w:outlineLvl w:val="0"/>
        <w:rPr>
          <w:b/>
          <w:bCs/>
          <w:snapToGrid w:val="0"/>
          <w:color w:val="000000"/>
          <w:sz w:val="30"/>
          <w:szCs w:val="30"/>
        </w:rPr>
      </w:pPr>
      <w:bookmarkStart w:id="2" w:name="_Toc135403213"/>
      <w:bookmarkStart w:id="3" w:name="_Toc135403214"/>
      <w:r>
        <w:rPr>
          <w:b/>
          <w:bCs/>
          <w:snapToGrid w:val="0"/>
          <w:color w:val="000000"/>
          <w:sz w:val="30"/>
          <w:szCs w:val="30"/>
        </w:rPr>
        <w:t>一、建设项目基本情况</w:t>
      </w:r>
      <w:bookmarkEnd w:id="2"/>
    </w:p>
    <w:tbl>
      <w:tblPr>
        <w:tblStyle w:val="24"/>
        <w:tblW w:w="959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525"/>
        <w:gridCol w:w="2305"/>
        <w:gridCol w:w="1834"/>
        <w:gridCol w:w="3934"/>
      </w:tblGrid>
      <w:tr w14:paraId="01D3A1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1525" w:type="dxa"/>
            <w:tcMar>
              <w:top w:w="16" w:type="dxa"/>
              <w:left w:w="16" w:type="dxa"/>
              <w:bottom w:w="0" w:type="dxa"/>
              <w:right w:w="16" w:type="dxa"/>
            </w:tcMar>
            <w:vAlign w:val="center"/>
          </w:tcPr>
          <w:p w14:paraId="2D10A726">
            <w:pPr>
              <w:jc w:val="center"/>
              <w:rPr>
                <w:sz w:val="24"/>
                <w:szCs w:val="24"/>
              </w:rPr>
            </w:pPr>
            <w:r>
              <w:rPr>
                <w:sz w:val="24"/>
                <w:szCs w:val="24"/>
              </w:rPr>
              <w:t>建设项目名称</w:t>
            </w:r>
          </w:p>
        </w:tc>
        <w:tc>
          <w:tcPr>
            <w:tcW w:w="8073" w:type="dxa"/>
            <w:gridSpan w:val="3"/>
            <w:vAlign w:val="center"/>
          </w:tcPr>
          <w:p w14:paraId="2B60E2C5">
            <w:pPr>
              <w:jc w:val="center"/>
              <w:rPr>
                <w:sz w:val="24"/>
                <w:szCs w:val="24"/>
              </w:rPr>
            </w:pPr>
            <w:r>
              <w:rPr>
                <w:rFonts w:hint="eastAsia"/>
                <w:sz w:val="24"/>
                <w:szCs w:val="24"/>
              </w:rPr>
              <w:t>年产12000吨肉类卤制品和3500吨非即食性生制食品项目（含自建热源）</w:t>
            </w:r>
          </w:p>
        </w:tc>
      </w:tr>
      <w:tr w14:paraId="3E2533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1525" w:type="dxa"/>
            <w:tcMar>
              <w:top w:w="16" w:type="dxa"/>
              <w:left w:w="16" w:type="dxa"/>
              <w:bottom w:w="0" w:type="dxa"/>
              <w:right w:w="16" w:type="dxa"/>
            </w:tcMar>
            <w:vAlign w:val="center"/>
          </w:tcPr>
          <w:p w14:paraId="363FBD59">
            <w:pPr>
              <w:jc w:val="center"/>
              <w:rPr>
                <w:sz w:val="24"/>
                <w:szCs w:val="24"/>
              </w:rPr>
            </w:pPr>
            <w:r>
              <w:rPr>
                <w:sz w:val="24"/>
                <w:szCs w:val="24"/>
              </w:rPr>
              <w:t>项目代码</w:t>
            </w:r>
          </w:p>
        </w:tc>
        <w:tc>
          <w:tcPr>
            <w:tcW w:w="8073" w:type="dxa"/>
            <w:gridSpan w:val="3"/>
            <w:vAlign w:val="center"/>
          </w:tcPr>
          <w:p w14:paraId="298F3047">
            <w:pPr>
              <w:jc w:val="center"/>
              <w:rPr>
                <w:sz w:val="24"/>
                <w:szCs w:val="24"/>
              </w:rPr>
            </w:pPr>
            <w:r>
              <w:rPr>
                <w:sz w:val="24"/>
                <w:szCs w:val="24"/>
              </w:rPr>
              <w:t>/</w:t>
            </w:r>
          </w:p>
        </w:tc>
      </w:tr>
      <w:tr w14:paraId="47B96A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1525" w:type="dxa"/>
            <w:tcMar>
              <w:top w:w="16" w:type="dxa"/>
              <w:left w:w="16" w:type="dxa"/>
              <w:bottom w:w="0" w:type="dxa"/>
              <w:right w:w="16" w:type="dxa"/>
            </w:tcMar>
            <w:vAlign w:val="center"/>
          </w:tcPr>
          <w:p w14:paraId="4B16ADC4">
            <w:pPr>
              <w:jc w:val="center"/>
              <w:rPr>
                <w:sz w:val="24"/>
                <w:szCs w:val="24"/>
              </w:rPr>
            </w:pPr>
            <w:r>
              <w:rPr>
                <w:sz w:val="24"/>
                <w:szCs w:val="24"/>
              </w:rPr>
              <w:t>建设单位联系人</w:t>
            </w:r>
          </w:p>
        </w:tc>
        <w:tc>
          <w:tcPr>
            <w:tcW w:w="2305" w:type="dxa"/>
            <w:vAlign w:val="center"/>
          </w:tcPr>
          <w:p w14:paraId="13D933B1">
            <w:pPr>
              <w:jc w:val="center"/>
              <w:rPr>
                <w:sz w:val="24"/>
                <w:szCs w:val="24"/>
              </w:rPr>
            </w:pPr>
            <w:r>
              <w:rPr>
                <w:sz w:val="24"/>
                <w:szCs w:val="24"/>
              </w:rPr>
              <w:t>李俊</w:t>
            </w:r>
          </w:p>
        </w:tc>
        <w:tc>
          <w:tcPr>
            <w:tcW w:w="1834" w:type="dxa"/>
            <w:vAlign w:val="center"/>
          </w:tcPr>
          <w:p w14:paraId="2EA1C02A">
            <w:pPr>
              <w:jc w:val="center"/>
              <w:rPr>
                <w:sz w:val="24"/>
                <w:szCs w:val="24"/>
              </w:rPr>
            </w:pPr>
            <w:r>
              <w:rPr>
                <w:sz w:val="24"/>
                <w:szCs w:val="24"/>
              </w:rPr>
              <w:t>联系方式</w:t>
            </w:r>
          </w:p>
        </w:tc>
        <w:tc>
          <w:tcPr>
            <w:tcW w:w="3934" w:type="dxa"/>
            <w:vAlign w:val="center"/>
          </w:tcPr>
          <w:p w14:paraId="6CD9F21A">
            <w:pPr>
              <w:jc w:val="center"/>
              <w:rPr>
                <w:sz w:val="24"/>
                <w:szCs w:val="24"/>
              </w:rPr>
            </w:pPr>
            <w:r>
              <w:rPr>
                <w:sz w:val="24"/>
                <w:szCs w:val="24"/>
              </w:rPr>
              <w:t>15576273413</w:t>
            </w:r>
          </w:p>
        </w:tc>
      </w:tr>
      <w:tr w14:paraId="6B3A78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1525" w:type="dxa"/>
            <w:tcMar>
              <w:top w:w="16" w:type="dxa"/>
              <w:left w:w="16" w:type="dxa"/>
              <w:bottom w:w="0" w:type="dxa"/>
              <w:right w:w="16" w:type="dxa"/>
            </w:tcMar>
            <w:vAlign w:val="center"/>
          </w:tcPr>
          <w:p w14:paraId="5A17A965">
            <w:pPr>
              <w:jc w:val="center"/>
              <w:rPr>
                <w:sz w:val="24"/>
                <w:szCs w:val="24"/>
              </w:rPr>
            </w:pPr>
            <w:r>
              <w:rPr>
                <w:sz w:val="24"/>
                <w:szCs w:val="24"/>
              </w:rPr>
              <w:t>建设地点</w:t>
            </w:r>
          </w:p>
        </w:tc>
        <w:tc>
          <w:tcPr>
            <w:tcW w:w="8073" w:type="dxa"/>
            <w:gridSpan w:val="3"/>
            <w:vAlign w:val="center"/>
          </w:tcPr>
          <w:p w14:paraId="6814F4FF">
            <w:pPr>
              <w:jc w:val="center"/>
              <w:rPr>
                <w:spacing w:val="-6"/>
                <w:sz w:val="24"/>
                <w:szCs w:val="24"/>
                <w:highlight w:val="yellow"/>
              </w:rPr>
            </w:pPr>
            <w:bookmarkStart w:id="4" w:name="OLE_LINK2"/>
            <w:bookmarkStart w:id="5" w:name="OLE_LINK61"/>
            <w:bookmarkStart w:id="6" w:name="OLE_LINK60"/>
            <w:r>
              <w:rPr>
                <w:spacing w:val="-6"/>
                <w:sz w:val="24"/>
                <w:szCs w:val="24"/>
              </w:rPr>
              <w:t>湖南省益阳市安化县东坪镇茶家村茶语路南茶西路北B-02栋标准化厂房</w:t>
            </w:r>
            <w:bookmarkEnd w:id="4"/>
            <w:bookmarkEnd w:id="5"/>
            <w:bookmarkEnd w:id="6"/>
          </w:p>
        </w:tc>
      </w:tr>
      <w:tr w14:paraId="57215D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1525" w:type="dxa"/>
            <w:tcMar>
              <w:top w:w="16" w:type="dxa"/>
              <w:left w:w="16" w:type="dxa"/>
              <w:bottom w:w="0" w:type="dxa"/>
              <w:right w:w="16" w:type="dxa"/>
            </w:tcMar>
            <w:vAlign w:val="center"/>
          </w:tcPr>
          <w:p w14:paraId="732542FE">
            <w:pPr>
              <w:jc w:val="center"/>
              <w:rPr>
                <w:sz w:val="24"/>
                <w:szCs w:val="24"/>
              </w:rPr>
            </w:pPr>
            <w:r>
              <w:rPr>
                <w:sz w:val="24"/>
                <w:szCs w:val="24"/>
              </w:rPr>
              <w:t>地理坐标</w:t>
            </w:r>
          </w:p>
        </w:tc>
        <w:tc>
          <w:tcPr>
            <w:tcW w:w="8073" w:type="dxa"/>
            <w:gridSpan w:val="3"/>
            <w:vAlign w:val="center"/>
          </w:tcPr>
          <w:p w14:paraId="31A06150">
            <w:pPr>
              <w:jc w:val="center"/>
              <w:rPr>
                <w:sz w:val="24"/>
                <w:szCs w:val="24"/>
                <w:highlight w:val="yellow"/>
              </w:rPr>
            </w:pPr>
            <w:r>
              <w:rPr>
                <w:sz w:val="24"/>
                <w:szCs w:val="24"/>
              </w:rPr>
              <w:t>（111°18′6.625″E，28°23′4.73</w:t>
            </w:r>
            <w:r>
              <w:rPr>
                <w:rFonts w:hint="eastAsia"/>
                <w:sz w:val="24"/>
                <w:szCs w:val="24"/>
              </w:rPr>
              <w:t>6</w:t>
            </w:r>
            <w:r>
              <w:rPr>
                <w:sz w:val="24"/>
                <w:szCs w:val="24"/>
              </w:rPr>
              <w:t>″N）</w:t>
            </w:r>
          </w:p>
        </w:tc>
      </w:tr>
      <w:tr w14:paraId="12716B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1525" w:type="dxa"/>
            <w:tcMar>
              <w:top w:w="16" w:type="dxa"/>
              <w:left w:w="16" w:type="dxa"/>
              <w:bottom w:w="0" w:type="dxa"/>
              <w:right w:w="16" w:type="dxa"/>
            </w:tcMar>
            <w:vAlign w:val="center"/>
          </w:tcPr>
          <w:p w14:paraId="038DDE7C">
            <w:pPr>
              <w:jc w:val="center"/>
              <w:rPr>
                <w:sz w:val="24"/>
                <w:szCs w:val="24"/>
              </w:rPr>
            </w:pPr>
            <w:r>
              <w:rPr>
                <w:sz w:val="24"/>
                <w:szCs w:val="24"/>
              </w:rPr>
              <w:t>国民经济</w:t>
            </w:r>
          </w:p>
          <w:p w14:paraId="7835CCF0">
            <w:pPr>
              <w:jc w:val="center"/>
              <w:rPr>
                <w:sz w:val="24"/>
                <w:szCs w:val="24"/>
              </w:rPr>
            </w:pPr>
            <w:r>
              <w:rPr>
                <w:sz w:val="24"/>
                <w:szCs w:val="24"/>
              </w:rPr>
              <w:t>行业类别</w:t>
            </w:r>
          </w:p>
        </w:tc>
        <w:tc>
          <w:tcPr>
            <w:tcW w:w="2305" w:type="dxa"/>
            <w:vAlign w:val="center"/>
          </w:tcPr>
          <w:p w14:paraId="6C3291FC">
            <w:pPr>
              <w:widowControl/>
              <w:jc w:val="center"/>
              <w:rPr>
                <w:sz w:val="24"/>
                <w:szCs w:val="24"/>
              </w:rPr>
            </w:pPr>
            <w:bookmarkStart w:id="7" w:name="OLE_LINK81"/>
            <w:r>
              <w:rPr>
                <w:sz w:val="24"/>
                <w:szCs w:val="24"/>
              </w:rPr>
              <w:t>C1353 肉制品及副产品加工</w:t>
            </w:r>
            <w:bookmarkEnd w:id="7"/>
          </w:p>
          <w:p w14:paraId="6FD83E8B">
            <w:pPr>
              <w:widowControl/>
              <w:jc w:val="center"/>
              <w:rPr>
                <w:sz w:val="24"/>
                <w:szCs w:val="24"/>
              </w:rPr>
            </w:pPr>
            <w:r>
              <w:rPr>
                <w:color w:val="000000"/>
                <w:sz w:val="24"/>
                <w:szCs w:val="24"/>
                <w:lang w:bidi="ar"/>
              </w:rPr>
              <w:t>C1369</w:t>
            </w:r>
            <w:r>
              <w:rPr>
                <w:rFonts w:hint="eastAsia" w:cs="宋体"/>
                <w:color w:val="000000"/>
                <w:sz w:val="24"/>
                <w:szCs w:val="24"/>
                <w:lang w:bidi="ar"/>
              </w:rPr>
              <w:t>其他水产品加工</w:t>
            </w:r>
          </w:p>
        </w:tc>
        <w:tc>
          <w:tcPr>
            <w:tcW w:w="1834" w:type="dxa"/>
            <w:vAlign w:val="center"/>
          </w:tcPr>
          <w:p w14:paraId="5B54917C">
            <w:pPr>
              <w:jc w:val="center"/>
              <w:rPr>
                <w:sz w:val="24"/>
                <w:szCs w:val="24"/>
              </w:rPr>
            </w:pPr>
            <w:bookmarkStart w:id="8" w:name="_Hlk49843745"/>
            <w:r>
              <w:rPr>
                <w:sz w:val="24"/>
                <w:szCs w:val="24"/>
              </w:rPr>
              <w:t>建设项目</w:t>
            </w:r>
          </w:p>
          <w:p w14:paraId="7C2C2324">
            <w:pPr>
              <w:jc w:val="center"/>
              <w:rPr>
                <w:sz w:val="24"/>
                <w:szCs w:val="24"/>
              </w:rPr>
            </w:pPr>
            <w:r>
              <w:rPr>
                <w:sz w:val="24"/>
                <w:szCs w:val="24"/>
              </w:rPr>
              <w:t>行业类别</w:t>
            </w:r>
            <w:bookmarkEnd w:id="8"/>
          </w:p>
        </w:tc>
        <w:tc>
          <w:tcPr>
            <w:tcW w:w="3934" w:type="dxa"/>
            <w:vAlign w:val="center"/>
          </w:tcPr>
          <w:p w14:paraId="0120F155">
            <w:pPr>
              <w:jc w:val="center"/>
              <w:rPr>
                <w:color w:val="000000"/>
                <w:spacing w:val="-4"/>
                <w:sz w:val="24"/>
                <w:szCs w:val="24"/>
              </w:rPr>
            </w:pPr>
            <w:r>
              <w:rPr>
                <w:color w:val="000000"/>
                <w:spacing w:val="-4"/>
                <w:sz w:val="24"/>
                <w:szCs w:val="24"/>
              </w:rPr>
              <w:t>四十一、电力、热力生产和供应业91、热力生产和供应工程（包括建设单位自建自用的供热工程）</w:t>
            </w:r>
          </w:p>
          <w:p w14:paraId="2936D2BE">
            <w:pPr>
              <w:jc w:val="center"/>
              <w:rPr>
                <w:color w:val="000000"/>
                <w:spacing w:val="-4"/>
                <w:sz w:val="24"/>
                <w:szCs w:val="24"/>
              </w:rPr>
            </w:pPr>
            <w:r>
              <w:rPr>
                <w:kern w:val="0"/>
                <w:sz w:val="24"/>
                <w:szCs w:val="24"/>
                <w:lang w:bidi="ar"/>
              </w:rPr>
              <w:t>十、农副食品加工13，18 屠宰及肉类加工135*（/）、19 水产品加工136（/）</w:t>
            </w:r>
            <w:r>
              <w:rPr>
                <w:spacing w:val="-4"/>
                <w:sz w:val="24"/>
                <w:szCs w:val="24"/>
                <w:lang w:bidi="ar"/>
              </w:rPr>
              <w:t>、20其他农副食品加工139*</w:t>
            </w:r>
          </w:p>
        </w:tc>
      </w:tr>
      <w:tr w14:paraId="3E4097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1525" w:type="dxa"/>
            <w:tcMar>
              <w:top w:w="16" w:type="dxa"/>
              <w:left w:w="16" w:type="dxa"/>
              <w:bottom w:w="0" w:type="dxa"/>
              <w:right w:w="16" w:type="dxa"/>
            </w:tcMar>
            <w:vAlign w:val="center"/>
          </w:tcPr>
          <w:p w14:paraId="57A4DFC4">
            <w:pPr>
              <w:jc w:val="center"/>
              <w:rPr>
                <w:sz w:val="24"/>
                <w:szCs w:val="24"/>
              </w:rPr>
            </w:pPr>
            <w:r>
              <w:rPr>
                <w:sz w:val="24"/>
                <w:szCs w:val="24"/>
              </w:rPr>
              <w:t>建设性质</w:t>
            </w:r>
          </w:p>
        </w:tc>
        <w:tc>
          <w:tcPr>
            <w:tcW w:w="2305" w:type="dxa"/>
            <w:vAlign w:val="center"/>
          </w:tcPr>
          <w:p w14:paraId="115FA1A8">
            <w:pPr>
              <w:jc w:val="left"/>
              <w:rPr>
                <w:sz w:val="24"/>
                <w:szCs w:val="24"/>
              </w:rPr>
            </w:pPr>
            <w:r>
              <w:rPr>
                <w:sz w:val="24"/>
                <w:szCs w:val="24"/>
              </w:rPr>
              <w:sym w:font="Wingdings 2" w:char="0052"/>
            </w:r>
            <w:r>
              <w:rPr>
                <w:sz w:val="24"/>
                <w:szCs w:val="24"/>
              </w:rPr>
              <w:t>新建（迁建）</w:t>
            </w:r>
          </w:p>
          <w:p w14:paraId="23C28642">
            <w:pPr>
              <w:jc w:val="left"/>
              <w:rPr>
                <w:sz w:val="24"/>
                <w:szCs w:val="24"/>
              </w:rPr>
            </w:pPr>
            <w:r>
              <w:rPr>
                <w:rFonts w:hint="eastAsia"/>
                <w:sz w:val="24"/>
                <w:szCs w:val="24"/>
              </w:rPr>
              <w:t>□</w:t>
            </w:r>
            <w:r>
              <w:rPr>
                <w:sz w:val="24"/>
                <w:szCs w:val="24"/>
              </w:rPr>
              <w:t>改建</w:t>
            </w:r>
          </w:p>
          <w:p w14:paraId="1623AC4D">
            <w:pPr>
              <w:jc w:val="left"/>
              <w:rPr>
                <w:sz w:val="24"/>
                <w:szCs w:val="24"/>
              </w:rPr>
            </w:pPr>
            <w:r>
              <w:rPr>
                <w:sz w:val="24"/>
                <w:szCs w:val="24"/>
              </w:rPr>
              <w:sym w:font="Wingdings 2" w:char="00A3"/>
            </w:r>
            <w:r>
              <w:rPr>
                <w:sz w:val="24"/>
                <w:szCs w:val="24"/>
              </w:rPr>
              <w:t>扩建</w:t>
            </w:r>
          </w:p>
          <w:p w14:paraId="43422D4E">
            <w:pPr>
              <w:jc w:val="left"/>
              <w:rPr>
                <w:sz w:val="24"/>
                <w:szCs w:val="24"/>
              </w:rPr>
            </w:pPr>
            <w:r>
              <w:rPr>
                <w:sz w:val="24"/>
                <w:szCs w:val="24"/>
              </w:rPr>
              <w:sym w:font="Wingdings 2" w:char="00A3"/>
            </w:r>
            <w:r>
              <w:rPr>
                <w:sz w:val="24"/>
                <w:szCs w:val="24"/>
              </w:rPr>
              <w:t>技术改造</w:t>
            </w:r>
          </w:p>
        </w:tc>
        <w:tc>
          <w:tcPr>
            <w:tcW w:w="1834" w:type="dxa"/>
            <w:vAlign w:val="center"/>
          </w:tcPr>
          <w:p w14:paraId="35F193C4">
            <w:pPr>
              <w:jc w:val="center"/>
              <w:rPr>
                <w:sz w:val="24"/>
                <w:szCs w:val="24"/>
              </w:rPr>
            </w:pPr>
            <w:r>
              <w:rPr>
                <w:sz w:val="24"/>
                <w:szCs w:val="24"/>
              </w:rPr>
              <w:t>建设项目</w:t>
            </w:r>
          </w:p>
          <w:p w14:paraId="468CE505">
            <w:pPr>
              <w:jc w:val="center"/>
              <w:rPr>
                <w:sz w:val="24"/>
                <w:szCs w:val="24"/>
              </w:rPr>
            </w:pPr>
            <w:r>
              <w:rPr>
                <w:sz w:val="24"/>
                <w:szCs w:val="24"/>
              </w:rPr>
              <w:t>申报情形</w:t>
            </w:r>
          </w:p>
        </w:tc>
        <w:tc>
          <w:tcPr>
            <w:tcW w:w="3934" w:type="dxa"/>
            <w:vAlign w:val="center"/>
          </w:tcPr>
          <w:p w14:paraId="67B98BCF">
            <w:pPr>
              <w:jc w:val="left"/>
              <w:rPr>
                <w:sz w:val="24"/>
                <w:szCs w:val="24"/>
              </w:rPr>
            </w:pPr>
            <w:r>
              <w:rPr>
                <w:sz w:val="24"/>
                <w:szCs w:val="24"/>
              </w:rPr>
              <w:t>☑首次申报项目</w:t>
            </w:r>
          </w:p>
          <w:p w14:paraId="2B504B2C">
            <w:pPr>
              <w:jc w:val="left"/>
              <w:rPr>
                <w:sz w:val="24"/>
                <w:szCs w:val="24"/>
              </w:rPr>
            </w:pPr>
            <w:r>
              <w:rPr>
                <w:sz w:val="24"/>
                <w:szCs w:val="24"/>
              </w:rPr>
              <w:sym w:font="Wingdings 2" w:char="00A3"/>
            </w:r>
            <w:r>
              <w:rPr>
                <w:sz w:val="24"/>
                <w:szCs w:val="24"/>
              </w:rPr>
              <w:t>不予批准后再次申报项目</w:t>
            </w:r>
          </w:p>
          <w:p w14:paraId="3FFBC198">
            <w:pPr>
              <w:jc w:val="left"/>
              <w:rPr>
                <w:sz w:val="24"/>
                <w:szCs w:val="24"/>
              </w:rPr>
            </w:pPr>
            <w:r>
              <w:rPr>
                <w:sz w:val="24"/>
                <w:szCs w:val="24"/>
              </w:rPr>
              <w:sym w:font="Wingdings 2" w:char="00A3"/>
            </w:r>
            <w:r>
              <w:rPr>
                <w:sz w:val="24"/>
                <w:szCs w:val="24"/>
              </w:rPr>
              <w:t>超五年重新审核项目</w:t>
            </w:r>
          </w:p>
          <w:p w14:paraId="15492477">
            <w:pPr>
              <w:jc w:val="left"/>
              <w:rPr>
                <w:sz w:val="24"/>
                <w:szCs w:val="24"/>
              </w:rPr>
            </w:pPr>
            <w:r>
              <w:rPr>
                <w:sz w:val="24"/>
                <w:szCs w:val="24"/>
              </w:rPr>
              <w:sym w:font="Wingdings 2" w:char="00A3"/>
            </w:r>
            <w:r>
              <w:rPr>
                <w:sz w:val="24"/>
                <w:szCs w:val="24"/>
              </w:rPr>
              <w:t>重大变动重新报批项目</w:t>
            </w:r>
          </w:p>
        </w:tc>
      </w:tr>
      <w:tr w14:paraId="7AA194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1525" w:type="dxa"/>
            <w:tcMar>
              <w:top w:w="16" w:type="dxa"/>
              <w:left w:w="16" w:type="dxa"/>
              <w:bottom w:w="0" w:type="dxa"/>
              <w:right w:w="16" w:type="dxa"/>
            </w:tcMar>
            <w:vAlign w:val="center"/>
          </w:tcPr>
          <w:p w14:paraId="43F1990A">
            <w:pPr>
              <w:jc w:val="center"/>
              <w:rPr>
                <w:sz w:val="24"/>
                <w:szCs w:val="24"/>
              </w:rPr>
            </w:pPr>
            <w:r>
              <w:rPr>
                <w:sz w:val="24"/>
                <w:szCs w:val="24"/>
              </w:rPr>
              <w:t>项目审批</w:t>
            </w:r>
          </w:p>
          <w:p w14:paraId="50EDF907">
            <w:pPr>
              <w:jc w:val="center"/>
              <w:rPr>
                <w:sz w:val="24"/>
                <w:szCs w:val="24"/>
              </w:rPr>
            </w:pPr>
            <w:r>
              <w:rPr>
                <w:sz w:val="24"/>
                <w:szCs w:val="24"/>
              </w:rPr>
              <w:t>（核准/备案）</w:t>
            </w:r>
          </w:p>
          <w:p w14:paraId="09C362D4">
            <w:pPr>
              <w:jc w:val="center"/>
              <w:rPr>
                <w:sz w:val="24"/>
                <w:szCs w:val="24"/>
              </w:rPr>
            </w:pPr>
            <w:r>
              <w:rPr>
                <w:sz w:val="24"/>
                <w:szCs w:val="24"/>
              </w:rPr>
              <w:t>部门</w:t>
            </w:r>
          </w:p>
        </w:tc>
        <w:tc>
          <w:tcPr>
            <w:tcW w:w="2305" w:type="dxa"/>
            <w:vAlign w:val="center"/>
          </w:tcPr>
          <w:p w14:paraId="4BB82249">
            <w:pPr>
              <w:jc w:val="center"/>
              <w:rPr>
                <w:sz w:val="24"/>
                <w:szCs w:val="24"/>
              </w:rPr>
            </w:pPr>
            <w:r>
              <w:rPr>
                <w:sz w:val="24"/>
                <w:szCs w:val="24"/>
              </w:rPr>
              <w:t>/</w:t>
            </w:r>
          </w:p>
        </w:tc>
        <w:tc>
          <w:tcPr>
            <w:tcW w:w="1834" w:type="dxa"/>
            <w:vAlign w:val="center"/>
          </w:tcPr>
          <w:p w14:paraId="30361017">
            <w:pPr>
              <w:jc w:val="center"/>
              <w:rPr>
                <w:sz w:val="24"/>
                <w:szCs w:val="24"/>
              </w:rPr>
            </w:pPr>
            <w:r>
              <w:rPr>
                <w:sz w:val="24"/>
                <w:szCs w:val="24"/>
              </w:rPr>
              <w:t>项目审批</w:t>
            </w:r>
          </w:p>
          <w:p w14:paraId="010BB3E5">
            <w:pPr>
              <w:jc w:val="center"/>
              <w:rPr>
                <w:sz w:val="24"/>
                <w:szCs w:val="24"/>
              </w:rPr>
            </w:pPr>
            <w:r>
              <w:rPr>
                <w:sz w:val="24"/>
                <w:szCs w:val="24"/>
              </w:rPr>
              <w:t>（核准/备案）文号</w:t>
            </w:r>
          </w:p>
        </w:tc>
        <w:tc>
          <w:tcPr>
            <w:tcW w:w="3934" w:type="dxa"/>
            <w:vAlign w:val="center"/>
          </w:tcPr>
          <w:p w14:paraId="2E30FBA1">
            <w:pPr>
              <w:jc w:val="center"/>
              <w:rPr>
                <w:sz w:val="24"/>
                <w:szCs w:val="24"/>
              </w:rPr>
            </w:pPr>
            <w:r>
              <w:rPr>
                <w:sz w:val="24"/>
                <w:szCs w:val="24"/>
              </w:rPr>
              <w:t>/</w:t>
            </w:r>
          </w:p>
        </w:tc>
      </w:tr>
      <w:tr w14:paraId="5DC506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1525" w:type="dxa"/>
            <w:tcMar>
              <w:top w:w="16" w:type="dxa"/>
              <w:left w:w="16" w:type="dxa"/>
              <w:bottom w:w="0" w:type="dxa"/>
              <w:right w:w="16" w:type="dxa"/>
            </w:tcMar>
            <w:vAlign w:val="center"/>
          </w:tcPr>
          <w:p w14:paraId="4E1ABAF1">
            <w:pPr>
              <w:jc w:val="center"/>
              <w:rPr>
                <w:sz w:val="24"/>
                <w:szCs w:val="24"/>
              </w:rPr>
            </w:pPr>
            <w:r>
              <w:rPr>
                <w:sz w:val="24"/>
                <w:szCs w:val="24"/>
              </w:rPr>
              <w:t>总投资（万元）</w:t>
            </w:r>
          </w:p>
        </w:tc>
        <w:tc>
          <w:tcPr>
            <w:tcW w:w="2305" w:type="dxa"/>
            <w:vAlign w:val="center"/>
          </w:tcPr>
          <w:p w14:paraId="38EAF644">
            <w:pPr>
              <w:jc w:val="center"/>
              <w:rPr>
                <w:sz w:val="24"/>
                <w:szCs w:val="24"/>
              </w:rPr>
            </w:pPr>
            <w:r>
              <w:rPr>
                <w:sz w:val="24"/>
                <w:szCs w:val="24"/>
              </w:rPr>
              <w:t>8000</w:t>
            </w:r>
          </w:p>
        </w:tc>
        <w:tc>
          <w:tcPr>
            <w:tcW w:w="1834" w:type="dxa"/>
            <w:tcMar>
              <w:top w:w="16" w:type="dxa"/>
              <w:left w:w="16" w:type="dxa"/>
              <w:bottom w:w="0" w:type="dxa"/>
              <w:right w:w="16" w:type="dxa"/>
            </w:tcMar>
            <w:vAlign w:val="center"/>
          </w:tcPr>
          <w:p w14:paraId="5248CAC2">
            <w:pPr>
              <w:ind w:left="-315" w:leftChars="-150" w:right="-420" w:rightChars="-200"/>
              <w:jc w:val="center"/>
              <w:rPr>
                <w:spacing w:val="-14"/>
                <w:sz w:val="24"/>
                <w:szCs w:val="24"/>
              </w:rPr>
            </w:pPr>
            <w:r>
              <w:rPr>
                <w:spacing w:val="-14"/>
                <w:sz w:val="24"/>
                <w:szCs w:val="24"/>
              </w:rPr>
              <w:t>环保投资（万元）</w:t>
            </w:r>
          </w:p>
        </w:tc>
        <w:tc>
          <w:tcPr>
            <w:tcW w:w="3934" w:type="dxa"/>
            <w:vAlign w:val="center"/>
          </w:tcPr>
          <w:p w14:paraId="325B6BB0">
            <w:pPr>
              <w:jc w:val="center"/>
              <w:rPr>
                <w:color w:val="FF0000"/>
                <w:sz w:val="24"/>
                <w:szCs w:val="24"/>
              </w:rPr>
            </w:pPr>
            <w:r>
              <w:rPr>
                <w:rFonts w:hint="eastAsia"/>
                <w:sz w:val="24"/>
                <w:szCs w:val="24"/>
              </w:rPr>
              <w:t>80</w:t>
            </w:r>
          </w:p>
        </w:tc>
      </w:tr>
      <w:tr w14:paraId="3BC9CB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941" w:hRule="atLeast"/>
          <w:jc w:val="center"/>
        </w:trPr>
        <w:tc>
          <w:tcPr>
            <w:tcW w:w="1525" w:type="dxa"/>
            <w:tcMar>
              <w:top w:w="16" w:type="dxa"/>
              <w:left w:w="16" w:type="dxa"/>
              <w:bottom w:w="0" w:type="dxa"/>
              <w:right w:w="16" w:type="dxa"/>
            </w:tcMar>
            <w:vAlign w:val="center"/>
          </w:tcPr>
          <w:p w14:paraId="7AE9B5E2">
            <w:pPr>
              <w:jc w:val="center"/>
              <w:rPr>
                <w:spacing w:val="-16"/>
                <w:sz w:val="24"/>
                <w:szCs w:val="24"/>
              </w:rPr>
            </w:pPr>
            <w:r>
              <w:rPr>
                <w:spacing w:val="-16"/>
                <w:sz w:val="24"/>
                <w:szCs w:val="24"/>
              </w:rPr>
              <w:t>环保投资占比（%）</w:t>
            </w:r>
          </w:p>
        </w:tc>
        <w:tc>
          <w:tcPr>
            <w:tcW w:w="2305" w:type="dxa"/>
            <w:vAlign w:val="center"/>
          </w:tcPr>
          <w:p w14:paraId="4AF8C147">
            <w:pPr>
              <w:jc w:val="center"/>
              <w:rPr>
                <w:color w:val="FF0000"/>
                <w:sz w:val="24"/>
                <w:szCs w:val="24"/>
              </w:rPr>
            </w:pPr>
            <w:r>
              <w:rPr>
                <w:rFonts w:hint="eastAsia"/>
                <w:sz w:val="24"/>
                <w:szCs w:val="24"/>
              </w:rPr>
              <w:t>1</w:t>
            </w:r>
            <w:r>
              <w:rPr>
                <w:spacing w:val="-16"/>
                <w:sz w:val="24"/>
                <w:szCs w:val="24"/>
              </w:rPr>
              <w:t>%</w:t>
            </w:r>
          </w:p>
        </w:tc>
        <w:tc>
          <w:tcPr>
            <w:tcW w:w="1834" w:type="dxa"/>
            <w:tcMar>
              <w:top w:w="16" w:type="dxa"/>
              <w:left w:w="16" w:type="dxa"/>
              <w:bottom w:w="0" w:type="dxa"/>
              <w:right w:w="16" w:type="dxa"/>
            </w:tcMar>
            <w:vAlign w:val="center"/>
          </w:tcPr>
          <w:p w14:paraId="28F0B9CB">
            <w:pPr>
              <w:jc w:val="center"/>
              <w:rPr>
                <w:sz w:val="24"/>
                <w:szCs w:val="24"/>
              </w:rPr>
            </w:pPr>
            <w:r>
              <w:rPr>
                <w:sz w:val="24"/>
                <w:szCs w:val="24"/>
              </w:rPr>
              <w:t>施工工期</w:t>
            </w:r>
          </w:p>
        </w:tc>
        <w:tc>
          <w:tcPr>
            <w:tcW w:w="3934" w:type="dxa"/>
            <w:vAlign w:val="center"/>
          </w:tcPr>
          <w:p w14:paraId="48455245">
            <w:pPr>
              <w:jc w:val="center"/>
              <w:rPr>
                <w:color w:val="FF0000"/>
                <w:sz w:val="24"/>
                <w:szCs w:val="24"/>
              </w:rPr>
            </w:pPr>
            <w:r>
              <w:rPr>
                <w:sz w:val="24"/>
                <w:szCs w:val="24"/>
              </w:rPr>
              <w:t>3个月</w:t>
            </w:r>
          </w:p>
        </w:tc>
      </w:tr>
      <w:tr w14:paraId="045C2D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1525" w:type="dxa"/>
            <w:tcMar>
              <w:top w:w="16" w:type="dxa"/>
              <w:left w:w="16" w:type="dxa"/>
              <w:bottom w:w="0" w:type="dxa"/>
              <w:right w:w="16" w:type="dxa"/>
            </w:tcMar>
            <w:vAlign w:val="center"/>
          </w:tcPr>
          <w:p w14:paraId="49795E07">
            <w:pPr>
              <w:jc w:val="center"/>
              <w:rPr>
                <w:sz w:val="24"/>
                <w:szCs w:val="24"/>
                <w:u w:val="single"/>
              </w:rPr>
            </w:pPr>
            <w:r>
              <w:rPr>
                <w:sz w:val="24"/>
                <w:szCs w:val="24"/>
              </w:rPr>
              <w:t>是否开工建设</w:t>
            </w:r>
          </w:p>
        </w:tc>
        <w:tc>
          <w:tcPr>
            <w:tcW w:w="2305" w:type="dxa"/>
            <w:vAlign w:val="center"/>
          </w:tcPr>
          <w:p w14:paraId="3674E8CC">
            <w:pPr>
              <w:rPr>
                <w:sz w:val="24"/>
                <w:szCs w:val="24"/>
              </w:rPr>
            </w:pPr>
            <w:r>
              <w:rPr>
                <w:sz w:val="24"/>
                <w:szCs w:val="24"/>
              </w:rPr>
              <w:t>☑否：</w:t>
            </w:r>
          </w:p>
          <w:p w14:paraId="5AF8714B">
            <w:pPr>
              <w:rPr>
                <w:sz w:val="24"/>
                <w:szCs w:val="24"/>
                <w:u w:val="single"/>
              </w:rPr>
            </w:pPr>
            <w:r>
              <w:rPr>
                <w:sz w:val="24"/>
                <w:szCs w:val="24"/>
              </w:rPr>
              <w:sym w:font="Wingdings 2" w:char="00A3"/>
            </w:r>
            <w:r>
              <w:rPr>
                <w:sz w:val="24"/>
                <w:szCs w:val="24"/>
              </w:rPr>
              <w:t>是：</w:t>
            </w:r>
          </w:p>
        </w:tc>
        <w:tc>
          <w:tcPr>
            <w:tcW w:w="1834" w:type="dxa"/>
            <w:tcMar>
              <w:top w:w="16" w:type="dxa"/>
              <w:left w:w="16" w:type="dxa"/>
              <w:bottom w:w="0" w:type="dxa"/>
              <w:right w:w="16" w:type="dxa"/>
            </w:tcMar>
            <w:vAlign w:val="center"/>
          </w:tcPr>
          <w:p w14:paraId="10EF8877">
            <w:pPr>
              <w:jc w:val="center"/>
              <w:rPr>
                <w:spacing w:val="-6"/>
                <w:sz w:val="24"/>
                <w:szCs w:val="24"/>
              </w:rPr>
            </w:pPr>
            <w:r>
              <w:rPr>
                <w:spacing w:val="-6"/>
                <w:sz w:val="24"/>
                <w:szCs w:val="24"/>
              </w:rPr>
              <w:t>用地面积（m</w:t>
            </w:r>
            <w:r>
              <w:rPr>
                <w:spacing w:val="-6"/>
                <w:sz w:val="24"/>
                <w:szCs w:val="24"/>
                <w:vertAlign w:val="superscript"/>
              </w:rPr>
              <w:t>2</w:t>
            </w:r>
            <w:r>
              <w:rPr>
                <w:spacing w:val="-6"/>
                <w:sz w:val="24"/>
                <w:szCs w:val="24"/>
              </w:rPr>
              <w:t>）</w:t>
            </w:r>
          </w:p>
        </w:tc>
        <w:tc>
          <w:tcPr>
            <w:tcW w:w="3934" w:type="dxa"/>
            <w:vAlign w:val="center"/>
          </w:tcPr>
          <w:p w14:paraId="2AD2B3F6">
            <w:pPr>
              <w:jc w:val="center"/>
              <w:rPr>
                <w:sz w:val="24"/>
                <w:szCs w:val="24"/>
              </w:rPr>
            </w:pPr>
            <w:r>
              <w:rPr>
                <w:sz w:val="24"/>
                <w:szCs w:val="24"/>
              </w:rPr>
              <w:t>17083.06</w:t>
            </w:r>
          </w:p>
        </w:tc>
      </w:tr>
      <w:tr w14:paraId="20D158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1525" w:type="dxa"/>
            <w:tcMar>
              <w:top w:w="0" w:type="dxa"/>
              <w:left w:w="108" w:type="dxa"/>
              <w:bottom w:w="0" w:type="dxa"/>
              <w:right w:w="108" w:type="dxa"/>
            </w:tcMar>
            <w:vAlign w:val="center"/>
          </w:tcPr>
          <w:p w14:paraId="4966AB08">
            <w:pPr>
              <w:autoSpaceDE w:val="0"/>
              <w:autoSpaceDN w:val="0"/>
              <w:jc w:val="center"/>
              <w:rPr>
                <w:kern w:val="0"/>
                <w:sz w:val="24"/>
                <w:szCs w:val="24"/>
              </w:rPr>
            </w:pPr>
            <w:r>
              <w:rPr>
                <w:kern w:val="0"/>
                <w:sz w:val="24"/>
                <w:szCs w:val="24"/>
              </w:rPr>
              <w:t>专项评价设置情况</w:t>
            </w:r>
          </w:p>
        </w:tc>
        <w:tc>
          <w:tcPr>
            <w:tcW w:w="8073" w:type="dxa"/>
            <w:gridSpan w:val="3"/>
            <w:tcMar>
              <w:top w:w="0" w:type="dxa"/>
              <w:left w:w="108" w:type="dxa"/>
              <w:bottom w:w="0" w:type="dxa"/>
              <w:right w:w="108" w:type="dxa"/>
            </w:tcMar>
            <w:vAlign w:val="center"/>
          </w:tcPr>
          <w:p w14:paraId="71FC9370">
            <w:pPr>
              <w:autoSpaceDE w:val="0"/>
              <w:autoSpaceDN w:val="0"/>
              <w:spacing w:line="360" w:lineRule="auto"/>
              <w:ind w:firstLine="480" w:firstLineChars="200"/>
              <w:rPr>
                <w:kern w:val="0"/>
                <w:sz w:val="24"/>
                <w:szCs w:val="24"/>
              </w:rPr>
            </w:pPr>
            <w:r>
              <w:rPr>
                <w:kern w:val="0"/>
                <w:sz w:val="24"/>
                <w:szCs w:val="24"/>
              </w:rPr>
              <w:t>根据专项设置原则表，本项目无需设置专项评价，详见下表所示。</w:t>
            </w:r>
          </w:p>
          <w:p w14:paraId="2E3AF97B">
            <w:pPr>
              <w:autoSpaceDE w:val="0"/>
              <w:autoSpaceDN w:val="0"/>
              <w:spacing w:line="360" w:lineRule="auto"/>
              <w:ind w:firstLine="480"/>
              <w:jc w:val="center"/>
              <w:rPr>
                <w:b/>
                <w:bCs/>
                <w:kern w:val="0"/>
                <w:sz w:val="24"/>
                <w:szCs w:val="24"/>
              </w:rPr>
            </w:pPr>
            <w:r>
              <w:rPr>
                <w:b/>
                <w:bCs/>
                <w:kern w:val="0"/>
                <w:sz w:val="24"/>
                <w:szCs w:val="24"/>
              </w:rPr>
              <w:t>表1-1  专项评价设置原则表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19"/>
              <w:gridCol w:w="3495"/>
              <w:gridCol w:w="3113"/>
            </w:tblGrid>
            <w:tr w14:paraId="39D92A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3" w:type="dxa"/>
                  <w:vAlign w:val="center"/>
                </w:tcPr>
                <w:p w14:paraId="0A07D011">
                  <w:pPr>
                    <w:autoSpaceDE w:val="0"/>
                    <w:autoSpaceDN w:val="0"/>
                    <w:jc w:val="center"/>
                    <w:rPr>
                      <w:b/>
                      <w:bCs/>
                      <w:kern w:val="0"/>
                      <w:szCs w:val="21"/>
                    </w:rPr>
                  </w:pPr>
                  <w:r>
                    <w:rPr>
                      <w:b/>
                      <w:bCs/>
                      <w:kern w:val="0"/>
                      <w:szCs w:val="21"/>
                    </w:rPr>
                    <w:t>专项评价的类别</w:t>
                  </w:r>
                </w:p>
              </w:tc>
              <w:tc>
                <w:tcPr>
                  <w:tcW w:w="3676" w:type="dxa"/>
                  <w:vAlign w:val="center"/>
                </w:tcPr>
                <w:p w14:paraId="202C0B55">
                  <w:pPr>
                    <w:autoSpaceDE w:val="0"/>
                    <w:autoSpaceDN w:val="0"/>
                    <w:jc w:val="center"/>
                    <w:rPr>
                      <w:b/>
                      <w:bCs/>
                      <w:kern w:val="0"/>
                      <w:szCs w:val="21"/>
                    </w:rPr>
                  </w:pPr>
                  <w:r>
                    <w:rPr>
                      <w:b/>
                      <w:bCs/>
                      <w:kern w:val="0"/>
                      <w:szCs w:val="21"/>
                    </w:rPr>
                    <w:t>设置原则</w:t>
                  </w:r>
                </w:p>
              </w:tc>
              <w:tc>
                <w:tcPr>
                  <w:tcW w:w="3273" w:type="dxa"/>
                  <w:vAlign w:val="center"/>
                </w:tcPr>
                <w:p w14:paraId="11B82A55">
                  <w:pPr>
                    <w:autoSpaceDE w:val="0"/>
                    <w:autoSpaceDN w:val="0"/>
                    <w:jc w:val="center"/>
                    <w:rPr>
                      <w:b/>
                      <w:bCs/>
                      <w:kern w:val="0"/>
                      <w:szCs w:val="21"/>
                    </w:rPr>
                  </w:pPr>
                  <w:r>
                    <w:rPr>
                      <w:b/>
                      <w:bCs/>
                      <w:kern w:val="0"/>
                      <w:szCs w:val="21"/>
                    </w:rPr>
                    <w:t>项目概况</w:t>
                  </w:r>
                </w:p>
              </w:tc>
            </w:tr>
            <w:tr w14:paraId="336271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3" w:type="dxa"/>
                  <w:vAlign w:val="center"/>
                </w:tcPr>
                <w:p w14:paraId="5CD052BC">
                  <w:pPr>
                    <w:autoSpaceDE w:val="0"/>
                    <w:autoSpaceDN w:val="0"/>
                    <w:jc w:val="center"/>
                    <w:rPr>
                      <w:kern w:val="0"/>
                      <w:szCs w:val="21"/>
                    </w:rPr>
                  </w:pPr>
                  <w:r>
                    <w:rPr>
                      <w:kern w:val="0"/>
                      <w:szCs w:val="21"/>
                    </w:rPr>
                    <w:t>大气</w:t>
                  </w:r>
                </w:p>
              </w:tc>
              <w:tc>
                <w:tcPr>
                  <w:tcW w:w="3676" w:type="dxa"/>
                  <w:vAlign w:val="center"/>
                </w:tcPr>
                <w:p w14:paraId="56764240">
                  <w:pPr>
                    <w:autoSpaceDE w:val="0"/>
                    <w:autoSpaceDN w:val="0"/>
                    <w:rPr>
                      <w:kern w:val="0"/>
                      <w:szCs w:val="21"/>
                    </w:rPr>
                  </w:pPr>
                  <w:r>
                    <w:rPr>
                      <w:kern w:val="0"/>
                      <w:szCs w:val="21"/>
                    </w:rPr>
                    <w:t xml:space="preserve">排放废气含有毒有害污染物、二噁英、苯并【a】芘、氰化物、氯气且厂界外500米范围内有环境空气保护目标的建设项目 </w:t>
                  </w:r>
                </w:p>
              </w:tc>
              <w:tc>
                <w:tcPr>
                  <w:tcW w:w="3273" w:type="dxa"/>
                  <w:vAlign w:val="center"/>
                </w:tcPr>
                <w:p w14:paraId="6E6156D6">
                  <w:pPr>
                    <w:autoSpaceDE w:val="0"/>
                    <w:autoSpaceDN w:val="0"/>
                    <w:rPr>
                      <w:kern w:val="0"/>
                      <w:szCs w:val="21"/>
                    </w:rPr>
                  </w:pPr>
                  <w:r>
                    <w:rPr>
                      <w:kern w:val="0"/>
                      <w:szCs w:val="21"/>
                    </w:rPr>
                    <w:t>项目排放废气中不含有毒有害污染物、二噁英、苯并【a】芘、氰化物、氯气</w:t>
                  </w:r>
                </w:p>
              </w:tc>
            </w:tr>
            <w:tr w14:paraId="448D73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3" w:type="dxa"/>
                  <w:vAlign w:val="center"/>
                </w:tcPr>
                <w:p w14:paraId="5E3C491C">
                  <w:pPr>
                    <w:autoSpaceDE w:val="0"/>
                    <w:autoSpaceDN w:val="0"/>
                    <w:jc w:val="center"/>
                    <w:rPr>
                      <w:kern w:val="0"/>
                      <w:szCs w:val="21"/>
                    </w:rPr>
                  </w:pPr>
                  <w:r>
                    <w:rPr>
                      <w:kern w:val="0"/>
                      <w:szCs w:val="21"/>
                    </w:rPr>
                    <w:t>地表水</w:t>
                  </w:r>
                </w:p>
              </w:tc>
              <w:tc>
                <w:tcPr>
                  <w:tcW w:w="3676" w:type="dxa"/>
                  <w:vAlign w:val="center"/>
                </w:tcPr>
                <w:p w14:paraId="2BF26D3A">
                  <w:pPr>
                    <w:autoSpaceDE w:val="0"/>
                    <w:autoSpaceDN w:val="0"/>
                    <w:rPr>
                      <w:kern w:val="0"/>
                      <w:szCs w:val="21"/>
                    </w:rPr>
                  </w:pPr>
                  <w:r>
                    <w:rPr>
                      <w:kern w:val="0"/>
                      <w:szCs w:val="21"/>
                    </w:rPr>
                    <w:t>新增工业废水直排建设项目（槽罐车外送污水处理厂的除外）；新增废水直排的污水集中处理厂</w:t>
                  </w:r>
                </w:p>
              </w:tc>
              <w:tc>
                <w:tcPr>
                  <w:tcW w:w="3273" w:type="dxa"/>
                  <w:vAlign w:val="center"/>
                </w:tcPr>
                <w:p w14:paraId="7C348726">
                  <w:pPr>
                    <w:autoSpaceDE w:val="0"/>
                    <w:autoSpaceDN w:val="0"/>
                    <w:rPr>
                      <w:kern w:val="0"/>
                      <w:szCs w:val="21"/>
                    </w:rPr>
                  </w:pPr>
                  <w:r>
                    <w:rPr>
                      <w:kern w:val="0"/>
                      <w:szCs w:val="21"/>
                    </w:rPr>
                    <w:t>项目不涉及废水直排。</w:t>
                  </w:r>
                </w:p>
              </w:tc>
            </w:tr>
            <w:tr w14:paraId="7353B4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3" w:type="dxa"/>
                  <w:vAlign w:val="center"/>
                </w:tcPr>
                <w:p w14:paraId="1459E315">
                  <w:pPr>
                    <w:autoSpaceDE w:val="0"/>
                    <w:autoSpaceDN w:val="0"/>
                    <w:jc w:val="center"/>
                    <w:rPr>
                      <w:kern w:val="0"/>
                      <w:szCs w:val="21"/>
                    </w:rPr>
                  </w:pPr>
                  <w:r>
                    <w:rPr>
                      <w:kern w:val="0"/>
                      <w:szCs w:val="21"/>
                    </w:rPr>
                    <w:t>环境风险</w:t>
                  </w:r>
                </w:p>
              </w:tc>
              <w:tc>
                <w:tcPr>
                  <w:tcW w:w="3676" w:type="dxa"/>
                  <w:vAlign w:val="center"/>
                </w:tcPr>
                <w:p w14:paraId="79E60833">
                  <w:pPr>
                    <w:autoSpaceDE w:val="0"/>
                    <w:autoSpaceDN w:val="0"/>
                    <w:rPr>
                      <w:kern w:val="0"/>
                      <w:szCs w:val="21"/>
                    </w:rPr>
                  </w:pPr>
                  <w:r>
                    <w:rPr>
                      <w:kern w:val="0"/>
                      <w:szCs w:val="21"/>
                    </w:rPr>
                    <w:t>有毒有害和易燃易爆危险废物存储量超过临界量的建设项目</w:t>
                  </w:r>
                </w:p>
              </w:tc>
              <w:tc>
                <w:tcPr>
                  <w:tcW w:w="3273" w:type="dxa"/>
                  <w:vAlign w:val="center"/>
                </w:tcPr>
                <w:p w14:paraId="4D25707E">
                  <w:pPr>
                    <w:autoSpaceDE w:val="0"/>
                    <w:autoSpaceDN w:val="0"/>
                    <w:rPr>
                      <w:kern w:val="0"/>
                      <w:szCs w:val="21"/>
                    </w:rPr>
                  </w:pPr>
                  <w:r>
                    <w:rPr>
                      <w:kern w:val="0"/>
                      <w:szCs w:val="21"/>
                    </w:rPr>
                    <w:t>项目有毒有害和易燃易爆危险物质存储量未超过临界量</w:t>
                  </w:r>
                </w:p>
              </w:tc>
            </w:tr>
            <w:tr w14:paraId="455105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3" w:type="dxa"/>
                  <w:vAlign w:val="center"/>
                </w:tcPr>
                <w:p w14:paraId="3D3E022E">
                  <w:pPr>
                    <w:autoSpaceDE w:val="0"/>
                    <w:autoSpaceDN w:val="0"/>
                    <w:jc w:val="center"/>
                    <w:rPr>
                      <w:kern w:val="0"/>
                      <w:szCs w:val="21"/>
                    </w:rPr>
                  </w:pPr>
                  <w:r>
                    <w:rPr>
                      <w:kern w:val="0"/>
                      <w:szCs w:val="21"/>
                    </w:rPr>
                    <w:t>生态</w:t>
                  </w:r>
                </w:p>
              </w:tc>
              <w:tc>
                <w:tcPr>
                  <w:tcW w:w="3676" w:type="dxa"/>
                  <w:vAlign w:val="center"/>
                </w:tcPr>
                <w:p w14:paraId="557EEF80">
                  <w:pPr>
                    <w:autoSpaceDE w:val="0"/>
                    <w:autoSpaceDN w:val="0"/>
                    <w:rPr>
                      <w:kern w:val="0"/>
                      <w:szCs w:val="21"/>
                    </w:rPr>
                  </w:pPr>
                  <w:r>
                    <w:rPr>
                      <w:kern w:val="0"/>
                      <w:szCs w:val="21"/>
                    </w:rPr>
                    <w:t>取水口下游500米范围内有重要水生生物的自然产卵场、索饵场、越冬场和洄游通道的新增河道取水的污染类建设项目</w:t>
                  </w:r>
                </w:p>
              </w:tc>
              <w:tc>
                <w:tcPr>
                  <w:tcW w:w="3273" w:type="dxa"/>
                  <w:vAlign w:val="center"/>
                </w:tcPr>
                <w:p w14:paraId="06D2108C">
                  <w:pPr>
                    <w:autoSpaceDE w:val="0"/>
                    <w:autoSpaceDN w:val="0"/>
                    <w:jc w:val="center"/>
                    <w:rPr>
                      <w:kern w:val="0"/>
                      <w:szCs w:val="21"/>
                    </w:rPr>
                  </w:pPr>
                  <w:r>
                    <w:rPr>
                      <w:kern w:val="0"/>
                      <w:szCs w:val="21"/>
                    </w:rPr>
                    <w:t>项目不涉及以上生态保护区</w:t>
                  </w:r>
                </w:p>
              </w:tc>
            </w:tr>
            <w:tr w14:paraId="529B6D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3" w:type="dxa"/>
                  <w:vAlign w:val="center"/>
                </w:tcPr>
                <w:p w14:paraId="3BD7A9DA">
                  <w:pPr>
                    <w:autoSpaceDE w:val="0"/>
                    <w:autoSpaceDN w:val="0"/>
                    <w:jc w:val="center"/>
                    <w:rPr>
                      <w:kern w:val="0"/>
                      <w:szCs w:val="21"/>
                    </w:rPr>
                  </w:pPr>
                  <w:r>
                    <w:rPr>
                      <w:kern w:val="0"/>
                      <w:szCs w:val="21"/>
                    </w:rPr>
                    <w:t>海洋</w:t>
                  </w:r>
                </w:p>
              </w:tc>
              <w:tc>
                <w:tcPr>
                  <w:tcW w:w="3676" w:type="dxa"/>
                  <w:vAlign w:val="center"/>
                </w:tcPr>
                <w:p w14:paraId="6E9ADEB8">
                  <w:pPr>
                    <w:autoSpaceDE w:val="0"/>
                    <w:autoSpaceDN w:val="0"/>
                    <w:rPr>
                      <w:kern w:val="0"/>
                      <w:szCs w:val="21"/>
                    </w:rPr>
                  </w:pPr>
                  <w:r>
                    <w:rPr>
                      <w:kern w:val="0"/>
                      <w:szCs w:val="21"/>
                    </w:rPr>
                    <w:t>直接向海排放污染物的海洋工程建设项目</w:t>
                  </w:r>
                </w:p>
              </w:tc>
              <w:tc>
                <w:tcPr>
                  <w:tcW w:w="3273" w:type="dxa"/>
                  <w:vAlign w:val="center"/>
                </w:tcPr>
                <w:p w14:paraId="2EF45525">
                  <w:pPr>
                    <w:autoSpaceDE w:val="0"/>
                    <w:autoSpaceDN w:val="0"/>
                    <w:jc w:val="center"/>
                    <w:rPr>
                      <w:kern w:val="0"/>
                      <w:szCs w:val="21"/>
                    </w:rPr>
                  </w:pPr>
                  <w:r>
                    <w:rPr>
                      <w:kern w:val="0"/>
                      <w:szCs w:val="21"/>
                    </w:rPr>
                    <w:t>不涉及</w:t>
                  </w:r>
                </w:p>
              </w:tc>
            </w:tr>
          </w:tbl>
          <w:p w14:paraId="16F5B2A0">
            <w:pPr>
              <w:autoSpaceDE w:val="0"/>
              <w:autoSpaceDN w:val="0"/>
              <w:rPr>
                <w:kern w:val="0"/>
                <w:sz w:val="24"/>
                <w:szCs w:val="24"/>
              </w:rPr>
            </w:pPr>
          </w:p>
        </w:tc>
      </w:tr>
      <w:tr w14:paraId="787C57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714" w:hRule="atLeast"/>
          <w:jc w:val="center"/>
        </w:trPr>
        <w:tc>
          <w:tcPr>
            <w:tcW w:w="1525" w:type="dxa"/>
            <w:tcMar>
              <w:top w:w="0" w:type="dxa"/>
              <w:left w:w="108" w:type="dxa"/>
              <w:bottom w:w="0" w:type="dxa"/>
              <w:right w:w="108" w:type="dxa"/>
            </w:tcMar>
            <w:vAlign w:val="center"/>
          </w:tcPr>
          <w:p w14:paraId="6775C26F">
            <w:pPr>
              <w:autoSpaceDE w:val="0"/>
              <w:autoSpaceDN w:val="0"/>
              <w:jc w:val="center"/>
              <w:rPr>
                <w:sz w:val="24"/>
                <w:szCs w:val="24"/>
              </w:rPr>
            </w:pPr>
            <w:r>
              <w:rPr>
                <w:sz w:val="24"/>
                <w:szCs w:val="24"/>
              </w:rPr>
              <w:t>规划</w:t>
            </w:r>
          </w:p>
          <w:p w14:paraId="129A9A64">
            <w:pPr>
              <w:autoSpaceDE w:val="0"/>
              <w:autoSpaceDN w:val="0"/>
              <w:jc w:val="center"/>
              <w:rPr>
                <w:kern w:val="0"/>
                <w:sz w:val="24"/>
                <w:szCs w:val="24"/>
              </w:rPr>
            </w:pPr>
            <w:r>
              <w:rPr>
                <w:sz w:val="24"/>
                <w:szCs w:val="24"/>
              </w:rPr>
              <w:t>情况</w:t>
            </w:r>
          </w:p>
        </w:tc>
        <w:tc>
          <w:tcPr>
            <w:tcW w:w="8073" w:type="dxa"/>
            <w:gridSpan w:val="3"/>
            <w:tcMar>
              <w:top w:w="0" w:type="dxa"/>
              <w:left w:w="108" w:type="dxa"/>
              <w:bottom w:w="0" w:type="dxa"/>
              <w:right w:w="108" w:type="dxa"/>
            </w:tcMar>
            <w:vAlign w:val="center"/>
          </w:tcPr>
          <w:p w14:paraId="0355AAAE">
            <w:pPr>
              <w:spacing w:line="360" w:lineRule="auto"/>
              <w:rPr>
                <w:kern w:val="0"/>
                <w:sz w:val="24"/>
                <w:szCs w:val="24"/>
              </w:rPr>
            </w:pPr>
            <w:r>
              <w:rPr>
                <w:kern w:val="0"/>
                <w:sz w:val="24"/>
                <w:szCs w:val="24"/>
              </w:rPr>
              <w:t>规划名称：安化县经济开发区调区扩区</w:t>
            </w:r>
          </w:p>
          <w:p w14:paraId="7CF650E0">
            <w:pPr>
              <w:spacing w:line="360" w:lineRule="auto"/>
              <w:rPr>
                <w:kern w:val="0"/>
                <w:sz w:val="24"/>
                <w:szCs w:val="24"/>
              </w:rPr>
            </w:pPr>
            <w:r>
              <w:rPr>
                <w:kern w:val="0"/>
                <w:sz w:val="24"/>
                <w:szCs w:val="24"/>
              </w:rPr>
              <w:t>审批机关：湖南省发展和改革委员会</w:t>
            </w:r>
          </w:p>
          <w:p w14:paraId="7F76F21E">
            <w:pPr>
              <w:spacing w:line="360" w:lineRule="auto"/>
            </w:pPr>
            <w:r>
              <w:rPr>
                <w:kern w:val="0"/>
                <w:sz w:val="24"/>
                <w:szCs w:val="24"/>
              </w:rPr>
              <w:t>审批文件名称及文号：湖南省发展和改革委员会关于安化县经济开发区调区扩区的复函（湘发改函[2013]288号）</w:t>
            </w:r>
          </w:p>
        </w:tc>
      </w:tr>
      <w:tr w14:paraId="5695D7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744" w:hRule="atLeast"/>
          <w:jc w:val="center"/>
        </w:trPr>
        <w:tc>
          <w:tcPr>
            <w:tcW w:w="1525" w:type="dxa"/>
            <w:tcMar>
              <w:top w:w="0" w:type="dxa"/>
              <w:left w:w="108" w:type="dxa"/>
              <w:bottom w:w="0" w:type="dxa"/>
              <w:right w:w="108" w:type="dxa"/>
            </w:tcMar>
            <w:vAlign w:val="center"/>
          </w:tcPr>
          <w:p w14:paraId="6075CBC0">
            <w:pPr>
              <w:jc w:val="center"/>
              <w:rPr>
                <w:kern w:val="0"/>
                <w:sz w:val="24"/>
                <w:szCs w:val="24"/>
              </w:rPr>
            </w:pPr>
            <w:r>
              <w:rPr>
                <w:sz w:val="24"/>
                <w:szCs w:val="24"/>
              </w:rPr>
              <w:t>规划环境影响评价情况</w:t>
            </w:r>
          </w:p>
        </w:tc>
        <w:tc>
          <w:tcPr>
            <w:tcW w:w="8073" w:type="dxa"/>
            <w:gridSpan w:val="3"/>
            <w:tcMar>
              <w:top w:w="0" w:type="dxa"/>
              <w:left w:w="108" w:type="dxa"/>
              <w:bottom w:w="0" w:type="dxa"/>
              <w:right w:w="108" w:type="dxa"/>
            </w:tcMar>
            <w:vAlign w:val="center"/>
          </w:tcPr>
          <w:p w14:paraId="54A33415">
            <w:pPr>
              <w:autoSpaceDE w:val="0"/>
              <w:autoSpaceDN w:val="0"/>
              <w:adjustRightInd w:val="0"/>
              <w:spacing w:line="360" w:lineRule="auto"/>
              <w:rPr>
                <w:kern w:val="0"/>
                <w:sz w:val="24"/>
                <w:szCs w:val="24"/>
              </w:rPr>
            </w:pPr>
            <w:r>
              <w:rPr>
                <w:kern w:val="0"/>
                <w:sz w:val="24"/>
                <w:szCs w:val="24"/>
              </w:rPr>
              <w:t>规划环境影响评价文件名称：</w:t>
            </w:r>
            <w:r>
              <w:rPr>
                <w:sz w:val="24"/>
                <w:lang w:val="zh-CN"/>
              </w:rPr>
              <w:t>《湖南安化经济开发区调区扩区规划环境影响报告书》</w:t>
            </w:r>
          </w:p>
          <w:p w14:paraId="649A9D54">
            <w:pPr>
              <w:autoSpaceDE w:val="0"/>
              <w:autoSpaceDN w:val="0"/>
              <w:adjustRightInd w:val="0"/>
              <w:spacing w:line="360" w:lineRule="auto"/>
              <w:rPr>
                <w:kern w:val="0"/>
                <w:sz w:val="24"/>
                <w:szCs w:val="24"/>
              </w:rPr>
            </w:pPr>
            <w:r>
              <w:rPr>
                <w:kern w:val="0"/>
                <w:sz w:val="24"/>
                <w:szCs w:val="24"/>
              </w:rPr>
              <w:t>召集审查机关：湖南省生态环境厅</w:t>
            </w:r>
          </w:p>
          <w:p w14:paraId="7FE50781">
            <w:pPr>
              <w:spacing w:line="360" w:lineRule="auto"/>
              <w:rPr>
                <w:sz w:val="24"/>
                <w:szCs w:val="24"/>
              </w:rPr>
            </w:pPr>
            <w:r>
              <w:rPr>
                <w:kern w:val="0"/>
                <w:sz w:val="24"/>
                <w:szCs w:val="24"/>
              </w:rPr>
              <w:t>审查文件名称及文号：</w:t>
            </w:r>
            <w:r>
              <w:rPr>
                <w:bCs/>
                <w:sz w:val="24"/>
              </w:rPr>
              <w:t>关于《湖南安化经济开发区调区扩区规划环境影响报告书》的审查意见的函</w:t>
            </w:r>
            <w:r>
              <w:rPr>
                <w:kern w:val="0"/>
                <w:sz w:val="24"/>
                <w:szCs w:val="24"/>
              </w:rPr>
              <w:t>（湘环评函〔2021〕6号）（见附件</w:t>
            </w:r>
            <w:r>
              <w:rPr>
                <w:rFonts w:hint="eastAsia"/>
                <w:kern w:val="0"/>
                <w:sz w:val="24"/>
                <w:szCs w:val="24"/>
              </w:rPr>
              <w:t>6</w:t>
            </w:r>
            <w:r>
              <w:rPr>
                <w:kern w:val="0"/>
                <w:sz w:val="24"/>
                <w:szCs w:val="24"/>
              </w:rPr>
              <w:t>）</w:t>
            </w:r>
          </w:p>
        </w:tc>
      </w:tr>
      <w:tr w14:paraId="336613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134" w:hRule="atLeast"/>
          <w:jc w:val="center"/>
        </w:trPr>
        <w:tc>
          <w:tcPr>
            <w:tcW w:w="1525" w:type="dxa"/>
            <w:tcMar>
              <w:top w:w="0" w:type="dxa"/>
              <w:left w:w="108" w:type="dxa"/>
              <w:bottom w:w="0" w:type="dxa"/>
              <w:right w:w="108" w:type="dxa"/>
            </w:tcMar>
            <w:vAlign w:val="center"/>
          </w:tcPr>
          <w:p w14:paraId="1ADB2F63">
            <w:pPr>
              <w:autoSpaceDE w:val="0"/>
              <w:autoSpaceDN w:val="0"/>
              <w:jc w:val="center"/>
              <w:rPr>
                <w:kern w:val="0"/>
                <w:sz w:val="24"/>
                <w:szCs w:val="24"/>
              </w:rPr>
            </w:pPr>
            <w:r>
              <w:rPr>
                <w:kern w:val="0"/>
                <w:sz w:val="24"/>
                <w:szCs w:val="24"/>
              </w:rPr>
              <w:t>规划及规划环境影响评价符合性分析</w:t>
            </w:r>
          </w:p>
        </w:tc>
        <w:tc>
          <w:tcPr>
            <w:tcW w:w="8073" w:type="dxa"/>
            <w:gridSpan w:val="3"/>
            <w:tcMar>
              <w:top w:w="0" w:type="dxa"/>
              <w:left w:w="108" w:type="dxa"/>
              <w:bottom w:w="0" w:type="dxa"/>
              <w:right w:w="108" w:type="dxa"/>
            </w:tcMar>
            <w:vAlign w:val="center"/>
          </w:tcPr>
          <w:p w14:paraId="7441E9DB">
            <w:pPr>
              <w:pStyle w:val="98"/>
              <w:numPr>
                <w:ilvl w:val="0"/>
                <w:numId w:val="0"/>
              </w:numPr>
              <w:adjustRightInd w:val="0"/>
              <w:snapToGrid w:val="0"/>
            </w:pPr>
            <w:r>
              <w:t>1建设项目与园区用地规划符合性分析</w:t>
            </w:r>
          </w:p>
          <w:p w14:paraId="2D2F9081">
            <w:pPr>
              <w:pBdr>
                <w:top w:val="none" w:color="000000" w:sz="0" w:space="1"/>
                <w:left w:val="none" w:color="000000" w:sz="0" w:space="1"/>
                <w:bottom w:val="none" w:color="000000" w:sz="0" w:space="0"/>
                <w:right w:val="none" w:color="000000" w:sz="0" w:space="0"/>
              </w:pBdr>
              <w:shd w:val="clear" w:color="FFFFFF" w:fill="auto"/>
              <w:autoSpaceDN w:val="0"/>
              <w:spacing w:line="360" w:lineRule="auto"/>
              <w:ind w:firstLine="480" w:firstLineChars="200"/>
              <w:rPr>
                <w:sz w:val="24"/>
              </w:rPr>
            </w:pPr>
            <w:r>
              <w:rPr>
                <w:sz w:val="24"/>
              </w:rPr>
              <w:t>本项目位于</w:t>
            </w:r>
            <w:r>
              <w:rPr>
                <w:spacing w:val="-6"/>
                <w:sz w:val="24"/>
                <w:szCs w:val="24"/>
              </w:rPr>
              <w:t>安化县东坪镇茶家村茶语路南茶西路北B-02栋标准化厂房</w:t>
            </w:r>
            <w:r>
              <w:rPr>
                <w:sz w:val="24"/>
              </w:rPr>
              <w:t>，</w:t>
            </w:r>
            <w:r>
              <w:rPr>
                <w:sz w:val="24"/>
                <w:lang w:val="zh-CN"/>
              </w:rPr>
              <w:t>根据《湖南安化经济开发区调区扩区规划环境影响报告书》中关于</w:t>
            </w:r>
            <w:r>
              <w:rPr>
                <w:sz w:val="24"/>
              </w:rPr>
              <w:t>黑茶片区</w:t>
            </w:r>
            <w:r>
              <w:rPr>
                <w:sz w:val="24"/>
                <w:lang w:val="zh-CN"/>
              </w:rPr>
              <w:t>规划范围，本项目所在地位于黑茶片区规划范围内；根据《关于发布湖南省省级及以上产业园区边界面积及四至范围目录的通知》（湘发改园区〔2022〕601号）文件中，本项目所在地在</w:t>
            </w:r>
            <w:r>
              <w:rPr>
                <w:sz w:val="24"/>
              </w:rPr>
              <w:t>安化经济开发区</w:t>
            </w:r>
            <w:r>
              <w:rPr>
                <w:sz w:val="24"/>
                <w:lang w:val="zh-CN"/>
              </w:rPr>
              <w:t>区块</w:t>
            </w:r>
            <w:r>
              <w:rPr>
                <w:sz w:val="24"/>
              </w:rPr>
              <w:t>三</w:t>
            </w:r>
            <w:r>
              <w:rPr>
                <w:sz w:val="24"/>
                <w:lang w:val="zh-CN"/>
              </w:rPr>
              <w:t>的四至范围内</w:t>
            </w:r>
            <w:r>
              <w:rPr>
                <w:sz w:val="24"/>
              </w:rPr>
              <w:t>。</w:t>
            </w:r>
          </w:p>
          <w:p w14:paraId="25838128">
            <w:pPr>
              <w:pStyle w:val="100"/>
              <w:numPr>
                <w:ilvl w:val="0"/>
                <w:numId w:val="0"/>
              </w:numPr>
              <w:adjustRightInd w:val="0"/>
              <w:snapToGrid w:val="0"/>
            </w:pPr>
            <w:r>
              <w:t>表1-2  本项目与安化经济开发区</w:t>
            </w:r>
            <w:r>
              <w:rPr>
                <w:lang w:val="zh-CN"/>
              </w:rPr>
              <w:t>区块</w:t>
            </w:r>
            <w:r>
              <w:t>三四至范围描述的位置关系一览表</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78"/>
              <w:gridCol w:w="735"/>
              <w:gridCol w:w="1322"/>
              <w:gridCol w:w="582"/>
              <w:gridCol w:w="986"/>
              <w:gridCol w:w="2526"/>
              <w:gridCol w:w="1198"/>
            </w:tblGrid>
            <w:tr w14:paraId="214107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478" w:type="dxa"/>
                  <w:vAlign w:val="center"/>
                </w:tcPr>
                <w:p w14:paraId="34548042">
                  <w:pPr>
                    <w:pStyle w:val="5"/>
                    <w:rPr>
                      <w:b/>
                      <w:lang w:eastAsia="zh-CN"/>
                    </w:rPr>
                  </w:pPr>
                  <w:r>
                    <w:rPr>
                      <w:b/>
                      <w:lang w:eastAsia="zh-CN"/>
                    </w:rPr>
                    <w:t>序号</w:t>
                  </w:r>
                </w:p>
              </w:tc>
              <w:tc>
                <w:tcPr>
                  <w:tcW w:w="735" w:type="dxa"/>
                  <w:vAlign w:val="center"/>
                </w:tcPr>
                <w:p w14:paraId="49809F54">
                  <w:pPr>
                    <w:pStyle w:val="5"/>
                    <w:rPr>
                      <w:b/>
                      <w:lang w:eastAsia="zh-CN"/>
                    </w:rPr>
                  </w:pPr>
                  <w:r>
                    <w:rPr>
                      <w:b/>
                      <w:lang w:eastAsia="zh-CN"/>
                    </w:rPr>
                    <w:t>开发区名字</w:t>
                  </w:r>
                </w:p>
              </w:tc>
              <w:tc>
                <w:tcPr>
                  <w:tcW w:w="1322" w:type="dxa"/>
                  <w:vAlign w:val="center"/>
                </w:tcPr>
                <w:p w14:paraId="1A00681C">
                  <w:pPr>
                    <w:pStyle w:val="5"/>
                    <w:rPr>
                      <w:b/>
                      <w:lang w:eastAsia="zh-CN"/>
                    </w:rPr>
                  </w:pPr>
                  <w:r>
                    <w:rPr>
                      <w:b/>
                      <w:lang w:eastAsia="zh-CN"/>
                    </w:rPr>
                    <w:t>园区边界范围总面积（公顷）</w:t>
                  </w:r>
                </w:p>
              </w:tc>
              <w:tc>
                <w:tcPr>
                  <w:tcW w:w="582" w:type="dxa"/>
                  <w:vAlign w:val="center"/>
                </w:tcPr>
                <w:p w14:paraId="7D81CFA5">
                  <w:pPr>
                    <w:pStyle w:val="5"/>
                    <w:rPr>
                      <w:b/>
                    </w:rPr>
                  </w:pPr>
                  <w:r>
                    <w:rPr>
                      <w:b/>
                    </w:rPr>
                    <w:t>区块名称</w:t>
                  </w:r>
                </w:p>
              </w:tc>
              <w:tc>
                <w:tcPr>
                  <w:tcW w:w="986" w:type="dxa"/>
                  <w:vAlign w:val="center"/>
                </w:tcPr>
                <w:p w14:paraId="2DA71F41">
                  <w:pPr>
                    <w:pStyle w:val="5"/>
                    <w:rPr>
                      <w:b/>
                    </w:rPr>
                  </w:pPr>
                  <w:r>
                    <w:rPr>
                      <w:b/>
                    </w:rPr>
                    <w:t>区块面积（公顷）</w:t>
                  </w:r>
                </w:p>
              </w:tc>
              <w:tc>
                <w:tcPr>
                  <w:tcW w:w="2526" w:type="dxa"/>
                  <w:vAlign w:val="center"/>
                </w:tcPr>
                <w:p w14:paraId="7C31E0EE">
                  <w:pPr>
                    <w:pStyle w:val="5"/>
                    <w:rPr>
                      <w:b/>
                    </w:rPr>
                  </w:pPr>
                  <w:r>
                    <w:rPr>
                      <w:b/>
                    </w:rPr>
                    <w:t>四至范围文字描述</w:t>
                  </w:r>
                </w:p>
              </w:tc>
              <w:tc>
                <w:tcPr>
                  <w:tcW w:w="1198" w:type="dxa"/>
                  <w:vAlign w:val="center"/>
                </w:tcPr>
                <w:p w14:paraId="5D1AF4FD">
                  <w:pPr>
                    <w:pStyle w:val="5"/>
                    <w:rPr>
                      <w:b/>
                      <w:lang w:eastAsia="zh-CN"/>
                    </w:rPr>
                  </w:pPr>
                  <w:r>
                    <w:rPr>
                      <w:b/>
                      <w:lang w:eastAsia="zh-CN"/>
                    </w:rPr>
                    <w:t>本项目位置</w:t>
                  </w:r>
                </w:p>
              </w:tc>
            </w:tr>
            <w:tr w14:paraId="6EB511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478" w:type="dxa"/>
                  <w:vAlign w:val="center"/>
                </w:tcPr>
                <w:p w14:paraId="67F23A83">
                  <w:pPr>
                    <w:pStyle w:val="5"/>
                    <w:rPr>
                      <w:lang w:eastAsia="zh-CN"/>
                    </w:rPr>
                  </w:pPr>
                  <w:r>
                    <w:rPr>
                      <w:lang w:eastAsia="zh-CN"/>
                    </w:rPr>
                    <w:t>84</w:t>
                  </w:r>
                </w:p>
              </w:tc>
              <w:tc>
                <w:tcPr>
                  <w:tcW w:w="735" w:type="dxa"/>
                  <w:vAlign w:val="center"/>
                </w:tcPr>
                <w:p w14:paraId="338D39D0">
                  <w:pPr>
                    <w:pStyle w:val="5"/>
                    <w:rPr>
                      <w:lang w:eastAsia="zh-CN"/>
                    </w:rPr>
                  </w:pPr>
                  <w:r>
                    <w:rPr>
                      <w:lang w:eastAsia="zh-CN"/>
                    </w:rPr>
                    <w:t>安化经济开发区</w:t>
                  </w:r>
                </w:p>
              </w:tc>
              <w:tc>
                <w:tcPr>
                  <w:tcW w:w="1322" w:type="dxa"/>
                  <w:vAlign w:val="center"/>
                </w:tcPr>
                <w:p w14:paraId="575C1866">
                  <w:pPr>
                    <w:pStyle w:val="5"/>
                    <w:rPr>
                      <w:lang w:eastAsia="zh-CN"/>
                    </w:rPr>
                  </w:pPr>
                  <w:r>
                    <w:rPr>
                      <w:szCs w:val="21"/>
                      <w:lang w:eastAsia="zh-CN"/>
                    </w:rPr>
                    <w:t>350.55</w:t>
                  </w:r>
                </w:p>
              </w:tc>
              <w:tc>
                <w:tcPr>
                  <w:tcW w:w="582" w:type="dxa"/>
                  <w:vAlign w:val="center"/>
                </w:tcPr>
                <w:p w14:paraId="61303FAA">
                  <w:pPr>
                    <w:pStyle w:val="5"/>
                    <w:rPr>
                      <w:lang w:eastAsia="zh-CN"/>
                    </w:rPr>
                  </w:pPr>
                  <w:r>
                    <w:t>区块</w:t>
                  </w:r>
                  <w:r>
                    <w:rPr>
                      <w:lang w:eastAsia="zh-CN"/>
                    </w:rPr>
                    <w:t>六</w:t>
                  </w:r>
                </w:p>
              </w:tc>
              <w:tc>
                <w:tcPr>
                  <w:tcW w:w="986" w:type="dxa"/>
                  <w:vAlign w:val="center"/>
                </w:tcPr>
                <w:p w14:paraId="08098505">
                  <w:pPr>
                    <w:pStyle w:val="5"/>
                    <w:rPr>
                      <w:lang w:eastAsia="zh-CN"/>
                    </w:rPr>
                  </w:pPr>
                  <w:r>
                    <w:rPr>
                      <w:szCs w:val="21"/>
                      <w:lang w:eastAsia="zh-CN"/>
                    </w:rPr>
                    <w:t>63.39</w:t>
                  </w:r>
                </w:p>
              </w:tc>
              <w:tc>
                <w:tcPr>
                  <w:tcW w:w="2526" w:type="dxa"/>
                  <w:vAlign w:val="center"/>
                </w:tcPr>
                <w:p w14:paraId="6827CA11">
                  <w:pPr>
                    <w:pStyle w:val="5"/>
                    <w:rPr>
                      <w:lang w:eastAsia="zh-CN"/>
                    </w:rPr>
                  </w:pPr>
                  <w:r>
                    <w:rPr>
                      <w:szCs w:val="21"/>
                      <w:lang w:eastAsia="zh-CN"/>
                    </w:rPr>
                    <w:t>东至S308省道西100米处，南至田庄乡S308省道南侧，西至资水支流，北至S308省道</w:t>
                  </w:r>
                </w:p>
              </w:tc>
              <w:tc>
                <w:tcPr>
                  <w:tcW w:w="1198" w:type="dxa"/>
                  <w:vAlign w:val="center"/>
                </w:tcPr>
                <w:p w14:paraId="0ED4A8BC">
                  <w:pPr>
                    <w:pStyle w:val="5"/>
                    <w:rPr>
                      <w:lang w:eastAsia="zh-CN"/>
                    </w:rPr>
                  </w:pPr>
                  <w:r>
                    <w:rPr>
                      <w:spacing w:val="-6"/>
                      <w:szCs w:val="24"/>
                      <w:lang w:eastAsia="zh-CN"/>
                    </w:rPr>
                    <w:t>安化县东坪镇茶家村茶语路南茶西路北</w:t>
                  </w:r>
                </w:p>
              </w:tc>
            </w:tr>
          </w:tbl>
          <w:p w14:paraId="7EF0A5D0">
            <w:pPr>
              <w:pStyle w:val="6"/>
              <w:ind w:firstLine="480" w:firstLineChars="200"/>
              <w:jc w:val="both"/>
              <w:rPr>
                <w:rFonts w:eastAsia="宋体"/>
              </w:rPr>
            </w:pPr>
            <w:r>
              <w:rPr>
                <w:rFonts w:eastAsia="宋体"/>
              </w:rPr>
              <w:t>因此本项目属于《关于发布湖南省省级及以上产业园区边界面积及四至范围目录的通知》（湘发改园区</w:t>
            </w:r>
            <w:r>
              <w:rPr>
                <w:lang w:val="zh-CN"/>
              </w:rPr>
              <w:t>〔2022〕</w:t>
            </w:r>
            <w:r>
              <w:rPr>
                <w:rFonts w:eastAsia="宋体"/>
              </w:rPr>
              <w:t>601号）划定的四至范围内。</w:t>
            </w:r>
          </w:p>
          <w:p w14:paraId="7413374D">
            <w:pPr>
              <w:pStyle w:val="98"/>
              <w:numPr>
                <w:ilvl w:val="0"/>
                <w:numId w:val="0"/>
              </w:numPr>
              <w:adjustRightInd w:val="0"/>
              <w:snapToGrid w:val="0"/>
            </w:pPr>
            <w:r>
              <w:rPr>
                <w:shd w:val="clear" w:color="auto" w:fill="FFFFFF"/>
              </w:rPr>
              <w:t>2项目与园区准入条件相容性分析</w:t>
            </w:r>
          </w:p>
          <w:p w14:paraId="776A8061">
            <w:pPr>
              <w:pStyle w:val="6"/>
              <w:ind w:firstLine="480" w:firstLineChars="200"/>
              <w:jc w:val="both"/>
              <w:rPr>
                <w:rFonts w:eastAsia="宋体"/>
              </w:rPr>
            </w:pPr>
            <w:r>
              <w:rPr>
                <w:rFonts w:eastAsia="宋体"/>
              </w:rPr>
              <w:t>根据《湖南安化经济开发区调区扩区规划环境影响报告书》以及审查意见的函（湘环评函</w:t>
            </w:r>
            <w:r>
              <w:rPr>
                <w:kern w:val="0"/>
                <w:szCs w:val="24"/>
              </w:rPr>
              <w:t>〔2021〕</w:t>
            </w:r>
            <w:r>
              <w:rPr>
                <w:rFonts w:eastAsia="宋体"/>
              </w:rPr>
              <w:t>6号），湖南安化经济开发区规划用地面积362.9公顷，其中江南组团37.14公顷，东至繁荣村，南至永兴村，西至胜荣村，北至资江；酉州组团49.09公顷、金竹茶家组团156.18公顷、搓溪组团86.59公顷，东至唐市居委会，南至金竹村，西至酉州村，北至东坪镇桔场；鹊坪组团33.9公顷，东至308省道，南至鹊坪公园，西至鹊坪村，北至资江，主要发展黑茶加工、中医药加工、农副产品加工产业。项目与湖南安化经济开发区环境准入行业正面清单-黑茶片区的符合性分析详见下表。</w:t>
            </w:r>
          </w:p>
          <w:p w14:paraId="3F07E71D">
            <w:pPr>
              <w:pStyle w:val="100"/>
              <w:numPr>
                <w:ilvl w:val="0"/>
                <w:numId w:val="0"/>
              </w:numPr>
              <w:adjustRightInd w:val="0"/>
              <w:snapToGrid w:val="0"/>
            </w:pPr>
            <w:r>
              <w:t>表1-3  环境准入行业正面清单一览表</w:t>
            </w:r>
          </w:p>
          <w:tbl>
            <w:tblPr>
              <w:tblStyle w:val="24"/>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559"/>
              <w:gridCol w:w="4392"/>
              <w:gridCol w:w="1437"/>
              <w:gridCol w:w="1437"/>
            </w:tblGrid>
            <w:tr w14:paraId="45B104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4" w:hRule="atLeast"/>
                <w:tblHeader/>
                <w:jc w:val="center"/>
              </w:trPr>
              <w:tc>
                <w:tcPr>
                  <w:tcW w:w="358" w:type="pct"/>
                  <w:vAlign w:val="center"/>
                </w:tcPr>
                <w:p w14:paraId="27CDC298">
                  <w:pPr>
                    <w:pStyle w:val="5"/>
                    <w:rPr>
                      <w:b/>
                      <w:lang w:eastAsia="zh-CN"/>
                    </w:rPr>
                  </w:pPr>
                  <w:r>
                    <w:rPr>
                      <w:b/>
                      <w:lang w:eastAsia="zh-CN"/>
                    </w:rPr>
                    <w:t>片区</w:t>
                  </w:r>
                </w:p>
              </w:tc>
              <w:tc>
                <w:tcPr>
                  <w:tcW w:w="2805" w:type="pct"/>
                  <w:vAlign w:val="center"/>
                </w:tcPr>
                <w:p w14:paraId="2DE6C301">
                  <w:pPr>
                    <w:pStyle w:val="5"/>
                    <w:rPr>
                      <w:b/>
                    </w:rPr>
                  </w:pPr>
                  <w:r>
                    <w:rPr>
                      <w:b/>
                    </w:rPr>
                    <w:t>行业</w:t>
                  </w:r>
                </w:p>
              </w:tc>
              <w:tc>
                <w:tcPr>
                  <w:tcW w:w="917" w:type="pct"/>
                  <w:vAlign w:val="center"/>
                </w:tcPr>
                <w:p w14:paraId="2440A231">
                  <w:pPr>
                    <w:pStyle w:val="5"/>
                    <w:rPr>
                      <w:b/>
                      <w:lang w:eastAsia="zh-CN"/>
                    </w:rPr>
                  </w:pPr>
                  <w:r>
                    <w:rPr>
                      <w:b/>
                      <w:lang w:eastAsia="zh-CN"/>
                    </w:rPr>
                    <w:t>依据</w:t>
                  </w:r>
                </w:p>
              </w:tc>
              <w:tc>
                <w:tcPr>
                  <w:tcW w:w="917" w:type="pct"/>
                  <w:vAlign w:val="center"/>
                </w:tcPr>
                <w:p w14:paraId="41E46620">
                  <w:pPr>
                    <w:pStyle w:val="5"/>
                    <w:rPr>
                      <w:b/>
                      <w:lang w:eastAsia="zh-CN"/>
                    </w:rPr>
                  </w:pPr>
                  <w:r>
                    <w:rPr>
                      <w:b/>
                      <w:lang w:eastAsia="zh-CN"/>
                    </w:rPr>
                    <w:t>本项目情况</w:t>
                  </w:r>
                </w:p>
              </w:tc>
            </w:tr>
            <w:tr w14:paraId="061ED2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358" w:type="pct"/>
                  <w:vAlign w:val="center"/>
                </w:tcPr>
                <w:p w14:paraId="5EDCFEDA">
                  <w:pPr>
                    <w:pStyle w:val="5"/>
                  </w:pPr>
                  <w:r>
                    <w:t>黑茶片区</w:t>
                  </w:r>
                </w:p>
              </w:tc>
              <w:tc>
                <w:tcPr>
                  <w:tcW w:w="2805" w:type="pct"/>
                  <w:vAlign w:val="center"/>
                </w:tcPr>
                <w:p w14:paraId="4B1DFFBA">
                  <w:pPr>
                    <w:pStyle w:val="5"/>
                    <w:jc w:val="both"/>
                    <w:rPr>
                      <w:lang w:eastAsia="zh-CN"/>
                    </w:rPr>
                  </w:pPr>
                  <w:r>
                    <w:rPr>
                      <w:lang w:eastAsia="zh-CN"/>
                    </w:rPr>
                    <w:t>《国民经济行业分类》（GB/T 4754-2017）中：黑茶加工（C153精制茶加工）；中医药加工（C273中药饮片加工）；农副食品加工（C131谷物磨制；C132饲料加工；C137蔬菜、菌类、水果和坚果加工；C139其他农副食品加工）。</w:t>
                  </w:r>
                </w:p>
              </w:tc>
              <w:tc>
                <w:tcPr>
                  <w:tcW w:w="917" w:type="pct"/>
                  <w:vAlign w:val="center"/>
                </w:tcPr>
                <w:p w14:paraId="131B7FE7">
                  <w:pPr>
                    <w:pStyle w:val="5"/>
                    <w:rPr>
                      <w:lang w:eastAsia="zh-CN"/>
                    </w:rPr>
                  </w:pPr>
                  <w:r>
                    <w:rPr>
                      <w:lang w:eastAsia="zh-CN"/>
                    </w:rPr>
                    <w:t>主导产业定位：中医药加工、黑茶加工、农副产品加工</w:t>
                  </w:r>
                </w:p>
              </w:tc>
              <w:tc>
                <w:tcPr>
                  <w:tcW w:w="917" w:type="pct"/>
                  <w:vAlign w:val="center"/>
                </w:tcPr>
                <w:p w14:paraId="1404DD94">
                  <w:pPr>
                    <w:widowControl/>
                    <w:jc w:val="center"/>
                    <w:rPr>
                      <w:highlight w:val="yellow"/>
                    </w:rPr>
                  </w:pPr>
                  <w:r>
                    <w:rPr>
                      <w:szCs w:val="21"/>
                    </w:rPr>
                    <w:t>本项目主要生产C1353 肉制品及副产品加工及</w:t>
                  </w:r>
                  <w:r>
                    <w:t>C1369</w:t>
                  </w:r>
                  <w:r>
                    <w:rPr>
                      <w:rFonts w:hint="eastAsia"/>
                    </w:rPr>
                    <w:t>其他水产品加工</w:t>
                  </w:r>
                  <w:r>
                    <w:rPr>
                      <w:szCs w:val="21"/>
                    </w:rPr>
                    <w:t>，</w:t>
                  </w:r>
                  <w:r>
                    <w:t>不属于主导产业，但与主导产业相容</w:t>
                  </w:r>
                </w:p>
              </w:tc>
            </w:tr>
          </w:tbl>
          <w:p w14:paraId="1D29DB2E">
            <w:pPr>
              <w:pStyle w:val="6"/>
              <w:ind w:firstLine="480" w:firstLineChars="200"/>
              <w:jc w:val="both"/>
              <w:rPr>
                <w:rFonts w:eastAsia="宋体"/>
              </w:rPr>
            </w:pPr>
            <w:r>
              <w:rPr>
                <w:rFonts w:eastAsia="宋体"/>
              </w:rPr>
              <w:t>湖南安化经济开发区环境准入行业负面清单-黑茶片区的符合性分析详见下表。</w:t>
            </w:r>
          </w:p>
          <w:p w14:paraId="0569E635">
            <w:pPr>
              <w:pStyle w:val="100"/>
              <w:numPr>
                <w:ilvl w:val="0"/>
                <w:numId w:val="0"/>
              </w:numPr>
              <w:adjustRightInd w:val="0"/>
              <w:snapToGrid w:val="0"/>
            </w:pPr>
            <w:r>
              <w:t>表1-4  环境准入行业</w:t>
            </w:r>
            <w:r>
              <w:rPr>
                <w:rFonts w:hint="eastAsia"/>
              </w:rPr>
              <w:t>负面</w:t>
            </w:r>
            <w:r>
              <w:t>清单一览表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59"/>
              <w:gridCol w:w="4170"/>
              <w:gridCol w:w="1958"/>
              <w:gridCol w:w="1140"/>
            </w:tblGrid>
            <w:tr w14:paraId="601B4A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7" w:type="pct"/>
                  <w:vAlign w:val="center"/>
                </w:tcPr>
                <w:p w14:paraId="0C000D26">
                  <w:pPr>
                    <w:pStyle w:val="93"/>
                    <w:tabs>
                      <w:tab w:val="center" w:pos="4153"/>
                      <w:tab w:val="right" w:pos="8306"/>
                    </w:tabs>
                    <w:rPr>
                      <w:rFonts w:cs="Arial"/>
                      <w:b/>
                      <w:bCs/>
                    </w:rPr>
                  </w:pPr>
                  <w:r>
                    <w:rPr>
                      <w:rFonts w:cs="Arial"/>
                      <w:b/>
                      <w:bCs/>
                    </w:rPr>
                    <w:t>行业</w:t>
                  </w:r>
                </w:p>
              </w:tc>
              <w:tc>
                <w:tcPr>
                  <w:tcW w:w="2663" w:type="pct"/>
                  <w:vAlign w:val="center"/>
                </w:tcPr>
                <w:p w14:paraId="09E4E5FB">
                  <w:pPr>
                    <w:pStyle w:val="93"/>
                    <w:tabs>
                      <w:tab w:val="center" w:pos="4153"/>
                      <w:tab w:val="right" w:pos="8306"/>
                    </w:tabs>
                    <w:rPr>
                      <w:rFonts w:cs="Arial"/>
                      <w:b/>
                      <w:bCs/>
                    </w:rPr>
                  </w:pPr>
                  <w:r>
                    <w:rPr>
                      <w:rFonts w:cs="Arial"/>
                      <w:b/>
                      <w:bCs/>
                    </w:rPr>
                    <w:t>项目</w:t>
                  </w:r>
                </w:p>
              </w:tc>
              <w:tc>
                <w:tcPr>
                  <w:tcW w:w="1250" w:type="pct"/>
                  <w:vAlign w:val="center"/>
                </w:tcPr>
                <w:p w14:paraId="5E20D8D6">
                  <w:pPr>
                    <w:pStyle w:val="93"/>
                    <w:tabs>
                      <w:tab w:val="center" w:pos="4153"/>
                      <w:tab w:val="right" w:pos="8306"/>
                    </w:tabs>
                    <w:rPr>
                      <w:rFonts w:cs="Arial"/>
                      <w:b/>
                      <w:bCs/>
                    </w:rPr>
                  </w:pPr>
                  <w:r>
                    <w:rPr>
                      <w:rFonts w:cs="Arial"/>
                      <w:b/>
                      <w:bCs/>
                    </w:rPr>
                    <w:t>主要文件依据</w:t>
                  </w:r>
                </w:p>
              </w:tc>
              <w:tc>
                <w:tcPr>
                  <w:tcW w:w="728" w:type="pct"/>
                  <w:vAlign w:val="center"/>
                </w:tcPr>
                <w:p w14:paraId="15932330">
                  <w:pPr>
                    <w:pStyle w:val="93"/>
                    <w:tabs>
                      <w:tab w:val="center" w:pos="4153"/>
                      <w:tab w:val="right" w:pos="8306"/>
                    </w:tabs>
                    <w:rPr>
                      <w:rFonts w:cs="Arial"/>
                    </w:rPr>
                  </w:pPr>
                  <w:r>
                    <w:rPr>
                      <w:b/>
                      <w:kern w:val="0"/>
                      <w:szCs w:val="21"/>
                    </w:rPr>
                    <w:t>本项目情况</w:t>
                  </w:r>
                </w:p>
              </w:tc>
            </w:tr>
            <w:tr w14:paraId="3E1D09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271" w:type="pct"/>
                  <w:gridSpan w:val="3"/>
                  <w:vAlign w:val="center"/>
                </w:tcPr>
                <w:p w14:paraId="709DEBCE">
                  <w:pPr>
                    <w:pStyle w:val="93"/>
                    <w:tabs>
                      <w:tab w:val="center" w:pos="4153"/>
                      <w:tab w:val="right" w:pos="8306"/>
                    </w:tabs>
                    <w:rPr>
                      <w:rFonts w:cs="Arial"/>
                    </w:rPr>
                  </w:pPr>
                  <w:r>
                    <w:rPr>
                      <w:rFonts w:cs="Arial"/>
                    </w:rPr>
                    <w:t>（一）限制类</w:t>
                  </w:r>
                </w:p>
              </w:tc>
              <w:tc>
                <w:tcPr>
                  <w:tcW w:w="728" w:type="pct"/>
                  <w:vMerge w:val="restart"/>
                  <w:vAlign w:val="center"/>
                </w:tcPr>
                <w:p w14:paraId="50A0A165">
                  <w:pPr>
                    <w:pStyle w:val="93"/>
                    <w:tabs>
                      <w:tab w:val="center" w:pos="4153"/>
                      <w:tab w:val="right" w:pos="8306"/>
                    </w:tabs>
                    <w:rPr>
                      <w:rFonts w:cs="Arial"/>
                    </w:rPr>
                  </w:pPr>
                  <w:r>
                    <w:rPr>
                      <w:szCs w:val="21"/>
                    </w:rPr>
                    <w:t>本项目涉及C1353 肉制品及副产品加工</w:t>
                  </w:r>
                  <w:r>
                    <w:rPr>
                      <w:rFonts w:hint="eastAsia"/>
                      <w:szCs w:val="21"/>
                    </w:rPr>
                    <w:t>、</w:t>
                  </w:r>
                  <w:r>
                    <w:t>C1369</w:t>
                  </w:r>
                  <w:r>
                    <w:rPr>
                      <w:rFonts w:hint="eastAsia"/>
                    </w:rPr>
                    <w:t>其他水产品加工</w:t>
                  </w:r>
                  <w:r>
                    <w:rPr>
                      <w:kern w:val="0"/>
                      <w:szCs w:val="21"/>
                    </w:rPr>
                    <w:t>，不属于禁止类产</w:t>
                  </w:r>
                  <w:r>
                    <w:rPr>
                      <w:rFonts w:hint="eastAsia"/>
                      <w:kern w:val="0"/>
                      <w:szCs w:val="21"/>
                    </w:rPr>
                    <w:t>业</w:t>
                  </w:r>
                </w:p>
              </w:tc>
            </w:tr>
            <w:tr w14:paraId="3CD02F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7" w:type="pct"/>
                  <w:vAlign w:val="center"/>
                </w:tcPr>
                <w:p w14:paraId="34BB75BF">
                  <w:pPr>
                    <w:pStyle w:val="93"/>
                    <w:tabs>
                      <w:tab w:val="center" w:pos="4153"/>
                      <w:tab w:val="right" w:pos="8306"/>
                    </w:tabs>
                    <w:rPr>
                      <w:rFonts w:cs="Arial"/>
                    </w:rPr>
                  </w:pPr>
                  <w:r>
                    <w:rPr>
                      <w:rFonts w:cs="Arial"/>
                    </w:rPr>
                    <w:t>制造业</w:t>
                  </w:r>
                </w:p>
              </w:tc>
              <w:tc>
                <w:tcPr>
                  <w:tcW w:w="2663" w:type="pct"/>
                  <w:vAlign w:val="center"/>
                </w:tcPr>
                <w:p w14:paraId="0A70C1E4">
                  <w:pPr>
                    <w:pStyle w:val="93"/>
                    <w:tabs>
                      <w:tab w:val="center" w:pos="4153"/>
                      <w:tab w:val="right" w:pos="8306"/>
                    </w:tabs>
                    <w:rPr>
                      <w:rFonts w:cs="Arial"/>
                    </w:rPr>
                  </w:pPr>
                  <w:r>
                    <w:rPr>
                      <w:rFonts w:cs="Arial"/>
                    </w:rPr>
                    <w:t>（1）豆油、菜籽油、花生油、棉籽油、茶籽油、葵花籽油、棕榈油等食用油脂加工，大米、面粉、原糖加工，玉米深加工</w:t>
                  </w:r>
                </w:p>
                <w:p w14:paraId="170A83FE">
                  <w:pPr>
                    <w:pStyle w:val="93"/>
                    <w:tabs>
                      <w:tab w:val="center" w:pos="4153"/>
                      <w:tab w:val="right" w:pos="8306"/>
                    </w:tabs>
                    <w:rPr>
                      <w:rFonts w:cs="Arial"/>
                    </w:rPr>
                  </w:pPr>
                  <w:r>
                    <w:rPr>
                      <w:rFonts w:cs="Arial"/>
                    </w:rPr>
                    <w:t>（2）生物液体燃料（燃料乙醇、生物柴油）生产</w:t>
                  </w:r>
                </w:p>
                <w:p w14:paraId="1E43E729">
                  <w:pPr>
                    <w:pStyle w:val="93"/>
                    <w:tabs>
                      <w:tab w:val="center" w:pos="4153"/>
                      <w:tab w:val="right" w:pos="8306"/>
                    </w:tabs>
                    <w:rPr>
                      <w:rFonts w:cs="Arial"/>
                    </w:rPr>
                  </w:pPr>
                  <w:r>
                    <w:rPr>
                      <w:rFonts w:cs="Arial"/>
                    </w:rPr>
                    <w:t>（3）稀土冶炼、分离</w:t>
                  </w:r>
                </w:p>
              </w:tc>
              <w:tc>
                <w:tcPr>
                  <w:tcW w:w="1250" w:type="pct"/>
                  <w:vMerge w:val="restart"/>
                  <w:vAlign w:val="center"/>
                </w:tcPr>
                <w:p w14:paraId="2B1A4C29">
                  <w:pPr>
                    <w:pStyle w:val="93"/>
                    <w:tabs>
                      <w:tab w:val="center" w:pos="4153"/>
                      <w:tab w:val="right" w:pos="8306"/>
                    </w:tabs>
                    <w:rPr>
                      <w:rFonts w:cs="Arial"/>
                    </w:rPr>
                  </w:pPr>
                  <w:r>
                    <w:rPr>
                      <w:rFonts w:cs="Arial"/>
                    </w:rPr>
                    <w:t>1、2019年国家发改委关于修改《产业结构调整目录（2019年）》；</w:t>
                  </w:r>
                </w:p>
                <w:p w14:paraId="4334F127">
                  <w:pPr>
                    <w:pStyle w:val="93"/>
                    <w:tabs>
                      <w:tab w:val="center" w:pos="4153"/>
                      <w:tab w:val="right" w:pos="8306"/>
                    </w:tabs>
                    <w:rPr>
                      <w:rFonts w:cs="Arial"/>
                    </w:rPr>
                  </w:pPr>
                  <w:r>
                    <w:rPr>
                      <w:rFonts w:cs="Arial"/>
                    </w:rPr>
                    <w:t>2、国家工业和信息化部《部分工业行业淘汰落后生产工艺装备和产品指导目录（2010年本）》（工产业〔2010〕第122号）；</w:t>
                  </w:r>
                </w:p>
                <w:p w14:paraId="720936CC">
                  <w:pPr>
                    <w:pStyle w:val="93"/>
                    <w:tabs>
                      <w:tab w:val="center" w:pos="4153"/>
                      <w:tab w:val="right" w:pos="8306"/>
                    </w:tabs>
                    <w:rPr>
                      <w:rFonts w:cs="Arial"/>
                    </w:rPr>
                  </w:pPr>
                  <w:r>
                    <w:rPr>
                      <w:rFonts w:cs="Arial"/>
                    </w:rPr>
                    <w:t>3、国土资源部、国家发改委关于发布实施《限制用地项目目录（2012年本）》和《禁止用地项目目录（2012年本）》的通知（国土资发〔2012〕98号）</w:t>
                  </w:r>
                </w:p>
              </w:tc>
              <w:tc>
                <w:tcPr>
                  <w:tcW w:w="728" w:type="pct"/>
                  <w:vMerge w:val="continue"/>
                  <w:vAlign w:val="center"/>
                </w:tcPr>
                <w:p w14:paraId="367653B2">
                  <w:pPr>
                    <w:pStyle w:val="93"/>
                    <w:tabs>
                      <w:tab w:val="center" w:pos="4153"/>
                      <w:tab w:val="right" w:pos="8306"/>
                    </w:tabs>
                    <w:rPr>
                      <w:rFonts w:cs="Arial"/>
                    </w:rPr>
                  </w:pPr>
                </w:p>
              </w:tc>
            </w:tr>
            <w:tr w14:paraId="11DDC7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7" w:type="pct"/>
                  <w:vAlign w:val="center"/>
                </w:tcPr>
                <w:p w14:paraId="148605B6">
                  <w:pPr>
                    <w:pStyle w:val="93"/>
                    <w:tabs>
                      <w:tab w:val="center" w:pos="4153"/>
                      <w:tab w:val="right" w:pos="8306"/>
                    </w:tabs>
                    <w:rPr>
                      <w:rFonts w:cs="Arial"/>
                    </w:rPr>
                  </w:pPr>
                  <w:r>
                    <w:rPr>
                      <w:rFonts w:cs="Arial"/>
                    </w:rPr>
                    <w:t>交通运输、仓储和邮政业</w:t>
                  </w:r>
                </w:p>
              </w:tc>
              <w:tc>
                <w:tcPr>
                  <w:tcW w:w="2663" w:type="pct"/>
                  <w:vAlign w:val="center"/>
                </w:tcPr>
                <w:p w14:paraId="53C5024C">
                  <w:pPr>
                    <w:pStyle w:val="93"/>
                    <w:tabs>
                      <w:tab w:val="center" w:pos="4153"/>
                      <w:tab w:val="right" w:pos="8306"/>
                    </w:tabs>
                    <w:rPr>
                      <w:rFonts w:cs="Arial"/>
                    </w:rPr>
                  </w:pPr>
                  <w:r>
                    <w:rPr>
                      <w:rFonts w:cs="Arial"/>
                    </w:rPr>
                    <w:t>（1）在居住区附近从事危险化学品、有毒有害物质仓储及运输等活动</w:t>
                  </w:r>
                </w:p>
                <w:p w14:paraId="52BC83D5">
                  <w:pPr>
                    <w:pStyle w:val="93"/>
                    <w:tabs>
                      <w:tab w:val="center" w:pos="4153"/>
                      <w:tab w:val="right" w:pos="8306"/>
                    </w:tabs>
                    <w:rPr>
                      <w:rFonts w:cs="Arial"/>
                    </w:rPr>
                  </w:pPr>
                  <w:r>
                    <w:rPr>
                      <w:rFonts w:cs="Arial"/>
                    </w:rPr>
                    <w:t>（2）在林地上从事仓储物流的项目</w:t>
                  </w:r>
                </w:p>
              </w:tc>
              <w:tc>
                <w:tcPr>
                  <w:tcW w:w="1250" w:type="pct"/>
                  <w:vMerge w:val="continue"/>
                  <w:vAlign w:val="center"/>
                </w:tcPr>
                <w:p w14:paraId="6282B38A">
                  <w:pPr>
                    <w:pStyle w:val="93"/>
                    <w:tabs>
                      <w:tab w:val="center" w:pos="4153"/>
                      <w:tab w:val="right" w:pos="8306"/>
                    </w:tabs>
                    <w:rPr>
                      <w:rFonts w:cs="Arial"/>
                    </w:rPr>
                  </w:pPr>
                </w:p>
              </w:tc>
              <w:tc>
                <w:tcPr>
                  <w:tcW w:w="728" w:type="pct"/>
                  <w:vMerge w:val="continue"/>
                  <w:vAlign w:val="center"/>
                </w:tcPr>
                <w:p w14:paraId="59B6BB02">
                  <w:pPr>
                    <w:pStyle w:val="93"/>
                    <w:tabs>
                      <w:tab w:val="center" w:pos="4153"/>
                      <w:tab w:val="right" w:pos="8306"/>
                    </w:tabs>
                    <w:rPr>
                      <w:rFonts w:cs="Arial"/>
                    </w:rPr>
                  </w:pPr>
                </w:p>
              </w:tc>
            </w:tr>
            <w:tr w14:paraId="009106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7" w:type="pct"/>
                  <w:vAlign w:val="center"/>
                </w:tcPr>
                <w:p w14:paraId="10949398">
                  <w:pPr>
                    <w:pStyle w:val="93"/>
                    <w:tabs>
                      <w:tab w:val="center" w:pos="4153"/>
                      <w:tab w:val="right" w:pos="8306"/>
                    </w:tabs>
                    <w:rPr>
                      <w:rFonts w:cs="Arial"/>
                    </w:rPr>
                  </w:pPr>
                  <w:r>
                    <w:rPr>
                      <w:rFonts w:cs="Arial"/>
                    </w:rPr>
                    <w:t>有色金属</w:t>
                  </w:r>
                </w:p>
              </w:tc>
              <w:tc>
                <w:tcPr>
                  <w:tcW w:w="2663" w:type="pct"/>
                  <w:vAlign w:val="center"/>
                </w:tcPr>
                <w:p w14:paraId="36B73060">
                  <w:pPr>
                    <w:pStyle w:val="93"/>
                    <w:tabs>
                      <w:tab w:val="center" w:pos="4153"/>
                      <w:tab w:val="right" w:pos="8306"/>
                    </w:tabs>
                    <w:rPr>
                      <w:rFonts w:cs="Arial"/>
                    </w:rPr>
                  </w:pPr>
                  <w:r>
                    <w:rPr>
                      <w:rFonts w:cs="Arial"/>
                    </w:rPr>
                    <w:t>（1）新建、扩建稀土开采、选矿、冶炼、分离项目以及氧化锑、铅锡焊料生产项目。</w:t>
                  </w:r>
                </w:p>
                <w:p w14:paraId="1841E811">
                  <w:pPr>
                    <w:pStyle w:val="93"/>
                    <w:tabs>
                      <w:tab w:val="center" w:pos="4153"/>
                      <w:tab w:val="right" w:pos="8306"/>
                    </w:tabs>
                    <w:rPr>
                      <w:rFonts w:cs="Arial"/>
                    </w:rPr>
                  </w:pPr>
                  <w:r>
                    <w:rPr>
                      <w:rFonts w:cs="Arial"/>
                    </w:rPr>
                    <w:t>（2）单系列10万吨/年规模以下粗铜冶炼项目。</w:t>
                  </w:r>
                </w:p>
                <w:p w14:paraId="2EAD4EFF">
                  <w:pPr>
                    <w:pStyle w:val="93"/>
                    <w:tabs>
                      <w:tab w:val="center" w:pos="4153"/>
                      <w:tab w:val="right" w:pos="8306"/>
                    </w:tabs>
                    <w:rPr>
                      <w:rFonts w:cs="Arial"/>
                    </w:rPr>
                  </w:pPr>
                  <w:r>
                    <w:rPr>
                      <w:rFonts w:cs="Arial"/>
                    </w:rPr>
                    <w:t>（3）铅冶炼项目（单系列5万吨/年规模及以上，不新增产能的技改和环保改造项目除外）。</w:t>
                  </w:r>
                </w:p>
                <w:p w14:paraId="140DD1B2">
                  <w:pPr>
                    <w:pStyle w:val="93"/>
                    <w:tabs>
                      <w:tab w:val="center" w:pos="4153"/>
                      <w:tab w:val="right" w:pos="8306"/>
                    </w:tabs>
                    <w:rPr>
                      <w:rFonts w:cs="Arial"/>
                    </w:rPr>
                  </w:pPr>
                  <w:r>
                    <w:rPr>
                      <w:rFonts w:cs="Arial"/>
                    </w:rPr>
                    <w:t>（4）单系列10万吨/年规模以下锌冶炼项目（直接浸出除外）</w:t>
                  </w:r>
                </w:p>
                <w:p w14:paraId="62525FC4">
                  <w:pPr>
                    <w:pStyle w:val="93"/>
                    <w:tabs>
                      <w:tab w:val="center" w:pos="4153"/>
                      <w:tab w:val="right" w:pos="8306"/>
                    </w:tabs>
                    <w:rPr>
                      <w:rFonts w:cs="Arial"/>
                    </w:rPr>
                  </w:pPr>
                  <w:r>
                    <w:rPr>
                      <w:rFonts w:cs="Arial"/>
                    </w:rPr>
                    <w:t>（5）新建单系列生产能力5万吨/年及以下、改扩建单系列生产能力2万吨/年及以下，以及资源利用、能源消耗、环境保护等指标达不到行业准入条件要求的再生铅项目。</w:t>
                  </w:r>
                </w:p>
              </w:tc>
              <w:tc>
                <w:tcPr>
                  <w:tcW w:w="1250" w:type="pct"/>
                  <w:vMerge w:val="continue"/>
                  <w:vAlign w:val="center"/>
                </w:tcPr>
                <w:p w14:paraId="53DED9AB">
                  <w:pPr>
                    <w:pStyle w:val="93"/>
                    <w:tabs>
                      <w:tab w:val="center" w:pos="4153"/>
                      <w:tab w:val="right" w:pos="8306"/>
                    </w:tabs>
                    <w:rPr>
                      <w:rFonts w:cs="Arial"/>
                    </w:rPr>
                  </w:pPr>
                </w:p>
              </w:tc>
              <w:tc>
                <w:tcPr>
                  <w:tcW w:w="728" w:type="pct"/>
                  <w:vMerge w:val="continue"/>
                  <w:vAlign w:val="center"/>
                </w:tcPr>
                <w:p w14:paraId="4DF5718A">
                  <w:pPr>
                    <w:pStyle w:val="93"/>
                    <w:tabs>
                      <w:tab w:val="center" w:pos="4153"/>
                      <w:tab w:val="right" w:pos="8306"/>
                    </w:tabs>
                    <w:rPr>
                      <w:rFonts w:cs="Arial"/>
                    </w:rPr>
                  </w:pPr>
                </w:p>
              </w:tc>
            </w:tr>
            <w:tr w14:paraId="100CCF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7" w:type="pct"/>
                  <w:vAlign w:val="center"/>
                </w:tcPr>
                <w:p w14:paraId="5E0E59D5">
                  <w:pPr>
                    <w:pStyle w:val="93"/>
                    <w:tabs>
                      <w:tab w:val="center" w:pos="4153"/>
                      <w:tab w:val="right" w:pos="8306"/>
                    </w:tabs>
                    <w:rPr>
                      <w:rFonts w:cs="Arial"/>
                    </w:rPr>
                  </w:pPr>
                  <w:r>
                    <w:rPr>
                      <w:rFonts w:cs="Arial"/>
                    </w:rPr>
                    <w:t>轻工</w:t>
                  </w:r>
                </w:p>
              </w:tc>
              <w:tc>
                <w:tcPr>
                  <w:tcW w:w="2663" w:type="pct"/>
                  <w:vAlign w:val="center"/>
                </w:tcPr>
                <w:p w14:paraId="01B570EA">
                  <w:pPr>
                    <w:pStyle w:val="93"/>
                    <w:tabs>
                      <w:tab w:val="center" w:pos="4153"/>
                      <w:tab w:val="right" w:pos="8306"/>
                    </w:tabs>
                    <w:rPr>
                      <w:rFonts w:cs="Arial"/>
                    </w:rPr>
                  </w:pPr>
                  <w:r>
                    <w:rPr>
                      <w:rFonts w:cs="Arial"/>
                    </w:rPr>
                    <w:t>（1）聚氯乙烯普通人造革生产线。</w:t>
                  </w:r>
                </w:p>
                <w:p w14:paraId="3D4D493F">
                  <w:pPr>
                    <w:pStyle w:val="93"/>
                    <w:tabs>
                      <w:tab w:val="center" w:pos="4153"/>
                      <w:tab w:val="right" w:pos="8306"/>
                    </w:tabs>
                    <w:rPr>
                      <w:rFonts w:cs="Arial"/>
                    </w:rPr>
                  </w:pPr>
                  <w:r>
                    <w:rPr>
                      <w:rFonts w:cs="Arial"/>
                    </w:rPr>
                    <w:t>（2）普通照明白炽灯、高压汞灯。</w:t>
                  </w:r>
                </w:p>
                <w:p w14:paraId="7F34048D">
                  <w:pPr>
                    <w:pStyle w:val="93"/>
                    <w:tabs>
                      <w:tab w:val="center" w:pos="4153"/>
                      <w:tab w:val="right" w:pos="8306"/>
                    </w:tabs>
                    <w:rPr>
                      <w:rFonts w:cs="Arial"/>
                    </w:rPr>
                  </w:pPr>
                  <w:r>
                    <w:rPr>
                      <w:rFonts w:cs="Arial"/>
                    </w:rPr>
                    <w:t>（3）3万吨/年及以下的玻璃瓶罐生产线。</w:t>
                  </w:r>
                </w:p>
                <w:p w14:paraId="2C94DB2B">
                  <w:pPr>
                    <w:pStyle w:val="93"/>
                    <w:tabs>
                      <w:tab w:val="center" w:pos="4153"/>
                      <w:tab w:val="right" w:pos="8306"/>
                    </w:tabs>
                    <w:rPr>
                      <w:rFonts w:cs="Arial"/>
                    </w:rPr>
                  </w:pPr>
                  <w:r>
                    <w:rPr>
                      <w:rFonts w:cs="Arial"/>
                    </w:rPr>
                    <w:t>（4）未达到日用玻璃行业清洁生产评价指标体系规定指标的玻璃窑炉。</w:t>
                  </w:r>
                </w:p>
                <w:p w14:paraId="522C262A">
                  <w:pPr>
                    <w:pStyle w:val="93"/>
                    <w:tabs>
                      <w:tab w:val="center" w:pos="4153"/>
                      <w:tab w:val="right" w:pos="8306"/>
                    </w:tabs>
                    <w:rPr>
                      <w:rFonts w:cs="Arial"/>
                    </w:rPr>
                  </w:pPr>
                  <w:r>
                    <w:rPr>
                      <w:rFonts w:cs="Arial"/>
                    </w:rPr>
                    <w:t>（5）生产能力小于18000瓶/时的啤酒灌装生产线。</w:t>
                  </w:r>
                </w:p>
                <w:p w14:paraId="27879B84">
                  <w:pPr>
                    <w:pStyle w:val="93"/>
                    <w:tabs>
                      <w:tab w:val="center" w:pos="4153"/>
                      <w:tab w:val="right" w:pos="8306"/>
                    </w:tabs>
                    <w:rPr>
                      <w:rFonts w:cs="Arial"/>
                    </w:rPr>
                  </w:pPr>
                  <w:r>
                    <w:rPr>
                      <w:rFonts w:cs="Arial"/>
                    </w:rPr>
                    <w:t>（6）白酒生产线。</w:t>
                  </w:r>
                </w:p>
                <w:p w14:paraId="05FEBCDF">
                  <w:pPr>
                    <w:pStyle w:val="93"/>
                    <w:tabs>
                      <w:tab w:val="center" w:pos="4153"/>
                      <w:tab w:val="right" w:pos="8306"/>
                    </w:tabs>
                    <w:rPr>
                      <w:rFonts w:cs="Arial"/>
                    </w:rPr>
                  </w:pPr>
                  <w:r>
                    <w:rPr>
                      <w:rFonts w:cs="Arial"/>
                    </w:rPr>
                    <w:t>（7）酒精生产线。</w:t>
                  </w:r>
                </w:p>
                <w:p w14:paraId="50EC501C">
                  <w:pPr>
                    <w:pStyle w:val="93"/>
                    <w:tabs>
                      <w:tab w:val="center" w:pos="4153"/>
                      <w:tab w:val="right" w:pos="8306"/>
                    </w:tabs>
                    <w:rPr>
                      <w:rFonts w:cs="Arial"/>
                    </w:rPr>
                  </w:pPr>
                  <w:r>
                    <w:rPr>
                      <w:rFonts w:cs="Arial"/>
                    </w:rPr>
                    <w:t>（8）大豆压榨及浸出项目,单线日处理花生100吨及以下的油料加工项目。</w:t>
                  </w:r>
                </w:p>
                <w:p w14:paraId="09800709">
                  <w:pPr>
                    <w:pStyle w:val="93"/>
                    <w:tabs>
                      <w:tab w:val="center" w:pos="4153"/>
                      <w:tab w:val="right" w:pos="8306"/>
                    </w:tabs>
                    <w:rPr>
                      <w:rFonts w:cs="Arial"/>
                    </w:rPr>
                  </w:pPr>
                  <w:r>
                    <w:rPr>
                      <w:rFonts w:cs="Arial"/>
                    </w:rPr>
                    <w:t>（9）新建单条化学木浆30万吨/年以下、化学机械木浆10万吨/年以下、化学竹浆10万吨/年以下的生产线；新闻纸、铜版纸生产线。</w:t>
                  </w:r>
                </w:p>
                <w:p w14:paraId="00D278FC">
                  <w:pPr>
                    <w:pStyle w:val="93"/>
                    <w:tabs>
                      <w:tab w:val="center" w:pos="4153"/>
                      <w:tab w:val="right" w:pos="8306"/>
                    </w:tabs>
                    <w:rPr>
                      <w:rFonts w:cs="Arial"/>
                    </w:rPr>
                  </w:pPr>
                  <w:r>
                    <w:rPr>
                      <w:rFonts w:cs="Arial"/>
                    </w:rPr>
                    <w:t>（10）元素氯漂白制浆工艺。</w:t>
                  </w:r>
                </w:p>
              </w:tc>
              <w:tc>
                <w:tcPr>
                  <w:tcW w:w="1250" w:type="pct"/>
                  <w:vMerge w:val="continue"/>
                  <w:vAlign w:val="center"/>
                </w:tcPr>
                <w:p w14:paraId="06476FB3">
                  <w:pPr>
                    <w:pStyle w:val="93"/>
                    <w:tabs>
                      <w:tab w:val="center" w:pos="4153"/>
                      <w:tab w:val="right" w:pos="8306"/>
                    </w:tabs>
                    <w:rPr>
                      <w:rFonts w:cs="Arial"/>
                    </w:rPr>
                  </w:pPr>
                </w:p>
              </w:tc>
              <w:tc>
                <w:tcPr>
                  <w:tcW w:w="728" w:type="pct"/>
                  <w:vMerge w:val="continue"/>
                  <w:vAlign w:val="center"/>
                </w:tcPr>
                <w:p w14:paraId="066F0DB6">
                  <w:pPr>
                    <w:pStyle w:val="93"/>
                    <w:tabs>
                      <w:tab w:val="center" w:pos="4153"/>
                      <w:tab w:val="right" w:pos="8306"/>
                    </w:tabs>
                    <w:rPr>
                      <w:rFonts w:cs="Arial"/>
                    </w:rPr>
                  </w:pPr>
                </w:p>
              </w:tc>
            </w:tr>
            <w:tr w14:paraId="4FB2F0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271" w:type="pct"/>
                  <w:gridSpan w:val="3"/>
                  <w:vAlign w:val="center"/>
                </w:tcPr>
                <w:p w14:paraId="365B8D2A">
                  <w:pPr>
                    <w:pStyle w:val="93"/>
                    <w:tabs>
                      <w:tab w:val="center" w:pos="4153"/>
                      <w:tab w:val="right" w:pos="8306"/>
                    </w:tabs>
                    <w:rPr>
                      <w:rFonts w:cs="Arial"/>
                    </w:rPr>
                  </w:pPr>
                  <w:r>
                    <w:rPr>
                      <w:rFonts w:cs="Arial"/>
                    </w:rPr>
                    <w:t>（二）禁止类（共42类项目）</w:t>
                  </w:r>
                </w:p>
              </w:tc>
              <w:tc>
                <w:tcPr>
                  <w:tcW w:w="728" w:type="pct"/>
                  <w:vMerge w:val="continue"/>
                  <w:vAlign w:val="center"/>
                </w:tcPr>
                <w:p w14:paraId="14E69A04">
                  <w:pPr>
                    <w:pStyle w:val="93"/>
                    <w:tabs>
                      <w:tab w:val="center" w:pos="4153"/>
                      <w:tab w:val="right" w:pos="8306"/>
                    </w:tabs>
                    <w:rPr>
                      <w:rFonts w:cs="Arial"/>
                    </w:rPr>
                  </w:pPr>
                </w:p>
              </w:tc>
            </w:tr>
            <w:tr w14:paraId="6448F1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7" w:type="pct"/>
                  <w:vAlign w:val="center"/>
                </w:tcPr>
                <w:p w14:paraId="171F2BA4">
                  <w:pPr>
                    <w:pStyle w:val="93"/>
                    <w:tabs>
                      <w:tab w:val="center" w:pos="4153"/>
                      <w:tab w:val="right" w:pos="8306"/>
                    </w:tabs>
                    <w:rPr>
                      <w:rFonts w:cs="Arial"/>
                    </w:rPr>
                  </w:pPr>
                  <w:r>
                    <w:rPr>
                      <w:rFonts w:cs="Arial"/>
                    </w:rPr>
                    <w:t>农林业</w:t>
                  </w:r>
                </w:p>
              </w:tc>
              <w:tc>
                <w:tcPr>
                  <w:tcW w:w="2663" w:type="pct"/>
                  <w:vAlign w:val="center"/>
                </w:tcPr>
                <w:p w14:paraId="29970AB4">
                  <w:pPr>
                    <w:pStyle w:val="93"/>
                    <w:tabs>
                      <w:tab w:val="center" w:pos="4153"/>
                      <w:tab w:val="right" w:pos="8306"/>
                    </w:tabs>
                    <w:rPr>
                      <w:rFonts w:cs="Arial"/>
                    </w:rPr>
                  </w:pPr>
                  <w:r>
                    <w:rPr>
                      <w:rFonts w:cs="Arial"/>
                    </w:rPr>
                    <w:t>（1）湿法纤维板生产工艺。</w:t>
                  </w:r>
                </w:p>
                <w:p w14:paraId="3CB833AA">
                  <w:pPr>
                    <w:pStyle w:val="93"/>
                    <w:tabs>
                      <w:tab w:val="center" w:pos="4153"/>
                      <w:tab w:val="right" w:pos="8306"/>
                    </w:tabs>
                    <w:rPr>
                      <w:rFonts w:cs="Arial"/>
                    </w:rPr>
                  </w:pPr>
                  <w:r>
                    <w:rPr>
                      <w:rFonts w:cs="Arial"/>
                    </w:rPr>
                    <w:t>（2）滴水法松香生产工艺。</w:t>
                  </w:r>
                </w:p>
                <w:p w14:paraId="47AD2C5B">
                  <w:pPr>
                    <w:pStyle w:val="93"/>
                    <w:tabs>
                      <w:tab w:val="center" w:pos="4153"/>
                      <w:tab w:val="right" w:pos="8306"/>
                    </w:tabs>
                    <w:rPr>
                      <w:rFonts w:cs="Arial"/>
                    </w:rPr>
                  </w:pPr>
                  <w:r>
                    <w:rPr>
                      <w:rFonts w:cs="Arial"/>
                    </w:rPr>
                    <w:t>（3）以木材、伐根为主要原料的活性炭生产以及氯化锌法活性炭生产工艺。</w:t>
                  </w:r>
                </w:p>
                <w:p w14:paraId="6CB87C6E">
                  <w:pPr>
                    <w:pStyle w:val="93"/>
                    <w:tabs>
                      <w:tab w:val="center" w:pos="4153"/>
                      <w:tab w:val="right" w:pos="8306"/>
                    </w:tabs>
                    <w:rPr>
                      <w:rFonts w:cs="Arial"/>
                    </w:rPr>
                  </w:pPr>
                  <w:r>
                    <w:rPr>
                      <w:rFonts w:cs="Arial"/>
                    </w:rPr>
                    <w:t>（4）超过生态承载力的旅游活动和药材等林产品采集。</w:t>
                  </w:r>
                </w:p>
              </w:tc>
              <w:tc>
                <w:tcPr>
                  <w:tcW w:w="1250" w:type="pct"/>
                  <w:vMerge w:val="restart"/>
                  <w:vAlign w:val="center"/>
                </w:tcPr>
                <w:p w14:paraId="48B96FB0">
                  <w:pPr>
                    <w:pStyle w:val="93"/>
                    <w:tabs>
                      <w:tab w:val="center" w:pos="4153"/>
                      <w:tab w:val="right" w:pos="8306"/>
                    </w:tabs>
                    <w:rPr>
                      <w:rFonts w:cs="Arial"/>
                    </w:rPr>
                  </w:pPr>
                  <w:r>
                    <w:rPr>
                      <w:rFonts w:cs="Arial"/>
                    </w:rPr>
                    <w:t>1、2013年国家发改委关于修改《产业结构调整指导目录（2011年本）》有关条款的决定（国家发展和改革委员会令第21号）；</w:t>
                  </w:r>
                </w:p>
                <w:p w14:paraId="3663D0FD">
                  <w:pPr>
                    <w:pStyle w:val="93"/>
                    <w:tabs>
                      <w:tab w:val="center" w:pos="4153"/>
                      <w:tab w:val="right" w:pos="8306"/>
                    </w:tabs>
                    <w:rPr>
                      <w:rFonts w:cs="Arial"/>
                    </w:rPr>
                  </w:pPr>
                  <w:r>
                    <w:rPr>
                      <w:rFonts w:cs="Arial"/>
                    </w:rPr>
                    <w:t>2、国家工业和信息化部《部分工业行业淘汰落后生产工艺装备和产品指导目录（2010年本）》（工产业〔2010〕第122号）；</w:t>
                  </w:r>
                </w:p>
                <w:p w14:paraId="5BB15FD4">
                  <w:pPr>
                    <w:pStyle w:val="93"/>
                    <w:tabs>
                      <w:tab w:val="center" w:pos="4153"/>
                      <w:tab w:val="right" w:pos="8306"/>
                    </w:tabs>
                    <w:rPr>
                      <w:rFonts w:cs="Arial"/>
                    </w:rPr>
                  </w:pPr>
                  <w:r>
                    <w:rPr>
                      <w:rFonts w:cs="Arial"/>
                    </w:rPr>
                    <w:t>3、国土资源部、国家发改委关于发布实施《限制用地项目目录（2012年本）》和《禁止用地项目目录（2012年本）》的通知（国土资发〔2012〕98号）</w:t>
                  </w:r>
                </w:p>
              </w:tc>
              <w:tc>
                <w:tcPr>
                  <w:tcW w:w="728" w:type="pct"/>
                  <w:vMerge w:val="continue"/>
                  <w:vAlign w:val="center"/>
                </w:tcPr>
                <w:p w14:paraId="5A5CD0EA">
                  <w:pPr>
                    <w:pStyle w:val="93"/>
                    <w:tabs>
                      <w:tab w:val="center" w:pos="4153"/>
                      <w:tab w:val="right" w:pos="8306"/>
                    </w:tabs>
                    <w:rPr>
                      <w:rFonts w:cs="Arial"/>
                    </w:rPr>
                  </w:pPr>
                </w:p>
              </w:tc>
            </w:tr>
            <w:tr w14:paraId="619303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7" w:type="pct"/>
                  <w:vAlign w:val="center"/>
                </w:tcPr>
                <w:p w14:paraId="49AF4ADF">
                  <w:pPr>
                    <w:pStyle w:val="93"/>
                    <w:tabs>
                      <w:tab w:val="center" w:pos="4153"/>
                      <w:tab w:val="right" w:pos="8306"/>
                    </w:tabs>
                    <w:rPr>
                      <w:rFonts w:cs="Arial"/>
                    </w:rPr>
                  </w:pPr>
                  <w:r>
                    <w:rPr>
                      <w:rFonts w:cs="Arial"/>
                    </w:rPr>
                    <w:t>轻工</w:t>
                  </w:r>
                </w:p>
              </w:tc>
              <w:tc>
                <w:tcPr>
                  <w:tcW w:w="2663" w:type="pct"/>
                  <w:vAlign w:val="center"/>
                </w:tcPr>
                <w:p w14:paraId="0FD0E63C">
                  <w:pPr>
                    <w:pStyle w:val="93"/>
                    <w:tabs>
                      <w:tab w:val="center" w:pos="4153"/>
                      <w:tab w:val="right" w:pos="8306"/>
                    </w:tabs>
                    <w:rPr>
                      <w:rFonts w:cs="Arial"/>
                    </w:rPr>
                  </w:pPr>
                  <w:r>
                    <w:rPr>
                      <w:rFonts w:cs="Arial"/>
                    </w:rPr>
                    <w:t>（1）超薄型（厚度低于0.025毫米）塑料购物袋生产。</w:t>
                  </w:r>
                </w:p>
                <w:p w14:paraId="64C6BF1D">
                  <w:pPr>
                    <w:pStyle w:val="93"/>
                    <w:tabs>
                      <w:tab w:val="center" w:pos="4153"/>
                      <w:tab w:val="right" w:pos="8306"/>
                    </w:tabs>
                    <w:rPr>
                      <w:rFonts w:cs="Arial"/>
                    </w:rPr>
                  </w:pPr>
                  <w:r>
                    <w:rPr>
                      <w:rFonts w:cs="Arial"/>
                    </w:rPr>
                    <w:t>（2）300吨/年以下的油墨生产总装置（利用高新技术、无污染的除外）。</w:t>
                  </w:r>
                </w:p>
                <w:p w14:paraId="32682439">
                  <w:pPr>
                    <w:pStyle w:val="93"/>
                    <w:tabs>
                      <w:tab w:val="center" w:pos="4153"/>
                      <w:tab w:val="right" w:pos="8306"/>
                    </w:tabs>
                    <w:rPr>
                      <w:rFonts w:cs="Arial"/>
                    </w:rPr>
                  </w:pPr>
                  <w:r>
                    <w:rPr>
                      <w:rFonts w:cs="Arial"/>
                    </w:rPr>
                    <w:t>（3）含苯类溶剂型油墨生产。</w:t>
                  </w:r>
                </w:p>
                <w:p w14:paraId="26613339">
                  <w:pPr>
                    <w:pStyle w:val="93"/>
                    <w:tabs>
                      <w:tab w:val="center" w:pos="4153"/>
                      <w:tab w:val="right" w:pos="8306"/>
                    </w:tabs>
                    <w:rPr>
                      <w:rFonts w:cs="Arial"/>
                    </w:rPr>
                  </w:pPr>
                  <w:r>
                    <w:rPr>
                      <w:rFonts w:cs="Arial"/>
                    </w:rPr>
                    <w:t>（4）石灰法地池制浆设备（宣纸除外）。</w:t>
                  </w:r>
                </w:p>
                <w:p w14:paraId="02F1ABCB">
                  <w:pPr>
                    <w:pStyle w:val="93"/>
                    <w:tabs>
                      <w:tab w:val="center" w:pos="4153"/>
                      <w:tab w:val="right" w:pos="8306"/>
                    </w:tabs>
                    <w:rPr>
                      <w:rFonts w:cs="Arial"/>
                    </w:rPr>
                  </w:pPr>
                  <w:r>
                    <w:rPr>
                      <w:rFonts w:cs="Arial"/>
                    </w:rPr>
                    <w:t>（5）5.1万吨/年以下的化学木浆生产线。</w:t>
                  </w:r>
                </w:p>
                <w:p w14:paraId="394FA4D9">
                  <w:pPr>
                    <w:pStyle w:val="93"/>
                    <w:tabs>
                      <w:tab w:val="center" w:pos="4153"/>
                      <w:tab w:val="right" w:pos="8306"/>
                    </w:tabs>
                    <w:rPr>
                      <w:rFonts w:cs="Arial"/>
                    </w:rPr>
                  </w:pPr>
                  <w:r>
                    <w:rPr>
                      <w:rFonts w:cs="Arial"/>
                    </w:rPr>
                    <w:t>（6）单条3.4万吨/年以下的非木浆生产线。</w:t>
                  </w:r>
                </w:p>
                <w:p w14:paraId="505CEFB3">
                  <w:pPr>
                    <w:pStyle w:val="93"/>
                    <w:tabs>
                      <w:tab w:val="center" w:pos="4153"/>
                      <w:tab w:val="right" w:pos="8306"/>
                    </w:tabs>
                    <w:rPr>
                      <w:rFonts w:cs="Arial"/>
                    </w:rPr>
                  </w:pPr>
                  <w:r>
                    <w:rPr>
                      <w:rFonts w:cs="Arial"/>
                    </w:rPr>
                    <w:t>（7）单条1万吨/年及以下、以废纸为原料的制浆生产线。</w:t>
                  </w:r>
                </w:p>
                <w:p w14:paraId="132A51A8">
                  <w:pPr>
                    <w:pStyle w:val="93"/>
                    <w:tabs>
                      <w:tab w:val="center" w:pos="4153"/>
                      <w:tab w:val="right" w:pos="8306"/>
                    </w:tabs>
                    <w:rPr>
                      <w:rFonts w:cs="Arial"/>
                    </w:rPr>
                  </w:pPr>
                  <w:r>
                    <w:rPr>
                      <w:rFonts w:cs="Arial"/>
                    </w:rPr>
                    <w:t>（8）幅宽在1.76米及以下并且车速为120米/分以下的文化纸生产线。</w:t>
                  </w:r>
                </w:p>
                <w:p w14:paraId="533659C2">
                  <w:pPr>
                    <w:pStyle w:val="93"/>
                    <w:tabs>
                      <w:tab w:val="center" w:pos="4153"/>
                      <w:tab w:val="right" w:pos="8306"/>
                    </w:tabs>
                    <w:rPr>
                      <w:rFonts w:cs="Arial"/>
                    </w:rPr>
                  </w:pPr>
                  <w:r>
                    <w:rPr>
                      <w:rFonts w:cs="Arial"/>
                    </w:rPr>
                    <w:t>（9）幅宽在2米及以下并且车速为80米/分以下的白板纸、箱板纸及瓦楞纸生产线。</w:t>
                  </w:r>
                </w:p>
                <w:p w14:paraId="66B774F8">
                  <w:pPr>
                    <w:pStyle w:val="93"/>
                    <w:tabs>
                      <w:tab w:val="center" w:pos="4153"/>
                      <w:tab w:val="right" w:pos="8306"/>
                    </w:tabs>
                    <w:rPr>
                      <w:rFonts w:cs="Arial"/>
                    </w:rPr>
                  </w:pPr>
                  <w:r>
                    <w:rPr>
                      <w:rFonts w:cs="Arial"/>
                    </w:rPr>
                    <w:t>（10）以氯氟烃（CFCs）为制冷剂和发泡剂的冰箱、冰柜、汽车空调器、工业商业用冷藏、制冷设备生产线。</w:t>
                  </w:r>
                </w:p>
                <w:p w14:paraId="10510207">
                  <w:pPr>
                    <w:pStyle w:val="93"/>
                    <w:tabs>
                      <w:tab w:val="center" w:pos="4153"/>
                      <w:tab w:val="right" w:pos="8306"/>
                    </w:tabs>
                    <w:rPr>
                      <w:rFonts w:cs="Arial"/>
                    </w:rPr>
                  </w:pPr>
                  <w:r>
                    <w:rPr>
                      <w:rFonts w:cs="Arial"/>
                    </w:rPr>
                    <w:t>（11）</w:t>
                  </w:r>
                  <w:r>
                    <w:rPr>
                      <w:rFonts w:cs="Arial"/>
                      <w:b/>
                      <w:bCs/>
                    </w:rPr>
                    <w:t>猪、牛、羊、禽手工屠宰工艺</w:t>
                  </w:r>
                  <w:r>
                    <w:rPr>
                      <w:rFonts w:cs="Arial"/>
                    </w:rPr>
                    <w:t>。</w:t>
                  </w:r>
                </w:p>
              </w:tc>
              <w:tc>
                <w:tcPr>
                  <w:tcW w:w="1250" w:type="pct"/>
                  <w:vMerge w:val="continue"/>
                  <w:vAlign w:val="center"/>
                </w:tcPr>
                <w:p w14:paraId="1761E042">
                  <w:pPr>
                    <w:pStyle w:val="93"/>
                    <w:tabs>
                      <w:tab w:val="center" w:pos="4153"/>
                      <w:tab w:val="right" w:pos="8306"/>
                    </w:tabs>
                    <w:rPr>
                      <w:rFonts w:cs="Arial"/>
                    </w:rPr>
                  </w:pPr>
                </w:p>
              </w:tc>
              <w:tc>
                <w:tcPr>
                  <w:tcW w:w="728" w:type="pct"/>
                  <w:vMerge w:val="continue"/>
                  <w:vAlign w:val="center"/>
                </w:tcPr>
                <w:p w14:paraId="50D68BBE">
                  <w:pPr>
                    <w:pStyle w:val="93"/>
                    <w:tabs>
                      <w:tab w:val="center" w:pos="4153"/>
                      <w:tab w:val="right" w:pos="8306"/>
                    </w:tabs>
                    <w:rPr>
                      <w:rFonts w:cs="Arial"/>
                    </w:rPr>
                  </w:pPr>
                </w:p>
              </w:tc>
            </w:tr>
            <w:tr w14:paraId="421586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7" w:type="pct"/>
                  <w:vAlign w:val="center"/>
                </w:tcPr>
                <w:p w14:paraId="5A0DB786">
                  <w:pPr>
                    <w:pStyle w:val="93"/>
                    <w:tabs>
                      <w:tab w:val="center" w:pos="4153"/>
                      <w:tab w:val="right" w:pos="8306"/>
                    </w:tabs>
                    <w:rPr>
                      <w:rFonts w:cs="Arial"/>
                    </w:rPr>
                  </w:pPr>
                  <w:r>
                    <w:rPr>
                      <w:rFonts w:cs="Arial"/>
                    </w:rPr>
                    <w:t>有色金属</w:t>
                  </w:r>
                </w:p>
              </w:tc>
              <w:tc>
                <w:tcPr>
                  <w:tcW w:w="2663" w:type="pct"/>
                  <w:vAlign w:val="center"/>
                </w:tcPr>
                <w:p w14:paraId="5481BD8E">
                  <w:pPr>
                    <w:pStyle w:val="93"/>
                    <w:tabs>
                      <w:tab w:val="center" w:pos="4153"/>
                      <w:tab w:val="right" w:pos="8306"/>
                    </w:tabs>
                    <w:rPr>
                      <w:rFonts w:cs="Arial"/>
                    </w:rPr>
                  </w:pPr>
                  <w:r>
                    <w:rPr>
                      <w:rFonts w:cs="Arial"/>
                    </w:rPr>
                    <w:t>（1）电解铝项目（淘汰落后生产能力置换项目及优化产业布局项目除外）</w:t>
                  </w:r>
                </w:p>
                <w:p w14:paraId="1E3BE529">
                  <w:pPr>
                    <w:pStyle w:val="93"/>
                    <w:tabs>
                      <w:tab w:val="center" w:pos="4153"/>
                      <w:tab w:val="right" w:pos="8306"/>
                    </w:tabs>
                    <w:rPr>
                      <w:rFonts w:cs="Arial"/>
                    </w:rPr>
                  </w:pPr>
                  <w:r>
                    <w:rPr>
                      <w:rFonts w:cs="Arial"/>
                    </w:rPr>
                    <w:t>（2）1万吨/年以下的再生铝、再生铅项目。</w:t>
                  </w:r>
                </w:p>
                <w:p w14:paraId="41427399">
                  <w:pPr>
                    <w:pStyle w:val="93"/>
                    <w:tabs>
                      <w:tab w:val="center" w:pos="4153"/>
                      <w:tab w:val="right" w:pos="8306"/>
                    </w:tabs>
                    <w:rPr>
                      <w:rFonts w:cs="Arial"/>
                    </w:rPr>
                  </w:pPr>
                  <w:r>
                    <w:rPr>
                      <w:rFonts w:cs="Arial"/>
                    </w:rPr>
                    <w:t>（3）4吨以下反射炉再生铝生产工艺及设备。</w:t>
                  </w:r>
                </w:p>
                <w:p w14:paraId="2CE8515B">
                  <w:pPr>
                    <w:pStyle w:val="93"/>
                    <w:tabs>
                      <w:tab w:val="center" w:pos="4153"/>
                      <w:tab w:val="right" w:pos="8306"/>
                    </w:tabs>
                    <w:rPr>
                      <w:rFonts w:cs="Arial"/>
                    </w:rPr>
                  </w:pPr>
                  <w:r>
                    <w:rPr>
                      <w:rFonts w:cs="Arial"/>
                    </w:rPr>
                    <w:t>（4）稀土氯化物电解制备金属工艺项目。</w:t>
                  </w:r>
                </w:p>
                <w:p w14:paraId="24D9FB7A">
                  <w:pPr>
                    <w:pStyle w:val="93"/>
                    <w:tabs>
                      <w:tab w:val="center" w:pos="4153"/>
                      <w:tab w:val="right" w:pos="8306"/>
                    </w:tabs>
                    <w:rPr>
                      <w:rFonts w:cs="Arial"/>
                    </w:rPr>
                  </w:pPr>
                  <w:r>
                    <w:rPr>
                      <w:rFonts w:cs="Arial"/>
                    </w:rPr>
                    <w:t>（5）2000吨（REO）/年以下的稀土分离项目。</w:t>
                  </w:r>
                </w:p>
              </w:tc>
              <w:tc>
                <w:tcPr>
                  <w:tcW w:w="1250" w:type="pct"/>
                  <w:vMerge w:val="continue"/>
                  <w:vAlign w:val="center"/>
                </w:tcPr>
                <w:p w14:paraId="29288E0E">
                  <w:pPr>
                    <w:pStyle w:val="93"/>
                    <w:tabs>
                      <w:tab w:val="center" w:pos="4153"/>
                      <w:tab w:val="right" w:pos="8306"/>
                    </w:tabs>
                    <w:rPr>
                      <w:rFonts w:cs="Arial"/>
                    </w:rPr>
                  </w:pPr>
                </w:p>
              </w:tc>
              <w:tc>
                <w:tcPr>
                  <w:tcW w:w="728" w:type="pct"/>
                  <w:vMerge w:val="continue"/>
                  <w:vAlign w:val="center"/>
                </w:tcPr>
                <w:p w14:paraId="508704BA">
                  <w:pPr>
                    <w:pStyle w:val="93"/>
                    <w:tabs>
                      <w:tab w:val="center" w:pos="4153"/>
                      <w:tab w:val="right" w:pos="8306"/>
                    </w:tabs>
                    <w:rPr>
                      <w:rFonts w:cs="Arial"/>
                    </w:rPr>
                  </w:pPr>
                </w:p>
              </w:tc>
            </w:tr>
          </w:tbl>
          <w:p w14:paraId="6A15FB67">
            <w:pPr>
              <w:pStyle w:val="6"/>
              <w:ind w:firstLine="480" w:firstLineChars="200"/>
              <w:jc w:val="both"/>
              <w:rPr>
                <w:rFonts w:eastAsia="宋体"/>
              </w:rPr>
            </w:pPr>
            <w:r>
              <w:rPr>
                <w:rFonts w:eastAsia="宋体"/>
              </w:rPr>
              <w:t>本项目涉及</w:t>
            </w:r>
            <w:r>
              <w:rPr>
                <w:rFonts w:eastAsia="宋体"/>
                <w:szCs w:val="24"/>
              </w:rPr>
              <w:t>C1353 肉制品及副产品加工</w:t>
            </w:r>
            <w:r>
              <w:rPr>
                <w:rFonts w:hint="eastAsia" w:eastAsia="宋体"/>
              </w:rPr>
              <w:t>、C1369其他水产品加工，</w:t>
            </w:r>
            <w:r>
              <w:rPr>
                <w:rFonts w:eastAsia="宋体"/>
              </w:rPr>
              <w:t>不涉及环境准入行业负面清单内和安化经开区环境准入工艺和产品负面清单内</w:t>
            </w:r>
            <w:r>
              <w:rPr>
                <w:rFonts w:hint="eastAsia" w:eastAsia="宋体"/>
              </w:rPr>
              <w:t>禁止</w:t>
            </w:r>
            <w:r>
              <w:rPr>
                <w:rFonts w:eastAsia="宋体"/>
              </w:rPr>
              <w:t>的行业，综上所述，本项目符合湖南安化经济开发区调区扩区的总体产业定位。</w:t>
            </w:r>
          </w:p>
          <w:p w14:paraId="580C196D">
            <w:pPr>
              <w:pBdr>
                <w:top w:val="none" w:color="000000" w:sz="0" w:space="1"/>
                <w:left w:val="none" w:color="000000" w:sz="0" w:space="0"/>
                <w:bottom w:val="none" w:color="000000" w:sz="0" w:space="1"/>
                <w:right w:val="none" w:color="000000" w:sz="0" w:space="0"/>
              </w:pBdr>
              <w:shd w:val="clear" w:color="FFFFFF" w:fill="auto"/>
              <w:autoSpaceDN w:val="0"/>
              <w:spacing w:line="360" w:lineRule="auto"/>
              <w:ind w:firstLine="480" w:firstLineChars="200"/>
              <w:rPr>
                <w:sz w:val="24"/>
              </w:rPr>
            </w:pPr>
            <w:r>
              <w:rPr>
                <w:sz w:val="24"/>
              </w:rPr>
              <w:t>根据关于《</w:t>
            </w:r>
            <w:bookmarkStart w:id="9" w:name="OLE_LINK41"/>
            <w:bookmarkStart w:id="10" w:name="OLE_LINK40"/>
            <w:r>
              <w:rPr>
                <w:sz w:val="24"/>
              </w:rPr>
              <w:t>湖南安化经济开发区调区扩区规划环境影响报告书</w:t>
            </w:r>
            <w:bookmarkEnd w:id="9"/>
            <w:bookmarkEnd w:id="10"/>
            <w:r>
              <w:rPr>
                <w:sz w:val="24"/>
              </w:rPr>
              <w:t>》审查意见的函（</w:t>
            </w:r>
            <w:r>
              <w:rPr>
                <w:sz w:val="24"/>
                <w:szCs w:val="24"/>
              </w:rPr>
              <w:t>湘环评函</w:t>
            </w:r>
            <w:r>
              <w:rPr>
                <w:kern w:val="0"/>
                <w:sz w:val="24"/>
                <w:szCs w:val="24"/>
              </w:rPr>
              <w:t>〔2021〕</w:t>
            </w:r>
            <w:r>
              <w:rPr>
                <w:sz w:val="24"/>
                <w:szCs w:val="24"/>
              </w:rPr>
              <w:t>6号</w:t>
            </w:r>
            <w:r>
              <w:rPr>
                <w:sz w:val="24"/>
              </w:rPr>
              <w:t>）中内容，本项目与规划环境影响评价审查意见的符合性分析如下表。</w:t>
            </w:r>
          </w:p>
          <w:p w14:paraId="729D66AA">
            <w:pPr>
              <w:pStyle w:val="100"/>
              <w:numPr>
                <w:ilvl w:val="0"/>
                <w:numId w:val="0"/>
              </w:numPr>
              <w:adjustRightInd w:val="0"/>
              <w:snapToGrid w:val="0"/>
            </w:pPr>
            <w:r>
              <w:t>表1-5  本项目与园区规划环评批复符合性分析一览表</w:t>
            </w:r>
          </w:p>
          <w:tbl>
            <w:tblPr>
              <w:tblStyle w:val="24"/>
              <w:tblW w:w="498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46"/>
              <w:gridCol w:w="4026"/>
              <w:gridCol w:w="2287"/>
              <w:gridCol w:w="646"/>
            </w:tblGrid>
            <w:tr w14:paraId="5934D3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542" w:type="pct"/>
                  <w:vAlign w:val="center"/>
                </w:tcPr>
                <w:p w14:paraId="7C79D821">
                  <w:pPr>
                    <w:pStyle w:val="5"/>
                    <w:rPr>
                      <w:b/>
                    </w:rPr>
                  </w:pPr>
                  <w:r>
                    <w:rPr>
                      <w:b/>
                    </w:rPr>
                    <w:t>序号</w:t>
                  </w:r>
                </w:p>
              </w:tc>
              <w:tc>
                <w:tcPr>
                  <w:tcW w:w="2578" w:type="pct"/>
                  <w:vAlign w:val="center"/>
                </w:tcPr>
                <w:p w14:paraId="6D71D408">
                  <w:pPr>
                    <w:pStyle w:val="5"/>
                    <w:rPr>
                      <w:b/>
                    </w:rPr>
                  </w:pPr>
                  <w:r>
                    <w:rPr>
                      <w:b/>
                    </w:rPr>
                    <w:t>湘环评[2012]198号批复要求</w:t>
                  </w:r>
                </w:p>
              </w:tc>
              <w:tc>
                <w:tcPr>
                  <w:tcW w:w="1465" w:type="pct"/>
                  <w:vAlign w:val="center"/>
                </w:tcPr>
                <w:p w14:paraId="75577442">
                  <w:pPr>
                    <w:pStyle w:val="5"/>
                    <w:rPr>
                      <w:b/>
                    </w:rPr>
                  </w:pPr>
                  <w:r>
                    <w:rPr>
                      <w:b/>
                    </w:rPr>
                    <w:t>本项目情况</w:t>
                  </w:r>
                </w:p>
              </w:tc>
              <w:tc>
                <w:tcPr>
                  <w:tcW w:w="414" w:type="pct"/>
                  <w:vAlign w:val="center"/>
                </w:tcPr>
                <w:p w14:paraId="74248FE6">
                  <w:pPr>
                    <w:pStyle w:val="5"/>
                    <w:rPr>
                      <w:b/>
                    </w:rPr>
                  </w:pPr>
                  <w:r>
                    <w:rPr>
                      <w:b/>
                      <w:lang w:eastAsia="zh-CN"/>
                    </w:rPr>
                    <w:t>是否</w:t>
                  </w:r>
                  <w:r>
                    <w:rPr>
                      <w:b/>
                    </w:rPr>
                    <w:t>符合</w:t>
                  </w:r>
                </w:p>
              </w:tc>
            </w:tr>
            <w:tr w14:paraId="6BE059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2" w:type="pct"/>
                  <w:vAlign w:val="center"/>
                </w:tcPr>
                <w:p w14:paraId="27C0D52C">
                  <w:pPr>
                    <w:pStyle w:val="5"/>
                  </w:pPr>
                  <w:r>
                    <w:rPr>
                      <w:lang w:eastAsia="zh-CN"/>
                    </w:rPr>
                    <w:t>（</w:t>
                  </w:r>
                  <w:r>
                    <w:t>一</w:t>
                  </w:r>
                  <w:r>
                    <w:rPr>
                      <w:lang w:eastAsia="zh-CN"/>
                    </w:rPr>
                    <w:t>）</w:t>
                  </w:r>
                </w:p>
              </w:tc>
              <w:tc>
                <w:tcPr>
                  <w:tcW w:w="2578" w:type="pct"/>
                  <w:vAlign w:val="center"/>
                </w:tcPr>
                <w:p w14:paraId="7D2FE2EE">
                  <w:pPr>
                    <w:pStyle w:val="5"/>
                    <w:jc w:val="both"/>
                    <w:rPr>
                      <w:lang w:eastAsia="zh-CN"/>
                    </w:rPr>
                  </w:pPr>
                  <w:r>
                    <w:rPr>
                      <w:lang w:eastAsia="zh-CN"/>
                    </w:rPr>
                    <w:t>严格依规开发，优化空间功能布局。按照最新的国土空间规划，科学开展空间发展布局，将空间管制融入园区规划实施全过程，规划用地不得涉及各类法定保护地，严格按照经核准的规划范围开展园区建设，严禁随意扩大现有园区范围。黑茶片区规划用地紧邻资江岸线，金竹茶家组团、酉州组团、槎溪组团、鹊坪组团规划用地紧邻资江为湖南雪峰湖国家湿地公园的合理利用区，在开发过程中应严格遵守《报告书》提出的空间布局约束要求，严格按照园区拐点坐标控制开发范围，严禁侵占湿地公园用地。高明片区定位为专业的废弃资源利用，应严格做好边界管理，按《报告书》要求在工业用地与周边居住用地之间设置防护隔离带，减少园区生产活动对外部居住用地的影响。</w:t>
                  </w:r>
                </w:p>
              </w:tc>
              <w:tc>
                <w:tcPr>
                  <w:tcW w:w="1465" w:type="pct"/>
                  <w:vAlign w:val="center"/>
                </w:tcPr>
                <w:p w14:paraId="22163F27">
                  <w:pPr>
                    <w:pStyle w:val="5"/>
                    <w:rPr>
                      <w:lang w:eastAsia="zh-CN"/>
                    </w:rPr>
                  </w:pPr>
                  <w:r>
                    <w:rPr>
                      <w:lang w:eastAsia="zh-CN"/>
                    </w:rPr>
                    <w:t>本项目位于安化经济开发区黑茶片区的金竹茶家组团，在园区范围内。</w:t>
                  </w:r>
                </w:p>
              </w:tc>
              <w:tc>
                <w:tcPr>
                  <w:tcW w:w="414" w:type="pct"/>
                  <w:vAlign w:val="center"/>
                </w:tcPr>
                <w:p w14:paraId="2146B2C6">
                  <w:pPr>
                    <w:pStyle w:val="5"/>
                  </w:pPr>
                  <w:r>
                    <w:t>符合</w:t>
                  </w:r>
                </w:p>
              </w:tc>
            </w:tr>
            <w:tr w14:paraId="49AA9D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2" w:type="pct"/>
                  <w:vAlign w:val="center"/>
                </w:tcPr>
                <w:p w14:paraId="6C19C068">
                  <w:pPr>
                    <w:pStyle w:val="5"/>
                  </w:pPr>
                  <w:r>
                    <w:rPr>
                      <w:lang w:eastAsia="zh-CN"/>
                    </w:rPr>
                    <w:t>（</w:t>
                  </w:r>
                  <w:r>
                    <w:t>二</w:t>
                  </w:r>
                  <w:r>
                    <w:rPr>
                      <w:lang w:eastAsia="zh-CN"/>
                    </w:rPr>
                    <w:t>）</w:t>
                  </w:r>
                </w:p>
              </w:tc>
              <w:tc>
                <w:tcPr>
                  <w:tcW w:w="2578" w:type="pct"/>
                  <w:vAlign w:val="center"/>
                </w:tcPr>
                <w:p w14:paraId="7A74E3B1">
                  <w:pPr>
                    <w:pStyle w:val="5"/>
                    <w:jc w:val="both"/>
                    <w:rPr>
                      <w:lang w:eastAsia="zh-CN"/>
                    </w:rPr>
                  </w:pPr>
                  <w:r>
                    <w:rPr>
                      <w:lang w:eastAsia="zh-CN"/>
                    </w:rPr>
                    <w:t>严格环境准入，优化园区产业结构。严格按照国家、省级关于主体功能区划的环境保护及园区“三线一单”环境准入要求，严格执行《报告书》提出的园区各片区产业定位和产业准入负面清单。黑茶片区、梅城片区禁止涉重金属企业和涉及一类污染物持久性有机物以及印染、酸洗、磷化污水型污染企业进入，不得引入和建设燃煤企业及排放工艺废气量大或复杂的企业；黑茶片区、梅城片区限制发展重气型污染源和排水量大的企业。废弃资源利用产业（包括以钨、钴精深加工及其他有色金属精深加工为主的废弃资源利用加工)仅限于高明片区内发展，应以污染物处置能力控制产业规模，禁止超处置能力上马相关产业项目。</w:t>
                  </w:r>
                </w:p>
              </w:tc>
              <w:tc>
                <w:tcPr>
                  <w:tcW w:w="1465" w:type="pct"/>
                  <w:vAlign w:val="center"/>
                </w:tcPr>
                <w:p w14:paraId="7A4970C1">
                  <w:pPr>
                    <w:rPr>
                      <w:szCs w:val="21"/>
                    </w:rPr>
                  </w:pPr>
                  <w:r>
                    <w:t>本项目位于黑茶片区，不属于涉重金属企业和涉及一类污染物持久性有机物以及印染、酸洗、磷化污水型污染企业；</w:t>
                  </w:r>
                  <w:r>
                    <w:rPr>
                      <w:bCs/>
                      <w:color w:val="000000"/>
                    </w:rPr>
                    <w:t>G1生物质气化锅炉废气经低氮燃烧+布袋除尘处理后通过一根2</w:t>
                  </w:r>
                  <w:r>
                    <w:rPr>
                      <w:rFonts w:hint="eastAsia"/>
                      <w:bCs/>
                      <w:color w:val="000000"/>
                    </w:rPr>
                    <w:t>1</w:t>
                  </w:r>
                  <w:r>
                    <w:rPr>
                      <w:bCs/>
                      <w:color w:val="000000"/>
                    </w:rPr>
                    <w:t>m高排气筒排放，外排废气满足《锅炉大气污染物排放标准》（GB13271-2014）中表3燃气锅炉大气污染物特别排放限值；G2天然气燃烧废</w:t>
                  </w:r>
                  <w:r>
                    <w:rPr>
                      <w:rStyle w:val="126"/>
                      <w:rFonts w:ascii="Times New Roman" w:hAnsi="Times New Roman"/>
                      <w:color w:val="000000"/>
                      <w:sz w:val="21"/>
                      <w:szCs w:val="21"/>
                    </w:rPr>
                    <w:t>气通过加强车间通风无组织排放；</w:t>
                  </w:r>
                  <w:r>
                    <w:rPr>
                      <w:bCs/>
                      <w:color w:val="000000"/>
                    </w:rPr>
                    <w:t>G3生产异味通过在车间内采用机械通风，通过安装排风扇或者新风系统降低车间内异味；G4熬制</w:t>
                  </w:r>
                  <w:r>
                    <w:rPr>
                      <w:bCs/>
                      <w:color w:val="000000"/>
                      <w:szCs w:val="21"/>
                      <w:lang w:bidi="ar"/>
                    </w:rPr>
                    <w:t>油烟经油烟净化器处理后高于屋顶高空排放，外排污染物满足《饮食业油烟排放标准（试行）》（GB18483-2001）要求；</w:t>
                  </w:r>
                  <w:r>
                    <w:t>外排废气主要为颗粒物、二氧化硫、氮氧化物、臭气浓度等，不属于工艺废气量大或复杂的企业和重气型污染源；外排生产废水依托</w:t>
                  </w:r>
                  <w:r>
                    <w:rPr>
                      <w:spacing w:val="8"/>
                      <w:szCs w:val="21"/>
                    </w:rPr>
                    <w:t>湖南华益科技发展有限公司（原名湖南华益食品有限公司）</w:t>
                  </w:r>
                  <w:r>
                    <w:t>自建的污水处理站处理达标后排入安化县污水处理厂处理，不属于排水量大的企业。</w:t>
                  </w:r>
                </w:p>
              </w:tc>
              <w:tc>
                <w:tcPr>
                  <w:tcW w:w="414" w:type="pct"/>
                  <w:vAlign w:val="center"/>
                </w:tcPr>
                <w:p w14:paraId="2EB4B61A">
                  <w:pPr>
                    <w:pStyle w:val="5"/>
                  </w:pPr>
                  <w:r>
                    <w:t>符合</w:t>
                  </w:r>
                </w:p>
              </w:tc>
            </w:tr>
            <w:tr w14:paraId="11ADCB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2" w:type="pct"/>
                  <w:vAlign w:val="center"/>
                </w:tcPr>
                <w:p w14:paraId="2EBD7FBE">
                  <w:pPr>
                    <w:pStyle w:val="5"/>
                  </w:pPr>
                  <w:r>
                    <w:rPr>
                      <w:lang w:eastAsia="zh-CN"/>
                    </w:rPr>
                    <w:t>（</w:t>
                  </w:r>
                  <w:r>
                    <w:t>三</w:t>
                  </w:r>
                  <w:r>
                    <w:rPr>
                      <w:lang w:eastAsia="zh-CN"/>
                    </w:rPr>
                    <w:t>）</w:t>
                  </w:r>
                </w:p>
              </w:tc>
              <w:tc>
                <w:tcPr>
                  <w:tcW w:w="2578" w:type="pct"/>
                  <w:vAlign w:val="center"/>
                </w:tcPr>
                <w:p w14:paraId="13F362A6">
                  <w:pPr>
                    <w:pStyle w:val="5"/>
                    <w:jc w:val="both"/>
                    <w:rPr>
                      <w:lang w:eastAsia="zh-CN"/>
                    </w:rPr>
                  </w:pPr>
                  <w:r>
                    <w:rPr>
                      <w:lang w:eastAsia="zh-CN"/>
                    </w:rPr>
                    <w:t>落实管控措施，加强园区排污管理。园区须完善污水管网建设，实行雨污分流，确保园区各片区生产生活废水应收尽收，集中排入污水处理厂处理，管网建设未完成、污水管网未接通之前，相关区域新建涉废水排放的企业不得投产。黑茶片区酉州组团在钟鼓污水处理厂及管网建成前排入安化县污水处理厂，待钟鼓污水处理厂建成后与磋溪组团污水排入钟鼓污水处理厂处理，经处理后达《城镇污水处理厂污染物排放标准》(GB18918-2002)一级A标准后排入资江;金竹茶家组团、鹊坪组团污水排入安化县污水处理厂处理后达《城镇污水处理厂污染物排放标准》(GB18918-2002)一级A标准后排入资江;江南组团污水排入安化县污水处理厂处理后达《城镇污水处理厂污染物排放标准》(GB18918-2002)一级A标准后排入资江。梅城片区污水排入梅城镇污水处理厂处理后达《城镇污水处理厂污染物排放标准》</w:t>
                  </w:r>
                </w:p>
                <w:p w14:paraId="2778744C">
                  <w:pPr>
                    <w:pStyle w:val="5"/>
                    <w:jc w:val="both"/>
                    <w:rPr>
                      <w:lang w:eastAsia="zh-CN"/>
                    </w:rPr>
                  </w:pPr>
                  <w:r>
                    <w:rPr>
                      <w:lang w:eastAsia="zh-CN"/>
                    </w:rPr>
                    <w:t>(GB18918-2002)一级A标准后排入洢水。高明片区污水排入高明乡污水处理厂处理达标后排入归水。园区应配合当地政府加紧完善安化县污水处理厂、梅城镇污水处理厂和高明乡污水处理厂入河排污口的合规手续，园区应按承诺时限要求完成高明乡污水处理厂提标改造工程，各污染因子按照《城镇污水处理厂污染物排放标准》GB18918-2002一级A标准和《铜、镍、钴工业污染物排放标准》(GB25467-2010)表2限值的严值予以控制并达标排放。鉴于目前归水水环境容量有限，园区应积极配合高明乡归水流域治理工程，同时促进企业提高水资源重复利用率减少排放量。园区应推广使用清洁能源，进一步优化园区能源结构，加快燃气管网及供应工程建设，加强园区大气污染防治，加强对废气重点排放企业的监管，采取有效措施减少污染物排放总量，严格控制无组织排放。建立园区固废规范化管理体系，做好工业固体废物和生活垃圾的分类收集、转运、综合利用和无害化处理，对各类工业企业产生的固体废物特别是危险固废应严格按照国家有关规定综合利用或妥善处置，对危险废物产生企业，强化日常环境监管。园区须严格落实排污许可制度和污染物排放总量控制，推动重点污染企业完成清洁生产审核，限期要求区内企业完善相应环保手续。</w:t>
                  </w:r>
                </w:p>
              </w:tc>
              <w:tc>
                <w:tcPr>
                  <w:tcW w:w="1465" w:type="pct"/>
                  <w:vAlign w:val="center"/>
                </w:tcPr>
                <w:p w14:paraId="1DB5E891">
                  <w:pPr>
                    <w:pStyle w:val="5"/>
                    <w:rPr>
                      <w:lang w:eastAsia="zh-CN"/>
                    </w:rPr>
                  </w:pPr>
                  <w:r>
                    <w:rPr>
                      <w:lang w:eastAsia="zh-CN"/>
                    </w:rPr>
                    <w:t>本项目</w:t>
                  </w:r>
                  <w:r>
                    <w:rPr>
                      <w:szCs w:val="21"/>
                      <w:lang w:eastAsia="zh-CN"/>
                    </w:rPr>
                    <w:t>生</w:t>
                  </w:r>
                  <w:r>
                    <w:rPr>
                      <w:bCs/>
                      <w:szCs w:val="21"/>
                      <w:lang w:eastAsia="zh-CN"/>
                    </w:rPr>
                    <w:t>活污水经隔油池、化粪池处理后，进入市政污水管网，排入安化县污水处理厂处理达标后排入资江；</w:t>
                  </w:r>
                  <w:r>
                    <w:rPr>
                      <w:lang w:eastAsia="zh-CN"/>
                    </w:rPr>
                    <w:t>生产废水依托</w:t>
                  </w:r>
                  <w:r>
                    <w:rPr>
                      <w:spacing w:val="8"/>
                      <w:szCs w:val="21"/>
                      <w:lang w:eastAsia="zh-CN"/>
                    </w:rPr>
                    <w:t>湖南华益科技发展有限公司（原名湖南华益食品有限公司）</w:t>
                  </w:r>
                  <w:r>
                    <w:rPr>
                      <w:szCs w:val="21"/>
                      <w:lang w:eastAsia="zh-CN"/>
                    </w:rPr>
                    <w:t>自建污水处理设施处理（</w:t>
                  </w:r>
                  <w:r>
                    <w:rPr>
                      <w:rFonts w:hint="eastAsia" w:ascii="宋体" w:hAnsi="宋体" w:cs="宋体"/>
                      <w:szCs w:val="21"/>
                      <w:lang w:eastAsia="zh-CN"/>
                    </w:rPr>
                    <w:t>“</w:t>
                  </w:r>
                  <w:r>
                    <w:rPr>
                      <w:rFonts w:hint="eastAsia" w:ascii="宋体" w:hAnsi="宋体" w:cs="宋体"/>
                      <w:color w:val="000000"/>
                      <w:szCs w:val="24"/>
                      <w:lang w:eastAsia="zh-CN"/>
                    </w:rPr>
                    <w:t>格栅井+调节池+加药沉淀+两级水解酸化+两级接触氧化+竖流沉淀</w:t>
                  </w:r>
                  <w:r>
                    <w:rPr>
                      <w:rFonts w:hint="eastAsia" w:ascii="宋体" w:hAnsi="宋体" w:cs="宋体"/>
                      <w:szCs w:val="21"/>
                      <w:lang w:eastAsia="zh-CN"/>
                    </w:rPr>
                    <w:t>”），pH、COD、BOD、SS、动植物油达到《污水综合排放标准》（GB8978-1996）表4中三级排放标准限值，氨氮、总磷、总氮、氯化物达到《污水排入城镇下水道水质标准》(GBT31962-2015)表1中B级标准限值</w:t>
                  </w:r>
                  <w:r>
                    <w:rPr>
                      <w:szCs w:val="21"/>
                      <w:lang w:eastAsia="zh-CN"/>
                    </w:rPr>
                    <w:t>；排入市政污水管网，由安化县污水处理厂深度处理后，尾水排入资江</w:t>
                  </w:r>
                  <w:r>
                    <w:rPr>
                      <w:lang w:eastAsia="zh-CN"/>
                    </w:rPr>
                    <w:t>。</w:t>
                  </w:r>
                </w:p>
                <w:p w14:paraId="065ECBC8">
                  <w:pPr>
                    <w:pStyle w:val="5"/>
                    <w:rPr>
                      <w:lang w:eastAsia="zh-CN"/>
                    </w:rPr>
                  </w:pPr>
                  <w:r>
                    <w:rPr>
                      <w:lang w:eastAsia="zh-CN"/>
                    </w:rPr>
                    <w:t>本项目主要能源消耗为电能、水能和生物质，不涉及燃煤、燃油。废气均配套有相应的处理设施，能满足达标排放。</w:t>
                  </w:r>
                </w:p>
                <w:p w14:paraId="3751806A">
                  <w:pPr>
                    <w:pStyle w:val="5"/>
                    <w:rPr>
                      <w:lang w:eastAsia="zh-CN"/>
                    </w:rPr>
                  </w:pPr>
                  <w:r>
                    <w:rPr>
                      <w:lang w:eastAsia="zh-CN"/>
                    </w:rPr>
                    <w:t>本项目各类固废均设置有相应的贮存区和合理的处置去向。</w:t>
                  </w:r>
                </w:p>
              </w:tc>
              <w:tc>
                <w:tcPr>
                  <w:tcW w:w="414" w:type="pct"/>
                  <w:vAlign w:val="center"/>
                </w:tcPr>
                <w:p w14:paraId="4191021D">
                  <w:pPr>
                    <w:pStyle w:val="5"/>
                  </w:pPr>
                  <w:r>
                    <w:t>符合</w:t>
                  </w:r>
                </w:p>
              </w:tc>
            </w:tr>
            <w:tr w14:paraId="4A8A9A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2" w:type="pct"/>
                  <w:vAlign w:val="center"/>
                </w:tcPr>
                <w:p w14:paraId="391389BF">
                  <w:pPr>
                    <w:pStyle w:val="5"/>
                  </w:pPr>
                  <w:r>
                    <w:rPr>
                      <w:lang w:eastAsia="zh-CN"/>
                    </w:rPr>
                    <w:t>（</w:t>
                  </w:r>
                  <w:r>
                    <w:t>四</w:t>
                  </w:r>
                  <w:r>
                    <w:rPr>
                      <w:lang w:eastAsia="zh-CN"/>
                    </w:rPr>
                    <w:t>）</w:t>
                  </w:r>
                </w:p>
              </w:tc>
              <w:tc>
                <w:tcPr>
                  <w:tcW w:w="2578" w:type="pct"/>
                  <w:vAlign w:val="center"/>
                </w:tcPr>
                <w:p w14:paraId="6F517CE6">
                  <w:pPr>
                    <w:pStyle w:val="5"/>
                    <w:jc w:val="both"/>
                    <w:rPr>
                      <w:lang w:eastAsia="zh-CN"/>
                    </w:rPr>
                  </w:pPr>
                  <w:r>
                    <w:rPr>
                      <w:lang w:eastAsia="zh-CN"/>
                    </w:rPr>
                    <w:t>完善监测体系，监控环境质量变化状况。园区应落实《报告书》提出的监测方案，结合园区规划的功能分区、产业布局、重点企业分布、特征污染物的排放种类和状况、环境敏感目标分布等，建立健全环境空气、地表水、地下水、土壤等环境要素的监控体系。强化对高明片区废弃资源利用企业污水处理设施的重点监管，加强监督性监测，确保企业环保设施正常运行和废水达标排放;对高明片区重点企业及区外敏感点处定期进行土壤环境质量跟踪监测，定期组织评估。</w:t>
                  </w:r>
                </w:p>
              </w:tc>
              <w:tc>
                <w:tcPr>
                  <w:tcW w:w="1465" w:type="pct"/>
                  <w:vAlign w:val="center"/>
                </w:tcPr>
                <w:p w14:paraId="64114776">
                  <w:pPr>
                    <w:pStyle w:val="5"/>
                    <w:rPr>
                      <w:lang w:eastAsia="zh-CN"/>
                    </w:rPr>
                  </w:pPr>
                  <w:r>
                    <w:rPr>
                      <w:lang w:eastAsia="zh-CN"/>
                    </w:rPr>
                    <w:t>/</w:t>
                  </w:r>
                </w:p>
              </w:tc>
              <w:tc>
                <w:tcPr>
                  <w:tcW w:w="414" w:type="pct"/>
                  <w:vAlign w:val="center"/>
                </w:tcPr>
                <w:p w14:paraId="77EBDB4D">
                  <w:pPr>
                    <w:pStyle w:val="5"/>
                    <w:rPr>
                      <w:lang w:eastAsia="zh-CN"/>
                    </w:rPr>
                  </w:pPr>
                  <w:r>
                    <w:rPr>
                      <w:lang w:eastAsia="zh-CN"/>
                    </w:rPr>
                    <w:t>/</w:t>
                  </w:r>
                </w:p>
              </w:tc>
            </w:tr>
            <w:tr w14:paraId="586DAE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2" w:type="pct"/>
                  <w:vAlign w:val="center"/>
                </w:tcPr>
                <w:p w14:paraId="6A0AFEE6">
                  <w:pPr>
                    <w:pStyle w:val="5"/>
                  </w:pPr>
                  <w:r>
                    <w:rPr>
                      <w:lang w:eastAsia="zh-CN"/>
                    </w:rPr>
                    <w:t>（</w:t>
                  </w:r>
                  <w:r>
                    <w:t>五</w:t>
                  </w:r>
                  <w:r>
                    <w:rPr>
                      <w:lang w:eastAsia="zh-CN"/>
                    </w:rPr>
                    <w:t>）</w:t>
                  </w:r>
                </w:p>
              </w:tc>
              <w:tc>
                <w:tcPr>
                  <w:tcW w:w="2578" w:type="pct"/>
                  <w:vAlign w:val="center"/>
                </w:tcPr>
                <w:p w14:paraId="377EC12B">
                  <w:pPr>
                    <w:pStyle w:val="5"/>
                    <w:jc w:val="both"/>
                    <w:rPr>
                      <w:lang w:eastAsia="zh-CN"/>
                    </w:rPr>
                  </w:pPr>
                  <w:r>
                    <w:rPr>
                      <w:lang w:eastAsia="zh-CN"/>
                    </w:rPr>
                    <w:t>强化风险管控，严防园区环境事故。加强园区环境风险防控、预警和应急体系建设。建立健全园区环境风险管理工作长效机制，园区管理机构应建立环境监督管理机构;落实环境风险防控措施，制定环境应急预案，加强应急救援队伍、装备和设施建设，储备必要的应急物资，有计划地组织应急培训和演练，全面提升园区风险防控和事故应急处置能力。</w:t>
                  </w:r>
                </w:p>
              </w:tc>
              <w:tc>
                <w:tcPr>
                  <w:tcW w:w="1465" w:type="pct"/>
                  <w:vAlign w:val="center"/>
                </w:tcPr>
                <w:p w14:paraId="401526DB">
                  <w:pPr>
                    <w:pStyle w:val="5"/>
                    <w:rPr>
                      <w:lang w:eastAsia="zh-CN"/>
                    </w:rPr>
                  </w:pPr>
                  <w:r>
                    <w:rPr>
                      <w:lang w:eastAsia="zh-CN"/>
                    </w:rPr>
                    <w:t>园区具备健全环境风险事故防范措施和应急预案，同时本评价要求项目在审批后及时办理竣工环保验收工作。</w:t>
                  </w:r>
                </w:p>
              </w:tc>
              <w:tc>
                <w:tcPr>
                  <w:tcW w:w="414" w:type="pct"/>
                  <w:vAlign w:val="center"/>
                </w:tcPr>
                <w:p w14:paraId="0C893582">
                  <w:pPr>
                    <w:pStyle w:val="5"/>
                  </w:pPr>
                  <w:r>
                    <w:t>符合</w:t>
                  </w:r>
                </w:p>
              </w:tc>
            </w:tr>
            <w:tr w14:paraId="4CFC73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2" w:type="pct"/>
                  <w:vAlign w:val="center"/>
                </w:tcPr>
                <w:p w14:paraId="57C03D03">
                  <w:pPr>
                    <w:pStyle w:val="5"/>
                  </w:pPr>
                  <w:r>
                    <w:rPr>
                      <w:lang w:eastAsia="zh-CN"/>
                    </w:rPr>
                    <w:t>（</w:t>
                  </w:r>
                  <w:r>
                    <w:t>六</w:t>
                  </w:r>
                  <w:r>
                    <w:rPr>
                      <w:lang w:eastAsia="zh-CN"/>
                    </w:rPr>
                    <w:t>）</w:t>
                  </w:r>
                </w:p>
              </w:tc>
              <w:tc>
                <w:tcPr>
                  <w:tcW w:w="2578" w:type="pct"/>
                  <w:vAlign w:val="center"/>
                </w:tcPr>
                <w:p w14:paraId="4B83709D">
                  <w:pPr>
                    <w:pStyle w:val="5"/>
                    <w:jc w:val="both"/>
                    <w:rPr>
                      <w:lang w:eastAsia="zh-CN"/>
                    </w:rPr>
                  </w:pPr>
                  <w:r>
                    <w:rPr>
                      <w:lang w:eastAsia="zh-CN"/>
                    </w:rPr>
                    <w:t>做好周边控规，落实拆迁安置计划。严格做好控规，杜绝在规划的工业用地上新增环境敏感目标，加快高明片区周边的居民拆迁进度，确保园区开发过程中的居民拆迁安置到位，防止发生居民再次安置和次生环境问题。对于具体项目环评提出防护距离和拆迁要求的，要严格予以落实。</w:t>
                  </w:r>
                </w:p>
              </w:tc>
              <w:tc>
                <w:tcPr>
                  <w:tcW w:w="1465" w:type="pct"/>
                  <w:vAlign w:val="center"/>
                </w:tcPr>
                <w:p w14:paraId="075B0D42">
                  <w:pPr>
                    <w:pStyle w:val="5"/>
                    <w:rPr>
                      <w:lang w:eastAsia="zh-CN"/>
                    </w:rPr>
                  </w:pPr>
                  <w:r>
                    <w:rPr>
                      <w:lang w:eastAsia="zh-CN"/>
                    </w:rPr>
                    <w:t>项目位于湖南安化经济开发区，租赁安化经济开发建设投资有限公司位于</w:t>
                  </w:r>
                  <w:r>
                    <w:rPr>
                      <w:spacing w:val="-6"/>
                      <w:szCs w:val="24"/>
                      <w:lang w:eastAsia="zh-CN"/>
                    </w:rPr>
                    <w:t>东坪镇茶家村茶语路南茶西路北B-02栋标准化厂房</w:t>
                  </w:r>
                  <w:r>
                    <w:rPr>
                      <w:lang w:eastAsia="zh-CN"/>
                    </w:rPr>
                    <w:t>；不涉及居民拆迁安置和次生环境问题</w:t>
                  </w:r>
                </w:p>
              </w:tc>
              <w:tc>
                <w:tcPr>
                  <w:tcW w:w="414" w:type="pct"/>
                  <w:vAlign w:val="center"/>
                </w:tcPr>
                <w:p w14:paraId="0524C41E">
                  <w:pPr>
                    <w:pStyle w:val="5"/>
                  </w:pPr>
                  <w:r>
                    <w:t>符合</w:t>
                  </w:r>
                </w:p>
              </w:tc>
            </w:tr>
            <w:tr w14:paraId="56AC92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2" w:type="pct"/>
                  <w:vAlign w:val="center"/>
                </w:tcPr>
                <w:p w14:paraId="1A458ED2">
                  <w:pPr>
                    <w:pStyle w:val="5"/>
                  </w:pPr>
                  <w:r>
                    <w:rPr>
                      <w:lang w:eastAsia="zh-CN"/>
                    </w:rPr>
                    <w:t>（</w:t>
                  </w:r>
                  <w:r>
                    <w:t>七</w:t>
                  </w:r>
                  <w:r>
                    <w:rPr>
                      <w:lang w:eastAsia="zh-CN"/>
                    </w:rPr>
                    <w:t>）</w:t>
                  </w:r>
                </w:p>
              </w:tc>
              <w:tc>
                <w:tcPr>
                  <w:tcW w:w="2578" w:type="pct"/>
                  <w:vAlign w:val="center"/>
                </w:tcPr>
                <w:p w14:paraId="67486ABE">
                  <w:pPr>
                    <w:pStyle w:val="5"/>
                    <w:jc w:val="both"/>
                    <w:rPr>
                      <w:lang w:eastAsia="zh-CN"/>
                    </w:rPr>
                  </w:pPr>
                  <w:r>
                    <w:rPr>
                      <w:lang w:eastAsia="zh-CN"/>
                    </w:rPr>
                    <w:t>做好园区建设期生态保护和水土保持。园区开发建设过程中尽可能保留自然山体、水体，施工期对土石方开挖、堆存及回填要实施围挡、护坡等措施，裸露地及时恢复植被，防止水土流失，杜绝施工建设对地表水体的污染。</w:t>
                  </w:r>
                </w:p>
              </w:tc>
              <w:tc>
                <w:tcPr>
                  <w:tcW w:w="1465" w:type="pct"/>
                  <w:vAlign w:val="center"/>
                </w:tcPr>
                <w:p w14:paraId="74BFC5DC">
                  <w:pPr>
                    <w:pStyle w:val="5"/>
                    <w:rPr>
                      <w:lang w:eastAsia="zh-CN"/>
                    </w:rPr>
                  </w:pPr>
                  <w:r>
                    <w:rPr>
                      <w:lang w:eastAsia="zh-CN"/>
                    </w:rPr>
                    <w:t>本项目不涉及</w:t>
                  </w:r>
                </w:p>
              </w:tc>
              <w:tc>
                <w:tcPr>
                  <w:tcW w:w="414" w:type="pct"/>
                  <w:vAlign w:val="center"/>
                </w:tcPr>
                <w:p w14:paraId="1A3C794E">
                  <w:pPr>
                    <w:pStyle w:val="5"/>
                    <w:rPr>
                      <w:lang w:eastAsia="zh-CN"/>
                    </w:rPr>
                  </w:pPr>
                  <w:r>
                    <w:rPr>
                      <w:lang w:eastAsia="zh-CN"/>
                    </w:rPr>
                    <w:t>符合</w:t>
                  </w:r>
                </w:p>
              </w:tc>
            </w:tr>
          </w:tbl>
          <w:p w14:paraId="52A00E3E">
            <w:pPr>
              <w:pBdr>
                <w:top w:val="none" w:color="000000" w:sz="0" w:space="1"/>
                <w:left w:val="none" w:color="000000" w:sz="0" w:space="0"/>
                <w:bottom w:val="none" w:color="000000" w:sz="0" w:space="1"/>
                <w:right w:val="none" w:color="000000" w:sz="0" w:space="0"/>
              </w:pBdr>
              <w:shd w:val="clear" w:color="FFFFFF" w:fill="auto"/>
              <w:autoSpaceDN w:val="0"/>
              <w:spacing w:line="360" w:lineRule="auto"/>
              <w:ind w:firstLine="480" w:firstLineChars="200"/>
              <w:rPr>
                <w:sz w:val="24"/>
              </w:rPr>
            </w:pPr>
            <w:r>
              <w:rPr>
                <w:sz w:val="24"/>
              </w:rPr>
              <w:t>综合以上内容进行分析，本项目符合审查意见的函中的相关工作要求。</w:t>
            </w:r>
          </w:p>
          <w:p w14:paraId="55112F4B">
            <w:pPr>
              <w:spacing w:line="360" w:lineRule="auto"/>
              <w:rPr>
                <w:sz w:val="24"/>
                <w:szCs w:val="24"/>
              </w:rPr>
            </w:pPr>
          </w:p>
          <w:p w14:paraId="234D4977">
            <w:pPr>
              <w:spacing w:line="360" w:lineRule="auto"/>
              <w:rPr>
                <w:sz w:val="24"/>
                <w:szCs w:val="24"/>
              </w:rPr>
            </w:pPr>
          </w:p>
          <w:p w14:paraId="0E5F490C">
            <w:pPr>
              <w:spacing w:line="360" w:lineRule="auto"/>
              <w:rPr>
                <w:sz w:val="24"/>
                <w:szCs w:val="24"/>
              </w:rPr>
            </w:pPr>
          </w:p>
          <w:p w14:paraId="59DF33BE">
            <w:pPr>
              <w:spacing w:line="360" w:lineRule="auto"/>
              <w:rPr>
                <w:sz w:val="24"/>
                <w:szCs w:val="24"/>
              </w:rPr>
            </w:pPr>
          </w:p>
          <w:p w14:paraId="268303A5">
            <w:pPr>
              <w:spacing w:line="360" w:lineRule="auto"/>
              <w:rPr>
                <w:sz w:val="24"/>
                <w:szCs w:val="24"/>
              </w:rPr>
            </w:pPr>
          </w:p>
          <w:p w14:paraId="3BADFC6E">
            <w:pPr>
              <w:spacing w:line="360" w:lineRule="auto"/>
              <w:rPr>
                <w:sz w:val="24"/>
                <w:szCs w:val="24"/>
              </w:rPr>
            </w:pPr>
          </w:p>
          <w:p w14:paraId="6B83BB86">
            <w:pPr>
              <w:spacing w:line="360" w:lineRule="auto"/>
              <w:rPr>
                <w:sz w:val="24"/>
                <w:szCs w:val="24"/>
              </w:rPr>
            </w:pPr>
          </w:p>
          <w:p w14:paraId="51488925">
            <w:pPr>
              <w:spacing w:line="360" w:lineRule="auto"/>
              <w:rPr>
                <w:sz w:val="24"/>
                <w:szCs w:val="24"/>
              </w:rPr>
            </w:pPr>
          </w:p>
        </w:tc>
      </w:tr>
      <w:tr w14:paraId="4A8930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9757" w:hRule="atLeast"/>
          <w:jc w:val="center"/>
        </w:trPr>
        <w:tc>
          <w:tcPr>
            <w:tcW w:w="1525" w:type="dxa"/>
            <w:tcMar>
              <w:top w:w="0" w:type="dxa"/>
              <w:left w:w="108" w:type="dxa"/>
              <w:bottom w:w="0" w:type="dxa"/>
              <w:right w:w="108" w:type="dxa"/>
            </w:tcMar>
            <w:vAlign w:val="center"/>
          </w:tcPr>
          <w:p w14:paraId="4AEDB3A4">
            <w:pPr>
              <w:autoSpaceDE w:val="0"/>
              <w:autoSpaceDN w:val="0"/>
              <w:jc w:val="center"/>
              <w:rPr>
                <w:kern w:val="0"/>
                <w:sz w:val="24"/>
                <w:szCs w:val="24"/>
              </w:rPr>
            </w:pPr>
            <w:r>
              <w:rPr>
                <w:kern w:val="0"/>
                <w:sz w:val="24"/>
                <w:szCs w:val="24"/>
              </w:rPr>
              <w:t>其他符合性</w:t>
            </w:r>
          </w:p>
          <w:p w14:paraId="58150A89">
            <w:pPr>
              <w:autoSpaceDE w:val="0"/>
              <w:autoSpaceDN w:val="0"/>
              <w:jc w:val="center"/>
              <w:rPr>
                <w:kern w:val="0"/>
                <w:sz w:val="24"/>
                <w:szCs w:val="24"/>
              </w:rPr>
            </w:pPr>
            <w:r>
              <w:rPr>
                <w:kern w:val="0"/>
                <w:sz w:val="24"/>
                <w:szCs w:val="24"/>
              </w:rPr>
              <w:t>分析</w:t>
            </w:r>
          </w:p>
        </w:tc>
        <w:tc>
          <w:tcPr>
            <w:tcW w:w="8073" w:type="dxa"/>
            <w:gridSpan w:val="3"/>
            <w:tcMar>
              <w:top w:w="0" w:type="dxa"/>
              <w:left w:w="108" w:type="dxa"/>
              <w:bottom w:w="0" w:type="dxa"/>
              <w:right w:w="108" w:type="dxa"/>
            </w:tcMar>
            <w:vAlign w:val="center"/>
          </w:tcPr>
          <w:p w14:paraId="128CB5E9">
            <w:pPr>
              <w:spacing w:line="360" w:lineRule="auto"/>
              <w:rPr>
                <w:b/>
                <w:bCs/>
                <w:kern w:val="0"/>
                <w:sz w:val="24"/>
                <w:szCs w:val="24"/>
              </w:rPr>
            </w:pPr>
            <w:r>
              <w:rPr>
                <w:b/>
                <w:bCs/>
                <w:kern w:val="0"/>
                <w:sz w:val="24"/>
                <w:szCs w:val="24"/>
              </w:rPr>
              <w:t>1 建设项目与所在地</w:t>
            </w:r>
            <w:r>
              <w:rPr>
                <w:rFonts w:asciiTheme="minorEastAsia" w:hAnsiTheme="minorEastAsia" w:eastAsiaTheme="minorEastAsia"/>
                <w:b/>
                <w:bCs/>
                <w:kern w:val="0"/>
                <w:sz w:val="24"/>
                <w:szCs w:val="24"/>
              </w:rPr>
              <w:t>“三线一单”</w:t>
            </w:r>
            <w:r>
              <w:rPr>
                <w:b/>
                <w:bCs/>
                <w:kern w:val="0"/>
                <w:sz w:val="24"/>
                <w:szCs w:val="24"/>
              </w:rPr>
              <w:t>的符合性分析</w:t>
            </w:r>
          </w:p>
          <w:p w14:paraId="475946D5">
            <w:pPr>
              <w:pStyle w:val="53"/>
              <w:autoSpaceDE/>
              <w:autoSpaceDN/>
              <w:adjustRightInd/>
              <w:spacing w:line="360" w:lineRule="auto"/>
              <w:ind w:firstLine="480" w:firstLineChars="200"/>
              <w:jc w:val="both"/>
              <w:rPr>
                <w:rFonts w:ascii="Times New Roman"/>
                <w:color w:val="auto"/>
                <w:kern w:val="24"/>
              </w:rPr>
            </w:pPr>
            <w:r>
              <w:rPr>
                <w:rFonts w:ascii="Times New Roman"/>
                <w:color w:val="auto"/>
                <w:kern w:val="24"/>
              </w:rPr>
              <w:t>本项目不位于自然保护区、风景名胜区、饮用水水源保护区、森林公园、地质公园等重要生态功能区、生态敏感区和脆弱区以及其他要求禁止建设的环境敏感区内，符合生态保护红线的划定原则。</w:t>
            </w:r>
          </w:p>
          <w:p w14:paraId="62500499">
            <w:pPr>
              <w:spacing w:line="360" w:lineRule="auto"/>
              <w:rPr>
                <w:b/>
                <w:bCs/>
                <w:kern w:val="0"/>
                <w:sz w:val="24"/>
                <w:szCs w:val="24"/>
              </w:rPr>
            </w:pPr>
            <w:r>
              <w:rPr>
                <w:b/>
                <w:bCs/>
                <w:kern w:val="0"/>
                <w:sz w:val="24"/>
                <w:szCs w:val="24"/>
              </w:rPr>
              <w:t>1.1 生态保护红线</w:t>
            </w:r>
          </w:p>
          <w:p w14:paraId="695936F1">
            <w:pPr>
              <w:pStyle w:val="53"/>
              <w:autoSpaceDE/>
              <w:autoSpaceDN/>
              <w:adjustRightInd/>
              <w:spacing w:line="360" w:lineRule="auto"/>
              <w:ind w:firstLine="480" w:firstLineChars="200"/>
              <w:jc w:val="both"/>
              <w:rPr>
                <w:rFonts w:ascii="Times New Roman"/>
                <w:color w:val="auto"/>
                <w:kern w:val="24"/>
              </w:rPr>
            </w:pPr>
            <w:r>
              <w:rPr>
                <w:rFonts w:ascii="Times New Roman"/>
                <w:color w:val="auto"/>
                <w:kern w:val="24"/>
              </w:rPr>
              <w:t>本项目位于安化县</w:t>
            </w:r>
            <w:r>
              <w:rPr>
                <w:rFonts w:ascii="Times New Roman"/>
                <w:spacing w:val="-6"/>
              </w:rPr>
              <w:t>东坪镇茶家村茶语路南茶西路北B-02栋标准化厂房</w:t>
            </w:r>
            <w:r>
              <w:rPr>
                <w:rFonts w:ascii="Times New Roman"/>
                <w:color w:val="auto"/>
                <w:kern w:val="24"/>
              </w:rPr>
              <w:t>，</w:t>
            </w:r>
            <w:r>
              <w:rPr>
                <w:rFonts w:ascii="Times New Roman"/>
              </w:rPr>
              <w:t>根据</w:t>
            </w:r>
            <w:r>
              <w:rPr>
                <w:rFonts w:hint="eastAsia" w:ascii="Times New Roman"/>
              </w:rPr>
              <w:t>安化</w:t>
            </w:r>
            <w:r>
              <w:rPr>
                <w:rFonts w:ascii="Times New Roman"/>
              </w:rPr>
              <w:t>市生态保护红线区划，本项目不在生态保护红线划定范围内。</w:t>
            </w:r>
            <w:r>
              <w:rPr>
                <w:rFonts w:ascii="Times New Roman"/>
                <w:color w:val="auto"/>
                <w:kern w:val="24"/>
              </w:rPr>
              <w:t>因此，项目建设符合生态红线控制要求。</w:t>
            </w:r>
          </w:p>
          <w:p w14:paraId="23CFE31E">
            <w:pPr>
              <w:spacing w:line="360" w:lineRule="auto"/>
              <w:rPr>
                <w:b/>
                <w:bCs/>
                <w:kern w:val="0"/>
                <w:sz w:val="24"/>
                <w:szCs w:val="24"/>
              </w:rPr>
            </w:pPr>
            <w:r>
              <w:rPr>
                <w:b/>
                <w:bCs/>
                <w:kern w:val="0"/>
                <w:sz w:val="24"/>
                <w:szCs w:val="24"/>
              </w:rPr>
              <w:t>1.2 环境质量底线</w:t>
            </w:r>
          </w:p>
          <w:p w14:paraId="11B0FACF">
            <w:pPr>
              <w:spacing w:line="360" w:lineRule="auto"/>
              <w:ind w:firstLine="480" w:firstLineChars="200"/>
              <w:rPr>
                <w:kern w:val="0"/>
                <w:sz w:val="24"/>
                <w:szCs w:val="24"/>
              </w:rPr>
            </w:pPr>
            <w:r>
              <w:rPr>
                <w:rFonts w:hint="eastAsia" w:ascii="宋体" w:hAnsi="宋体" w:cs="宋体"/>
                <w:kern w:val="0"/>
                <w:sz w:val="24"/>
                <w:szCs w:val="24"/>
              </w:rPr>
              <w:t>“环境质量底线”</w:t>
            </w:r>
            <w:r>
              <w:rPr>
                <w:kern w:val="0"/>
                <w:sz w:val="24"/>
                <w:szCs w:val="24"/>
              </w:rPr>
              <w:t>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w:t>
            </w:r>
          </w:p>
          <w:p w14:paraId="6E671284">
            <w:pPr>
              <w:spacing w:line="360" w:lineRule="auto"/>
              <w:ind w:firstLine="480" w:firstLineChars="200"/>
              <w:rPr>
                <w:sz w:val="24"/>
                <w:szCs w:val="24"/>
              </w:rPr>
            </w:pPr>
            <w:r>
              <w:rPr>
                <w:sz w:val="24"/>
                <w:szCs w:val="24"/>
              </w:rPr>
              <w:t>环境空气：达到《环境空气质量标准》(GB3095-2012)中二级标准要求；地表水：</w:t>
            </w:r>
            <w:r>
              <w:rPr>
                <w:kern w:val="0"/>
                <w:sz w:val="24"/>
                <w:szCs w:val="24"/>
              </w:rPr>
              <w:t>项目所在地主要地表水系为资江，其水质状况满足《地表水环境质量标准》（GB3838-2002）中III类水质标准</w:t>
            </w:r>
            <w:r>
              <w:rPr>
                <w:sz w:val="24"/>
                <w:szCs w:val="24"/>
              </w:rPr>
              <w:t>；声环境：达到《声环境质量标准》(GB3096-2008)中3类区标准要求。</w:t>
            </w:r>
          </w:p>
          <w:p w14:paraId="3610BFC4">
            <w:pPr>
              <w:spacing w:line="360" w:lineRule="auto"/>
              <w:ind w:firstLine="480" w:firstLineChars="200"/>
              <w:rPr>
                <w:kern w:val="0"/>
                <w:sz w:val="24"/>
                <w:szCs w:val="24"/>
              </w:rPr>
            </w:pPr>
            <w:r>
              <w:rPr>
                <w:kern w:val="0"/>
                <w:sz w:val="24"/>
                <w:szCs w:val="24"/>
              </w:rPr>
              <w:t>2023年安化县环境空气质量SO</w:t>
            </w:r>
            <w:r>
              <w:rPr>
                <w:kern w:val="0"/>
                <w:sz w:val="24"/>
                <w:szCs w:val="24"/>
                <w:vertAlign w:val="subscript"/>
              </w:rPr>
              <w:t>2</w:t>
            </w:r>
            <w:r>
              <w:rPr>
                <w:kern w:val="0"/>
                <w:sz w:val="24"/>
                <w:szCs w:val="24"/>
              </w:rPr>
              <w:t>、NO</w:t>
            </w:r>
            <w:r>
              <w:rPr>
                <w:kern w:val="0"/>
                <w:sz w:val="24"/>
                <w:szCs w:val="24"/>
                <w:vertAlign w:val="subscript"/>
              </w:rPr>
              <w:t>2</w:t>
            </w:r>
            <w:r>
              <w:rPr>
                <w:kern w:val="0"/>
                <w:sz w:val="24"/>
                <w:szCs w:val="24"/>
              </w:rPr>
              <w:t>、CO、PM</w:t>
            </w:r>
            <w:r>
              <w:rPr>
                <w:kern w:val="0"/>
                <w:sz w:val="24"/>
                <w:szCs w:val="24"/>
                <w:vertAlign w:val="subscript"/>
              </w:rPr>
              <w:t>10</w:t>
            </w:r>
            <w:r>
              <w:rPr>
                <w:kern w:val="0"/>
                <w:sz w:val="24"/>
                <w:szCs w:val="24"/>
              </w:rPr>
              <w:t>、PM</w:t>
            </w:r>
            <w:r>
              <w:rPr>
                <w:kern w:val="0"/>
                <w:sz w:val="24"/>
                <w:szCs w:val="24"/>
                <w:vertAlign w:val="subscript"/>
              </w:rPr>
              <w:t>2.5</w:t>
            </w:r>
            <w:r>
              <w:rPr>
                <w:kern w:val="0"/>
                <w:sz w:val="24"/>
                <w:szCs w:val="24"/>
              </w:rPr>
              <w:t>、O</w:t>
            </w:r>
            <w:r>
              <w:rPr>
                <w:kern w:val="0"/>
                <w:sz w:val="24"/>
                <w:szCs w:val="24"/>
                <w:vertAlign w:val="subscript"/>
              </w:rPr>
              <w:t>3</w:t>
            </w:r>
            <w:r>
              <w:rPr>
                <w:kern w:val="0"/>
                <w:sz w:val="24"/>
                <w:szCs w:val="24"/>
              </w:rPr>
              <w:t>的年平均质量浓度和其百分位数日平均质量浓度均可达到《环境空气质量标准》(GB3095-2012)中二级标准限值要求，故安化县属于达标区；项目所在地主要地表水系为资江，其水质状况满足《地表水环境质量标准》（GB3838-2002）中III类水质标准；项目周边声环境质量现状能够满足《声环境质量标准》（GB3096-2008）中的3类标准。</w:t>
            </w:r>
          </w:p>
          <w:p w14:paraId="4632AD7C">
            <w:pPr>
              <w:spacing w:line="360" w:lineRule="auto"/>
              <w:ind w:firstLine="480" w:firstLineChars="200"/>
              <w:rPr>
                <w:kern w:val="0"/>
                <w:sz w:val="24"/>
                <w:szCs w:val="24"/>
              </w:rPr>
            </w:pPr>
            <w:r>
              <w:rPr>
                <w:kern w:val="0"/>
                <w:sz w:val="24"/>
                <w:szCs w:val="24"/>
              </w:rPr>
              <w:t>本项目废水、废气、噪声能够达标排放，固废能得到妥善、安全处置，</w:t>
            </w:r>
            <w:r>
              <w:rPr>
                <w:sz w:val="24"/>
                <w:szCs w:val="24"/>
              </w:rPr>
              <w:t>项目产生的污染物对周围环境产生的影响在可接受的范围内，不会突破区域环境质量底线</w:t>
            </w:r>
            <w:r>
              <w:rPr>
                <w:kern w:val="0"/>
                <w:sz w:val="24"/>
                <w:szCs w:val="24"/>
              </w:rPr>
              <w:t>。</w:t>
            </w:r>
          </w:p>
          <w:p w14:paraId="367612EE">
            <w:pPr>
              <w:spacing w:line="360" w:lineRule="auto"/>
              <w:ind w:firstLine="480" w:firstLineChars="200"/>
              <w:rPr>
                <w:kern w:val="0"/>
                <w:sz w:val="24"/>
                <w:szCs w:val="24"/>
              </w:rPr>
            </w:pPr>
            <w:r>
              <w:rPr>
                <w:kern w:val="0"/>
                <w:sz w:val="24"/>
                <w:szCs w:val="24"/>
              </w:rPr>
              <w:t>综上所述，本项目建设符合环境质量底线要求。</w:t>
            </w:r>
          </w:p>
          <w:p w14:paraId="50C0AFC3">
            <w:pPr>
              <w:spacing w:line="360" w:lineRule="auto"/>
              <w:rPr>
                <w:b/>
                <w:bCs/>
              </w:rPr>
            </w:pPr>
            <w:r>
              <w:rPr>
                <w:rStyle w:val="79"/>
                <w:rFonts w:hint="default" w:ascii="Times New Roman" w:hAnsi="Times New Roman"/>
                <w:b/>
                <w:bCs/>
                <w:color w:val="auto"/>
              </w:rPr>
              <w:t>1.3 资源利用上线</w:t>
            </w:r>
          </w:p>
          <w:p w14:paraId="3E9F2247">
            <w:pPr>
              <w:spacing w:line="360" w:lineRule="auto"/>
              <w:ind w:firstLine="480" w:firstLineChars="200"/>
              <w:rPr>
                <w:spacing w:val="-6"/>
                <w:sz w:val="24"/>
                <w:szCs w:val="24"/>
              </w:rPr>
            </w:pPr>
            <w:r>
              <w:rPr>
                <w:bCs/>
                <w:sz w:val="24"/>
                <w:szCs w:val="24"/>
              </w:rPr>
              <w:t>本项目用水来源现有河水；能源主要依托当地乡镇电网供电系统、供气依托新建1台</w:t>
            </w:r>
            <w:r>
              <w:rPr>
                <w:sz w:val="24"/>
                <w:szCs w:val="24"/>
              </w:rPr>
              <w:t>6t/h的的生物质气化锅炉</w:t>
            </w:r>
            <w:r>
              <w:rPr>
                <w:bCs/>
                <w:sz w:val="24"/>
                <w:szCs w:val="24"/>
              </w:rPr>
              <w:t>；本项目</w:t>
            </w:r>
            <w:r>
              <w:rPr>
                <w:sz w:val="24"/>
                <w:szCs w:val="24"/>
              </w:rPr>
              <w:t>租赁安化经济开发建设投资有限公司闲置标准化厂房，不新增用地，不占用区域土地资源；</w:t>
            </w:r>
            <w:r>
              <w:rPr>
                <w:bCs/>
                <w:sz w:val="24"/>
                <w:szCs w:val="24"/>
              </w:rPr>
              <w:t>本项目位于</w:t>
            </w:r>
            <w:r>
              <w:rPr>
                <w:kern w:val="0"/>
                <w:sz w:val="24"/>
                <w:szCs w:val="24"/>
              </w:rPr>
              <w:t>湖南省益阳市</w:t>
            </w:r>
            <w:r>
              <w:rPr>
                <w:spacing w:val="-6"/>
                <w:sz w:val="24"/>
                <w:szCs w:val="24"/>
              </w:rPr>
              <w:t>安化县东坪镇茶家村茶语路南茶西路北B-02栋标准化厂房</w:t>
            </w:r>
            <w:r>
              <w:rPr>
                <w:bCs/>
                <w:sz w:val="24"/>
                <w:szCs w:val="24"/>
              </w:rPr>
              <w:t>，项目不占用基本农田，土地资源消耗符合要求。因此</w:t>
            </w:r>
            <w:r>
              <w:rPr>
                <w:spacing w:val="-6"/>
                <w:sz w:val="24"/>
                <w:szCs w:val="24"/>
              </w:rPr>
              <w:t>，本项目符合资源利用上线要求。</w:t>
            </w:r>
          </w:p>
          <w:p w14:paraId="25E366C2">
            <w:pPr>
              <w:spacing w:line="360" w:lineRule="auto"/>
              <w:rPr>
                <w:rStyle w:val="79"/>
                <w:rFonts w:hint="default" w:ascii="Times New Roman" w:hAnsi="Times New Roman"/>
                <w:b/>
                <w:bCs/>
                <w:color w:val="auto"/>
              </w:rPr>
            </w:pPr>
            <w:r>
              <w:rPr>
                <w:b/>
                <w:bCs/>
                <w:sz w:val="24"/>
                <w:szCs w:val="24"/>
              </w:rPr>
              <w:t>1.</w:t>
            </w:r>
            <w:r>
              <w:rPr>
                <w:rFonts w:hint="eastAsia"/>
                <w:b/>
                <w:bCs/>
                <w:sz w:val="24"/>
                <w:szCs w:val="24"/>
              </w:rPr>
              <w:t>4</w:t>
            </w:r>
            <w:r>
              <w:rPr>
                <w:b/>
                <w:bCs/>
                <w:sz w:val="24"/>
                <w:szCs w:val="24"/>
              </w:rPr>
              <w:t>生态环境准入清单</w:t>
            </w:r>
          </w:p>
          <w:p w14:paraId="3688B21D">
            <w:pPr>
              <w:pBdr>
                <w:top w:val="none" w:color="000000" w:sz="0" w:space="1"/>
                <w:left w:val="none" w:color="000000" w:sz="0" w:space="0"/>
                <w:bottom w:val="none" w:color="000000" w:sz="0" w:space="1"/>
                <w:right w:val="none" w:color="000000" w:sz="0" w:space="0"/>
              </w:pBdr>
              <w:shd w:val="clear" w:color="FFFFFF" w:fill="auto"/>
              <w:autoSpaceDN w:val="0"/>
              <w:spacing w:line="360" w:lineRule="auto"/>
              <w:ind w:firstLine="480" w:firstLineChars="200"/>
              <w:rPr>
                <w:sz w:val="24"/>
              </w:rPr>
            </w:pPr>
            <w:r>
              <w:rPr>
                <w:sz w:val="24"/>
                <w:lang w:val="zh-CN"/>
              </w:rPr>
              <w:t>根据</w:t>
            </w:r>
            <w:r>
              <w:rPr>
                <w:sz w:val="24"/>
              </w:rPr>
              <w:t>《湖南省生态环境分区管控更新成果》（2023版），生态环境管控单元更新后，共划定875个单元，其中包括优先保护单元为260个，面积占比为37.84%；重点管控单元349个，面积占比为20.44%；一般管控单元266个，面积占比为41.72%。根据项目实施的位置，项目区位于重点管控单元。</w:t>
            </w:r>
          </w:p>
          <w:p w14:paraId="4982956F">
            <w:pPr>
              <w:pBdr>
                <w:top w:val="none" w:color="000000" w:sz="0" w:space="1"/>
                <w:left w:val="none" w:color="000000" w:sz="0" w:space="0"/>
                <w:bottom w:val="none" w:color="000000" w:sz="0" w:space="1"/>
                <w:right w:val="none" w:color="000000" w:sz="0" w:space="0"/>
              </w:pBdr>
              <w:shd w:val="clear" w:color="FFFFFF" w:fill="auto"/>
              <w:autoSpaceDN w:val="0"/>
              <w:spacing w:line="360" w:lineRule="auto"/>
              <w:ind w:firstLine="480" w:firstLineChars="200"/>
              <w:rPr>
                <w:sz w:val="24"/>
                <w:lang w:val="zh-CN"/>
              </w:rPr>
            </w:pPr>
            <w:r>
              <w:rPr>
                <w:sz w:val="24"/>
                <w:lang w:val="zh-CN"/>
              </w:rPr>
              <w:t>根据</w:t>
            </w:r>
            <w:r>
              <w:rPr>
                <w:rFonts w:asciiTheme="minorEastAsia" w:hAnsiTheme="minorEastAsia" w:eastAsiaTheme="minorEastAsia"/>
                <w:sz w:val="24"/>
                <w:lang w:val="zh-CN"/>
              </w:rPr>
              <w:t>《湖南省“三线一单”生态环境总体管控要求</w:t>
            </w:r>
            <w:r>
              <w:rPr>
                <w:sz w:val="24"/>
                <w:lang w:val="zh-CN"/>
              </w:rPr>
              <w:t>暨省级以上产业园区生态环境准入清单》</w:t>
            </w:r>
            <w:r>
              <w:rPr>
                <w:bCs/>
                <w:sz w:val="24"/>
              </w:rPr>
              <w:t>（湘环函〔2024〕26号），本项目位于</w:t>
            </w:r>
            <w:r>
              <w:rPr>
                <w:kern w:val="24"/>
                <w:sz w:val="24"/>
              </w:rPr>
              <w:t>安化县</w:t>
            </w:r>
            <w:r>
              <w:rPr>
                <w:spacing w:val="-6"/>
                <w:sz w:val="24"/>
              </w:rPr>
              <w:t>东坪镇茶家村茶语路南茶西路北B-02栋标准化厂房</w:t>
            </w:r>
            <w:r>
              <w:rPr>
                <w:bCs/>
                <w:sz w:val="24"/>
              </w:rPr>
              <w:t>，</w:t>
            </w:r>
            <w:r>
              <w:rPr>
                <w:sz w:val="24"/>
                <w:lang w:val="zh-CN"/>
              </w:rPr>
              <w:t>属于湖南安化经济开发区管控范围内，</w:t>
            </w:r>
            <w:r>
              <w:rPr>
                <w:sz w:val="24"/>
              </w:rPr>
              <w:t>环境管控单元编码：ZH43092320004，</w:t>
            </w:r>
            <w:r>
              <w:rPr>
                <w:sz w:val="24"/>
                <w:lang w:val="zh-CN"/>
              </w:rPr>
              <w:t>根据湖南安化经济开发区管控要求，本项目与湖南安化经济开发区生态环境准入清单符合性分析情况如</w:t>
            </w:r>
            <w:r>
              <w:rPr>
                <w:sz w:val="24"/>
              </w:rPr>
              <w:t>下</w:t>
            </w:r>
            <w:r>
              <w:rPr>
                <w:sz w:val="24"/>
                <w:lang w:val="zh-CN"/>
              </w:rPr>
              <w:t>表所示。</w:t>
            </w:r>
          </w:p>
          <w:p w14:paraId="42D22CD8">
            <w:pPr>
              <w:spacing w:line="360" w:lineRule="auto"/>
              <w:ind w:firstLine="480" w:firstLineChars="200"/>
              <w:rPr>
                <w:kern w:val="0"/>
                <w:sz w:val="24"/>
                <w:szCs w:val="24"/>
              </w:rPr>
            </w:pPr>
            <w:r>
              <w:rPr>
                <w:bCs/>
                <w:color w:val="000000"/>
                <w:sz w:val="24"/>
                <w:szCs w:val="24"/>
                <w:lang w:bidi="ar"/>
              </w:rPr>
              <w:t>本项目与生态环境准入清单符合性分析如下：</w:t>
            </w:r>
          </w:p>
          <w:p w14:paraId="6E0E4D21">
            <w:pPr>
              <w:spacing w:line="360" w:lineRule="auto"/>
              <w:jc w:val="center"/>
              <w:rPr>
                <w:b/>
                <w:bCs/>
                <w:kern w:val="0"/>
                <w:sz w:val="24"/>
                <w:szCs w:val="24"/>
              </w:rPr>
            </w:pPr>
            <w:r>
              <w:rPr>
                <w:b/>
                <w:bCs/>
                <w:kern w:val="0"/>
                <w:sz w:val="24"/>
                <w:szCs w:val="24"/>
              </w:rPr>
              <w:t xml:space="preserve">表1-7  </w:t>
            </w:r>
            <w:r>
              <w:rPr>
                <w:b/>
                <w:bCs/>
                <w:color w:val="000000"/>
                <w:sz w:val="24"/>
                <w:szCs w:val="24"/>
                <w:lang w:bidi="ar"/>
              </w:rPr>
              <w:t>项目与</w:t>
            </w:r>
            <w:r>
              <w:rPr>
                <w:b/>
                <w:bCs/>
                <w:sz w:val="24"/>
              </w:rPr>
              <w:t>湘环函〔2024〕26号</w:t>
            </w:r>
            <w:r>
              <w:rPr>
                <w:b/>
                <w:bCs/>
                <w:color w:val="000000"/>
                <w:sz w:val="24"/>
                <w:szCs w:val="24"/>
                <w:lang w:bidi="ar"/>
              </w:rPr>
              <w:t>相符性一览表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57"/>
              <w:gridCol w:w="808"/>
              <w:gridCol w:w="1033"/>
              <w:gridCol w:w="1414"/>
              <w:gridCol w:w="287"/>
              <w:gridCol w:w="1118"/>
              <w:gridCol w:w="1450"/>
              <w:gridCol w:w="660"/>
            </w:tblGrid>
            <w:tr w14:paraId="70C9EB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65" w:type="dxa"/>
                  <w:gridSpan w:val="2"/>
                  <w:vAlign w:val="center"/>
                </w:tcPr>
                <w:p w14:paraId="18FDEC67">
                  <w:pPr>
                    <w:adjustRightInd w:val="0"/>
                    <w:jc w:val="center"/>
                    <w:rPr>
                      <w:b/>
                      <w:szCs w:val="21"/>
                    </w:rPr>
                  </w:pPr>
                  <w:r>
                    <w:rPr>
                      <w:b/>
                      <w:szCs w:val="21"/>
                    </w:rPr>
                    <w:t>环境管控单元编码</w:t>
                  </w:r>
                </w:p>
              </w:tc>
              <w:tc>
                <w:tcPr>
                  <w:tcW w:w="1033" w:type="dxa"/>
                  <w:vAlign w:val="center"/>
                </w:tcPr>
                <w:p w14:paraId="7FDF3CD3">
                  <w:pPr>
                    <w:adjustRightInd w:val="0"/>
                    <w:jc w:val="center"/>
                    <w:rPr>
                      <w:b/>
                      <w:szCs w:val="21"/>
                    </w:rPr>
                  </w:pPr>
                  <w:r>
                    <w:rPr>
                      <w:b/>
                      <w:szCs w:val="21"/>
                    </w:rPr>
                    <w:t>单元</w:t>
                  </w:r>
                </w:p>
                <w:p w14:paraId="6972172F">
                  <w:pPr>
                    <w:adjustRightInd w:val="0"/>
                    <w:jc w:val="center"/>
                    <w:rPr>
                      <w:b/>
                      <w:szCs w:val="21"/>
                    </w:rPr>
                  </w:pPr>
                  <w:r>
                    <w:rPr>
                      <w:b/>
                      <w:szCs w:val="21"/>
                    </w:rPr>
                    <w:t>名称</w:t>
                  </w:r>
                </w:p>
              </w:tc>
              <w:tc>
                <w:tcPr>
                  <w:tcW w:w="1701" w:type="dxa"/>
                  <w:gridSpan w:val="2"/>
                  <w:vAlign w:val="center"/>
                </w:tcPr>
                <w:p w14:paraId="687C1D6F">
                  <w:pPr>
                    <w:adjustRightInd w:val="0"/>
                    <w:jc w:val="center"/>
                    <w:rPr>
                      <w:b/>
                      <w:szCs w:val="21"/>
                    </w:rPr>
                  </w:pPr>
                  <w:r>
                    <w:rPr>
                      <w:b/>
                      <w:szCs w:val="21"/>
                    </w:rPr>
                    <w:t>涉及乡镇（街道）</w:t>
                  </w:r>
                </w:p>
              </w:tc>
              <w:tc>
                <w:tcPr>
                  <w:tcW w:w="1118" w:type="dxa"/>
                  <w:vAlign w:val="center"/>
                </w:tcPr>
                <w:p w14:paraId="3A81694A">
                  <w:pPr>
                    <w:adjustRightInd w:val="0"/>
                    <w:jc w:val="center"/>
                    <w:rPr>
                      <w:b/>
                      <w:szCs w:val="21"/>
                    </w:rPr>
                  </w:pPr>
                  <w:r>
                    <w:rPr>
                      <w:b/>
                      <w:szCs w:val="21"/>
                    </w:rPr>
                    <w:t>单元面积（km</w:t>
                  </w:r>
                  <w:r>
                    <w:rPr>
                      <w:b/>
                      <w:szCs w:val="21"/>
                      <w:vertAlign w:val="superscript"/>
                    </w:rPr>
                    <w:t>2</w:t>
                  </w:r>
                  <w:r>
                    <w:rPr>
                      <w:b/>
                      <w:szCs w:val="21"/>
                    </w:rPr>
                    <w:t>）</w:t>
                  </w:r>
                </w:p>
              </w:tc>
              <w:tc>
                <w:tcPr>
                  <w:tcW w:w="2110" w:type="dxa"/>
                  <w:gridSpan w:val="2"/>
                  <w:vAlign w:val="center"/>
                </w:tcPr>
                <w:p w14:paraId="2F3715A0">
                  <w:pPr>
                    <w:adjustRightInd w:val="0"/>
                    <w:jc w:val="center"/>
                    <w:rPr>
                      <w:b/>
                      <w:szCs w:val="21"/>
                    </w:rPr>
                  </w:pPr>
                  <w:r>
                    <w:rPr>
                      <w:b/>
                      <w:szCs w:val="21"/>
                    </w:rPr>
                    <w:t>经济产业布局</w:t>
                  </w:r>
                </w:p>
              </w:tc>
            </w:tr>
            <w:tr w14:paraId="1D31BE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65" w:type="dxa"/>
                  <w:gridSpan w:val="2"/>
                  <w:vAlign w:val="center"/>
                </w:tcPr>
                <w:p w14:paraId="6A8C8CC2">
                  <w:pPr>
                    <w:adjustRightInd w:val="0"/>
                    <w:jc w:val="center"/>
                    <w:rPr>
                      <w:bCs/>
                      <w:szCs w:val="21"/>
                    </w:rPr>
                  </w:pPr>
                  <w:r>
                    <w:rPr>
                      <w:bCs/>
                      <w:szCs w:val="21"/>
                    </w:rPr>
                    <w:t>ZH43092310001</w:t>
                  </w:r>
                </w:p>
              </w:tc>
              <w:tc>
                <w:tcPr>
                  <w:tcW w:w="1033" w:type="dxa"/>
                  <w:vAlign w:val="center"/>
                </w:tcPr>
                <w:p w14:paraId="526C35F1">
                  <w:pPr>
                    <w:adjustRightInd w:val="0"/>
                    <w:jc w:val="center"/>
                    <w:rPr>
                      <w:bCs/>
                      <w:szCs w:val="21"/>
                    </w:rPr>
                  </w:pPr>
                  <w:r>
                    <w:rPr>
                      <w:bCs/>
                      <w:szCs w:val="21"/>
                    </w:rPr>
                    <w:t>重点管控单元</w:t>
                  </w:r>
                </w:p>
              </w:tc>
              <w:tc>
                <w:tcPr>
                  <w:tcW w:w="1701" w:type="dxa"/>
                  <w:gridSpan w:val="2"/>
                  <w:vAlign w:val="center"/>
                </w:tcPr>
                <w:p w14:paraId="0874D7D8">
                  <w:pPr>
                    <w:adjustRightInd w:val="0"/>
                    <w:jc w:val="center"/>
                    <w:rPr>
                      <w:bCs/>
                      <w:szCs w:val="21"/>
                    </w:rPr>
                  </w:pPr>
                  <w:r>
                    <w:rPr>
                      <w:bCs/>
                      <w:szCs w:val="21"/>
                    </w:rPr>
                    <w:t>核准范围 *：区块一（高明片区）涉及高明乡；区块二（梅城片区）涉及；区块三</w:t>
                  </w:r>
                </w:p>
                <w:p w14:paraId="4F99F24C">
                  <w:pPr>
                    <w:adjustRightInd w:val="0"/>
                    <w:jc w:val="center"/>
                    <w:rPr>
                      <w:bCs/>
                      <w:szCs w:val="21"/>
                    </w:rPr>
                  </w:pPr>
                  <w:r>
                    <w:rPr>
                      <w:bCs/>
                      <w:szCs w:val="21"/>
                    </w:rPr>
                    <w:t>（黑茶片区）涉及江南镇，区块四、区块五、区块六（黑茶片区）涉及田庄乡，区块七（黑茶片区）涉及东坪镇；区块八涉及仙溪镇，区块九涉及清塘铺镇，区块十涉及马路镇。</w:t>
                  </w:r>
                </w:p>
              </w:tc>
              <w:tc>
                <w:tcPr>
                  <w:tcW w:w="1118" w:type="dxa"/>
                  <w:vAlign w:val="center"/>
                </w:tcPr>
                <w:p w14:paraId="47C108C2">
                  <w:pPr>
                    <w:adjustRightInd w:val="0"/>
                    <w:jc w:val="center"/>
                    <w:rPr>
                      <w:bCs/>
                      <w:szCs w:val="21"/>
                    </w:rPr>
                  </w:pPr>
                  <w:r>
                    <w:rPr>
                      <w:szCs w:val="21"/>
                    </w:rPr>
                    <w:t>3.5055</w:t>
                  </w:r>
                </w:p>
              </w:tc>
              <w:tc>
                <w:tcPr>
                  <w:tcW w:w="2110" w:type="dxa"/>
                  <w:gridSpan w:val="2"/>
                  <w:vAlign w:val="center"/>
                </w:tcPr>
                <w:p w14:paraId="39D83DB0">
                  <w:pPr>
                    <w:adjustRightInd w:val="0"/>
                    <w:rPr>
                      <w:b/>
                      <w:bCs/>
                      <w:szCs w:val="21"/>
                    </w:rPr>
                  </w:pPr>
                  <w:r>
                    <w:rPr>
                      <w:b/>
                      <w:bCs/>
                      <w:szCs w:val="21"/>
                    </w:rPr>
                    <w:t xml:space="preserve">湘环评函〔2021〕66 号： </w:t>
                  </w:r>
                </w:p>
                <w:p w14:paraId="136396DF">
                  <w:pPr>
                    <w:adjustRightInd w:val="0"/>
                    <w:rPr>
                      <w:bCs/>
                      <w:szCs w:val="21"/>
                    </w:rPr>
                  </w:pPr>
                  <w:r>
                    <w:rPr>
                      <w:b/>
                      <w:bCs/>
                      <w:szCs w:val="21"/>
                    </w:rPr>
                    <w:t>黑茶片区：</w:t>
                  </w:r>
                  <w:r>
                    <w:rPr>
                      <w:bCs/>
                      <w:szCs w:val="21"/>
                    </w:rPr>
                    <w:t>黑茶加工、中医药加工、农副产品加工产业。梅城片区：机械和电子信息制造业。高明片区：废弃资源利用（包括</w:t>
                  </w:r>
                </w:p>
                <w:p w14:paraId="310EE0CF">
                  <w:pPr>
                    <w:adjustRightInd w:val="0"/>
                    <w:rPr>
                      <w:bCs/>
                      <w:szCs w:val="21"/>
                    </w:rPr>
                  </w:pPr>
                  <w:r>
                    <w:rPr>
                      <w:bCs/>
                      <w:szCs w:val="21"/>
                    </w:rPr>
                    <w:t>以钨、钴精深加工及其他有色金属精深加工为主的废弃资源利用加工）。</w:t>
                  </w:r>
                </w:p>
                <w:p w14:paraId="37B5EB5B">
                  <w:pPr>
                    <w:adjustRightInd w:val="0"/>
                    <w:rPr>
                      <w:b/>
                      <w:bCs/>
                      <w:szCs w:val="21"/>
                    </w:rPr>
                  </w:pPr>
                  <w:r>
                    <w:rPr>
                      <w:b/>
                      <w:bCs/>
                      <w:szCs w:val="21"/>
                    </w:rPr>
                    <w:t>湘发改地区〔2021〕394号：</w:t>
                  </w:r>
                </w:p>
                <w:p w14:paraId="666E20F9">
                  <w:pPr>
                    <w:adjustRightInd w:val="0"/>
                    <w:rPr>
                      <w:bCs/>
                      <w:szCs w:val="21"/>
                    </w:rPr>
                  </w:pPr>
                  <w:r>
                    <w:rPr>
                      <w:bCs/>
                      <w:szCs w:val="21"/>
                    </w:rPr>
                    <w:t>主导产业：废弃资源综合利用业；特色产业：酒、饮料和精制茶制造业。</w:t>
                  </w:r>
                </w:p>
              </w:tc>
            </w:tr>
            <w:tr w14:paraId="3EC11F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65" w:type="dxa"/>
                  <w:gridSpan w:val="2"/>
                  <w:vAlign w:val="center"/>
                </w:tcPr>
                <w:p w14:paraId="22DE62E0">
                  <w:pPr>
                    <w:adjustRightInd w:val="0"/>
                    <w:jc w:val="center"/>
                    <w:rPr>
                      <w:bCs/>
                      <w:szCs w:val="21"/>
                    </w:rPr>
                  </w:pPr>
                  <w:r>
                    <w:rPr>
                      <w:bCs/>
                      <w:szCs w:val="21"/>
                    </w:rPr>
                    <w:t>区域主体</w:t>
                  </w:r>
                </w:p>
                <w:p w14:paraId="2F853D42">
                  <w:pPr>
                    <w:adjustRightInd w:val="0"/>
                    <w:jc w:val="center"/>
                    <w:rPr>
                      <w:bCs/>
                      <w:szCs w:val="21"/>
                    </w:rPr>
                  </w:pPr>
                  <w:r>
                    <w:rPr>
                      <w:bCs/>
                      <w:szCs w:val="21"/>
                    </w:rPr>
                    <w:t>功能定位</w:t>
                  </w:r>
                </w:p>
              </w:tc>
              <w:tc>
                <w:tcPr>
                  <w:tcW w:w="5962" w:type="dxa"/>
                  <w:gridSpan w:val="6"/>
                  <w:vAlign w:val="center"/>
                </w:tcPr>
                <w:p w14:paraId="106FFFFB">
                  <w:pPr>
                    <w:adjustRightInd w:val="0"/>
                    <w:rPr>
                      <w:bCs/>
                      <w:szCs w:val="21"/>
                    </w:rPr>
                  </w:pPr>
                  <w:r>
                    <w:rPr>
                      <w:szCs w:val="21"/>
                    </w:rPr>
                    <w:t>高明乡：重点生态功能区/特别振兴区；江南镇：城市化地区；田庄乡：农产品主产区；东坪镇：城市化地区；仙溪镇：重点生态功能区；清塘铺镇：重点生态功能区；马路镇：重点生态功能区。</w:t>
                  </w:r>
                </w:p>
              </w:tc>
            </w:tr>
            <w:tr w14:paraId="38928B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12" w:type="dxa"/>
                  <w:gridSpan w:val="4"/>
                  <w:vAlign w:val="center"/>
                </w:tcPr>
                <w:p w14:paraId="4FC1826D">
                  <w:pPr>
                    <w:adjustRightInd w:val="0"/>
                    <w:jc w:val="center"/>
                    <w:rPr>
                      <w:b/>
                      <w:szCs w:val="21"/>
                    </w:rPr>
                  </w:pPr>
                  <w:r>
                    <w:rPr>
                      <w:b/>
                      <w:szCs w:val="21"/>
                    </w:rPr>
                    <w:t>管控要求</w:t>
                  </w:r>
                </w:p>
              </w:tc>
              <w:tc>
                <w:tcPr>
                  <w:tcW w:w="2855" w:type="dxa"/>
                  <w:gridSpan w:val="3"/>
                  <w:vAlign w:val="center"/>
                </w:tcPr>
                <w:p w14:paraId="5EE081DD">
                  <w:pPr>
                    <w:adjustRightInd w:val="0"/>
                    <w:jc w:val="center"/>
                    <w:rPr>
                      <w:b/>
                      <w:szCs w:val="21"/>
                    </w:rPr>
                  </w:pPr>
                  <w:r>
                    <w:rPr>
                      <w:b/>
                      <w:kern w:val="24"/>
                      <w:szCs w:val="21"/>
                    </w:rPr>
                    <w:t>本项目建设情况</w:t>
                  </w:r>
                </w:p>
              </w:tc>
              <w:tc>
                <w:tcPr>
                  <w:tcW w:w="660" w:type="dxa"/>
                  <w:vAlign w:val="center"/>
                </w:tcPr>
                <w:p w14:paraId="42618FEE">
                  <w:pPr>
                    <w:adjustRightInd w:val="0"/>
                    <w:jc w:val="center"/>
                    <w:rPr>
                      <w:b/>
                      <w:kern w:val="24"/>
                      <w:szCs w:val="21"/>
                    </w:rPr>
                  </w:pPr>
                  <w:r>
                    <w:rPr>
                      <w:b/>
                      <w:kern w:val="24"/>
                      <w:szCs w:val="21"/>
                    </w:rPr>
                    <w:t>是否</w:t>
                  </w:r>
                </w:p>
                <w:p w14:paraId="13E8D5C7">
                  <w:pPr>
                    <w:adjustRightInd w:val="0"/>
                    <w:jc w:val="center"/>
                    <w:rPr>
                      <w:b/>
                      <w:szCs w:val="21"/>
                    </w:rPr>
                  </w:pPr>
                  <w:r>
                    <w:rPr>
                      <w:b/>
                      <w:kern w:val="24"/>
                      <w:szCs w:val="21"/>
                    </w:rPr>
                    <w:t>符合</w:t>
                  </w:r>
                </w:p>
              </w:tc>
            </w:tr>
            <w:tr w14:paraId="6A4EC3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7" w:type="dxa"/>
                  <w:vAlign w:val="center"/>
                </w:tcPr>
                <w:p w14:paraId="08A36E27">
                  <w:pPr>
                    <w:adjustRightInd w:val="0"/>
                    <w:jc w:val="center"/>
                    <w:rPr>
                      <w:bCs/>
                      <w:szCs w:val="21"/>
                    </w:rPr>
                  </w:pPr>
                  <w:r>
                    <w:rPr>
                      <w:kern w:val="24"/>
                      <w:szCs w:val="21"/>
                    </w:rPr>
                    <w:t>空间布局约束</w:t>
                  </w:r>
                </w:p>
              </w:tc>
              <w:tc>
                <w:tcPr>
                  <w:tcW w:w="3255" w:type="dxa"/>
                  <w:gridSpan w:val="3"/>
                  <w:vAlign w:val="center"/>
                </w:tcPr>
                <w:p w14:paraId="0538BD00">
                  <w:pPr>
                    <w:adjustRightInd w:val="0"/>
                    <w:rPr>
                      <w:bCs/>
                      <w:szCs w:val="21"/>
                    </w:rPr>
                  </w:pPr>
                  <w:r>
                    <w:rPr>
                      <w:bCs/>
                      <w:szCs w:val="21"/>
                    </w:rPr>
                    <w:t>（1.1）严格依规开发，规划用地不得涉及各类法定保护地，严格按照经核准的规划范围开展园区建设，严禁随意扩大现有园区范围。</w:t>
                  </w:r>
                </w:p>
                <w:p w14:paraId="652922D6">
                  <w:pPr>
                    <w:adjustRightInd w:val="0"/>
                    <w:rPr>
                      <w:bCs/>
                      <w:szCs w:val="21"/>
                    </w:rPr>
                  </w:pPr>
                  <w:r>
                    <w:rPr>
                      <w:bCs/>
                      <w:szCs w:val="21"/>
                    </w:rPr>
                    <w:t>区块一（高明片区）</w:t>
                  </w:r>
                </w:p>
                <w:p w14:paraId="0BF23D98">
                  <w:pPr>
                    <w:adjustRightInd w:val="0"/>
                    <w:rPr>
                      <w:bCs/>
                      <w:szCs w:val="21"/>
                    </w:rPr>
                  </w:pPr>
                  <w:r>
                    <w:rPr>
                      <w:bCs/>
                      <w:szCs w:val="21"/>
                    </w:rPr>
                    <w:t>（1.2）废弃资源利用产业（包括以钨、钴精深加工及其他有色金属精深加工为主的废弃资源利用加工）仅限于高明片区内发展，应以污染物处置能力控制产业规模，禁止超处置能力上马相关产业项目。严格做好边界管理，减少园区生产活动对外部居住用地的影响。</w:t>
                  </w:r>
                </w:p>
                <w:p w14:paraId="173F79E6">
                  <w:pPr>
                    <w:adjustRightInd w:val="0"/>
                    <w:rPr>
                      <w:bCs/>
                      <w:szCs w:val="21"/>
                    </w:rPr>
                  </w:pPr>
                  <w:r>
                    <w:rPr>
                      <w:bCs/>
                      <w:szCs w:val="21"/>
                    </w:rPr>
                    <w:t>区块二（梅城片区）</w:t>
                  </w:r>
                </w:p>
                <w:p w14:paraId="44175570">
                  <w:pPr>
                    <w:adjustRightInd w:val="0"/>
                    <w:rPr>
                      <w:bCs/>
                      <w:szCs w:val="21"/>
                    </w:rPr>
                  </w:pPr>
                  <w:r>
                    <w:rPr>
                      <w:bCs/>
                      <w:szCs w:val="21"/>
                    </w:rPr>
                    <w:t>（1.3）禁止涉及一类污染物持久性有机物以及印染、酸洗、磷化污水型污染企业进入，不得引入和建设燃煤企业及排放工艺废气量大或复杂的企业。</w:t>
                  </w:r>
                </w:p>
                <w:p w14:paraId="5DCE7737">
                  <w:pPr>
                    <w:adjustRightInd w:val="0"/>
                    <w:rPr>
                      <w:bCs/>
                      <w:szCs w:val="21"/>
                    </w:rPr>
                  </w:pPr>
                  <w:r>
                    <w:rPr>
                      <w:bCs/>
                      <w:szCs w:val="21"/>
                    </w:rPr>
                    <w:t>区块三、区块四、区块五、区块六、区块七（黑茶片区）</w:t>
                  </w:r>
                </w:p>
                <w:p w14:paraId="42A9D0C5">
                  <w:pPr>
                    <w:adjustRightInd w:val="0"/>
                    <w:rPr>
                      <w:bCs/>
                      <w:szCs w:val="21"/>
                    </w:rPr>
                  </w:pPr>
                  <w:r>
                    <w:rPr>
                      <w:bCs/>
                      <w:szCs w:val="21"/>
                    </w:rPr>
                    <w:t>（1.4）禁止涉及一类污染物持久性有机物以及印染、酸洗、磷化污水型污染企业进入，不得引入和建设燃煤企业及排放工艺废气量大或复杂的企业；严格按照园区拐点坐标控制开发范围，严禁侵占湿地公园用地；限制发展重气型污染源和排水量大的企业。</w:t>
                  </w:r>
                </w:p>
              </w:tc>
              <w:tc>
                <w:tcPr>
                  <w:tcW w:w="2855" w:type="dxa"/>
                  <w:gridSpan w:val="3"/>
                  <w:vAlign w:val="center"/>
                </w:tcPr>
                <w:p w14:paraId="2A78A428">
                  <w:pPr>
                    <w:adjustRightInd w:val="0"/>
                    <w:rPr>
                      <w:kern w:val="24"/>
                      <w:szCs w:val="21"/>
                    </w:rPr>
                  </w:pPr>
                  <w:r>
                    <w:rPr>
                      <w:kern w:val="0"/>
                      <w:szCs w:val="21"/>
                    </w:rPr>
                    <w:t>本项目</w:t>
                  </w:r>
                  <w:r>
                    <w:rPr>
                      <w:szCs w:val="21"/>
                    </w:rPr>
                    <w:t>涉及C1353 肉制品及副产品加工</w:t>
                  </w:r>
                  <w:r>
                    <w:rPr>
                      <w:rFonts w:hint="eastAsia"/>
                      <w:szCs w:val="21"/>
                    </w:rPr>
                    <w:t>、</w:t>
                  </w:r>
                  <w:r>
                    <w:t>C1369</w:t>
                  </w:r>
                  <w:r>
                    <w:rPr>
                      <w:rFonts w:hint="eastAsia"/>
                    </w:rPr>
                    <w:t>其他水产品加工</w:t>
                  </w:r>
                  <w:r>
                    <w:rPr>
                      <w:szCs w:val="21"/>
                    </w:rPr>
                    <w:t>，</w:t>
                  </w:r>
                  <w:r>
                    <w:rPr>
                      <w:kern w:val="24"/>
                      <w:szCs w:val="21"/>
                    </w:rPr>
                    <w:t>项目符合所在区域的功能定位；</w:t>
                  </w:r>
                </w:p>
                <w:p w14:paraId="15740893">
                  <w:pPr>
                    <w:adjustRightInd w:val="0"/>
                    <w:rPr>
                      <w:kern w:val="24"/>
                      <w:szCs w:val="21"/>
                    </w:rPr>
                  </w:pPr>
                  <w:r>
                    <w:rPr>
                      <w:kern w:val="24"/>
                      <w:szCs w:val="21"/>
                    </w:rPr>
                    <w:t>本项目位于安化县</w:t>
                  </w:r>
                  <w:r>
                    <w:rPr>
                      <w:spacing w:val="-6"/>
                      <w:szCs w:val="21"/>
                    </w:rPr>
                    <w:t>东坪镇茶家村</w:t>
                  </w:r>
                  <w:r>
                    <w:rPr>
                      <w:kern w:val="24"/>
                      <w:szCs w:val="21"/>
                    </w:rPr>
                    <w:t>，属于区块六，租赁安化县经济开发建设投资公司闲置厂房进行建设。</w:t>
                  </w:r>
                </w:p>
                <w:p w14:paraId="4E4DAB36">
                  <w:pPr>
                    <w:adjustRightInd w:val="0"/>
                    <w:rPr>
                      <w:bCs/>
                      <w:szCs w:val="21"/>
                    </w:rPr>
                  </w:pPr>
                  <w:r>
                    <w:rPr>
                      <w:kern w:val="24"/>
                      <w:szCs w:val="21"/>
                    </w:rPr>
                    <w:t>本项目不属于</w:t>
                  </w:r>
                  <w:r>
                    <w:rPr>
                      <w:bCs/>
                      <w:szCs w:val="21"/>
                    </w:rPr>
                    <w:t>禁止涉及一类污染物持久性有机物以及印染、酸洗、磷化污水型污染的企业；</w:t>
                  </w:r>
                </w:p>
                <w:p w14:paraId="1C7926E3">
                  <w:pPr>
                    <w:adjustRightInd w:val="0"/>
                    <w:rPr>
                      <w:bCs/>
                      <w:szCs w:val="21"/>
                    </w:rPr>
                  </w:pPr>
                  <w:r>
                    <w:rPr>
                      <w:bCs/>
                      <w:color w:val="000000"/>
                    </w:rPr>
                    <w:t>G1生物质气化锅炉废气经低氮燃烧+布袋除尘处理后通过一根2</w:t>
                  </w:r>
                  <w:r>
                    <w:rPr>
                      <w:rFonts w:hint="eastAsia"/>
                      <w:bCs/>
                      <w:color w:val="000000"/>
                    </w:rPr>
                    <w:t>1</w:t>
                  </w:r>
                  <w:r>
                    <w:rPr>
                      <w:bCs/>
                      <w:color w:val="000000"/>
                    </w:rPr>
                    <w:t>m高排气筒排放，外排废气满足《锅炉大气污染物排放标准》（GB13271-2014）中表3燃气锅炉大气污染物特别排放限值；G2天然气燃烧废</w:t>
                  </w:r>
                  <w:r>
                    <w:rPr>
                      <w:rStyle w:val="126"/>
                      <w:rFonts w:ascii="Times New Roman" w:hAnsi="Times New Roman"/>
                      <w:color w:val="000000"/>
                      <w:sz w:val="21"/>
                      <w:szCs w:val="21"/>
                    </w:rPr>
                    <w:t>气通过加强车间通风无组织排放；</w:t>
                  </w:r>
                  <w:r>
                    <w:rPr>
                      <w:bCs/>
                      <w:color w:val="000000"/>
                    </w:rPr>
                    <w:t>G3生产异味通过在车间内采用机械通风，通过安装排风扇或者新风系统降低车间内异味；G4熬制</w:t>
                  </w:r>
                  <w:r>
                    <w:rPr>
                      <w:bCs/>
                      <w:color w:val="000000"/>
                      <w:szCs w:val="21"/>
                      <w:lang w:bidi="ar"/>
                    </w:rPr>
                    <w:t>油烟经油烟净化器处理后高于屋顶高空排放，外排污染物满足《饮食业油烟排放标准（试行）》（GB18483-2001）要求；</w:t>
                  </w:r>
                  <w:r>
                    <w:t>外排废气主要为颗粒物、二氧化硫、氮氧化物、臭气浓度等</w:t>
                  </w:r>
                  <w:r>
                    <w:rPr>
                      <w:bCs/>
                      <w:szCs w:val="21"/>
                    </w:rPr>
                    <w:t>不属于燃煤企业及排放工艺废气量大或复杂的企业；</w:t>
                  </w:r>
                </w:p>
                <w:p w14:paraId="770861E0">
                  <w:pPr>
                    <w:adjustRightInd w:val="0"/>
                    <w:rPr>
                      <w:kern w:val="24"/>
                      <w:szCs w:val="21"/>
                    </w:rPr>
                  </w:pPr>
                  <w:r>
                    <w:rPr>
                      <w:bCs/>
                      <w:szCs w:val="21"/>
                    </w:rPr>
                    <w:t>本项目不属于严禁侵占湿地公园用地；限制发展重气型污染源和排水量大的企业</w:t>
                  </w:r>
                  <w:r>
                    <w:rPr>
                      <w:kern w:val="24"/>
                      <w:szCs w:val="21"/>
                    </w:rPr>
                    <w:t>内容范畴。</w:t>
                  </w:r>
                </w:p>
              </w:tc>
              <w:tc>
                <w:tcPr>
                  <w:tcW w:w="660" w:type="dxa"/>
                  <w:vAlign w:val="center"/>
                </w:tcPr>
                <w:p w14:paraId="4ED40D4E">
                  <w:pPr>
                    <w:adjustRightInd w:val="0"/>
                    <w:jc w:val="center"/>
                    <w:rPr>
                      <w:bCs/>
                      <w:szCs w:val="21"/>
                    </w:rPr>
                  </w:pPr>
                  <w:r>
                    <w:rPr>
                      <w:kern w:val="24"/>
                      <w:szCs w:val="21"/>
                    </w:rPr>
                    <w:t>符合</w:t>
                  </w:r>
                </w:p>
              </w:tc>
            </w:tr>
            <w:tr w14:paraId="6FDD71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7" w:type="dxa"/>
                  <w:vAlign w:val="center"/>
                </w:tcPr>
                <w:p w14:paraId="1D47ECF2">
                  <w:pPr>
                    <w:adjustRightInd w:val="0"/>
                    <w:jc w:val="center"/>
                    <w:rPr>
                      <w:bCs/>
                      <w:szCs w:val="21"/>
                    </w:rPr>
                  </w:pPr>
                  <w:r>
                    <w:rPr>
                      <w:kern w:val="24"/>
                      <w:szCs w:val="21"/>
                    </w:rPr>
                    <w:t>污染物排放管控</w:t>
                  </w:r>
                </w:p>
              </w:tc>
              <w:tc>
                <w:tcPr>
                  <w:tcW w:w="3255" w:type="dxa"/>
                  <w:gridSpan w:val="3"/>
                  <w:vAlign w:val="center"/>
                </w:tcPr>
                <w:p w14:paraId="0EDBFC74">
                  <w:pPr>
                    <w:adjustRightInd w:val="0"/>
                    <w:rPr>
                      <w:bCs/>
                      <w:szCs w:val="21"/>
                    </w:rPr>
                  </w:pPr>
                  <w:r>
                    <w:rPr>
                      <w:bCs/>
                      <w:szCs w:val="21"/>
                    </w:rPr>
                    <w:t>（2.1）废水：开发区各企业应按清污分流、雨污分流原则建立完善的排水系统和事故池，废水应分类收集、分质处理，确保各类生产废水得到有效收集、处理循环使用。</w:t>
                  </w:r>
                </w:p>
                <w:p w14:paraId="3E45890A">
                  <w:pPr>
                    <w:adjustRightInd w:val="0"/>
                    <w:rPr>
                      <w:bCs/>
                      <w:szCs w:val="21"/>
                    </w:rPr>
                  </w:pPr>
                  <w:r>
                    <w:rPr>
                      <w:bCs/>
                      <w:szCs w:val="21"/>
                    </w:rPr>
                    <w:t>区块一（高明片区）</w:t>
                  </w:r>
                </w:p>
                <w:p w14:paraId="485CAA9A">
                  <w:pPr>
                    <w:adjustRightInd w:val="0"/>
                    <w:rPr>
                      <w:bCs/>
                      <w:szCs w:val="21"/>
                    </w:rPr>
                  </w:pPr>
                  <w:r>
                    <w:rPr>
                      <w:bCs/>
                      <w:szCs w:val="21"/>
                    </w:rPr>
                    <w:t>（2.1.1）涉一类污染物的废水应做到车间或车间处理设施排放口达标；污水排入高明乡污水处理厂处理达标后排入归水；增加中水回用率，提升企业的水循环利用率以及污水处理厂处理尾水的中水回用。</w:t>
                  </w:r>
                </w:p>
                <w:p w14:paraId="485842F0">
                  <w:pPr>
                    <w:adjustRightInd w:val="0"/>
                    <w:rPr>
                      <w:bCs/>
                      <w:szCs w:val="21"/>
                    </w:rPr>
                  </w:pPr>
                  <w:r>
                    <w:rPr>
                      <w:bCs/>
                      <w:szCs w:val="21"/>
                    </w:rPr>
                    <w:t>区块二（梅城片区）</w:t>
                  </w:r>
                </w:p>
                <w:p w14:paraId="0404EB56">
                  <w:pPr>
                    <w:adjustRightInd w:val="0"/>
                    <w:rPr>
                      <w:bCs/>
                      <w:szCs w:val="21"/>
                    </w:rPr>
                  </w:pPr>
                  <w:r>
                    <w:rPr>
                      <w:bCs/>
                      <w:szCs w:val="21"/>
                    </w:rPr>
                    <w:t>（2.1.2）污水排入梅城镇污水处理厂处理后达标后排入洢水。</w:t>
                  </w:r>
                </w:p>
                <w:p w14:paraId="35D7B4DE">
                  <w:pPr>
                    <w:adjustRightInd w:val="0"/>
                    <w:rPr>
                      <w:bCs/>
                      <w:szCs w:val="21"/>
                    </w:rPr>
                  </w:pPr>
                  <w:r>
                    <w:rPr>
                      <w:bCs/>
                      <w:szCs w:val="21"/>
                    </w:rPr>
                    <w:t>区块三（江南组团）</w:t>
                  </w:r>
                </w:p>
                <w:p w14:paraId="27FA0911">
                  <w:pPr>
                    <w:adjustRightInd w:val="0"/>
                    <w:rPr>
                      <w:bCs/>
                      <w:szCs w:val="21"/>
                    </w:rPr>
                  </w:pPr>
                  <w:r>
                    <w:rPr>
                      <w:bCs/>
                      <w:szCs w:val="21"/>
                    </w:rPr>
                    <w:t>（2.1.3）污水排入江南镇污水处理厂处理达标后排入资江。</w:t>
                  </w:r>
                </w:p>
                <w:p w14:paraId="2834E73F">
                  <w:pPr>
                    <w:adjustRightInd w:val="0"/>
                    <w:rPr>
                      <w:bCs/>
                      <w:szCs w:val="21"/>
                    </w:rPr>
                  </w:pPr>
                  <w:r>
                    <w:rPr>
                      <w:bCs/>
                      <w:szCs w:val="21"/>
                    </w:rPr>
                    <w:t>区块四（金竹茶家组团）、区块五（鹊坪组团）</w:t>
                  </w:r>
                </w:p>
                <w:p w14:paraId="637F1E56">
                  <w:pPr>
                    <w:adjustRightInd w:val="0"/>
                    <w:rPr>
                      <w:bCs/>
                      <w:szCs w:val="21"/>
                    </w:rPr>
                  </w:pPr>
                  <w:r>
                    <w:rPr>
                      <w:bCs/>
                      <w:szCs w:val="21"/>
                    </w:rPr>
                    <w:t>（2.1.4）污水排入安化县污水处理厂处理达标后排入资江。</w:t>
                  </w:r>
                </w:p>
                <w:p w14:paraId="6758CC93">
                  <w:pPr>
                    <w:adjustRightInd w:val="0"/>
                    <w:rPr>
                      <w:bCs/>
                      <w:szCs w:val="21"/>
                    </w:rPr>
                  </w:pPr>
                  <w:r>
                    <w:rPr>
                      <w:bCs/>
                      <w:szCs w:val="21"/>
                    </w:rPr>
                    <w:t>区块六（槎溪组团）、区块七（酉州组团）</w:t>
                  </w:r>
                </w:p>
                <w:p w14:paraId="5B720DB1">
                  <w:pPr>
                    <w:adjustRightInd w:val="0"/>
                    <w:rPr>
                      <w:bCs/>
                      <w:szCs w:val="21"/>
                    </w:rPr>
                  </w:pPr>
                  <w:r>
                    <w:rPr>
                      <w:bCs/>
                      <w:szCs w:val="21"/>
                    </w:rPr>
                    <w:t>（2.1.5）污水在钟鼓污水处理厂及管网建成前排入安化县污水处理厂，待钟鼓污水处理厂建成后，两区块污水排入钟鼓污水处理厂处理达标后排入资江。</w:t>
                  </w:r>
                </w:p>
                <w:p w14:paraId="4DEE544F">
                  <w:pPr>
                    <w:adjustRightInd w:val="0"/>
                    <w:rPr>
                      <w:bCs/>
                      <w:szCs w:val="21"/>
                    </w:rPr>
                  </w:pPr>
                  <w:r>
                    <w:rPr>
                      <w:bCs/>
                      <w:szCs w:val="21"/>
                    </w:rPr>
                    <w:t>（2.2）废气：加强园区大气污染防治，加强对废气重点排放企业的监管，采取有效措施减少污染物排放总量，严格控制无组织排放。</w:t>
                  </w:r>
                </w:p>
                <w:p w14:paraId="7CCC1466">
                  <w:pPr>
                    <w:adjustRightInd w:val="0"/>
                    <w:rPr>
                      <w:bCs/>
                      <w:szCs w:val="21"/>
                    </w:rPr>
                  </w:pPr>
                  <w:r>
                    <w:rPr>
                      <w:bCs/>
                      <w:szCs w:val="21"/>
                    </w:rPr>
                    <w:t>（2.2.1）推进水泥行业降氮脱硝工程及高效除尘设施建设；推广使用低（无）VOCs 含量的非有机溶剂型涂料、油墨、胶粘剂等原辅材料，全面替代溶剂型原辅材料。</w:t>
                  </w:r>
                </w:p>
                <w:p w14:paraId="66421050">
                  <w:pPr>
                    <w:adjustRightInd w:val="0"/>
                    <w:rPr>
                      <w:bCs/>
                      <w:szCs w:val="21"/>
                    </w:rPr>
                  </w:pPr>
                  <w:r>
                    <w:rPr>
                      <w:bCs/>
                      <w:szCs w:val="21"/>
                    </w:rPr>
                    <w:t>（2.2.2）企业对产生臭气的工序配套相应除臭措施，涉及排放挥发性有机污染物、酸雾的工序应配套相应有机废气、酸性气体的净化处理措施，确保达标排放。</w:t>
                  </w:r>
                </w:p>
                <w:p w14:paraId="13DADA0F">
                  <w:pPr>
                    <w:adjustRightInd w:val="0"/>
                    <w:rPr>
                      <w:bCs/>
                      <w:szCs w:val="21"/>
                    </w:rPr>
                  </w:pPr>
                  <w:r>
                    <w:rPr>
                      <w:bCs/>
                      <w:szCs w:val="21"/>
                    </w:rPr>
                    <w:t>（2.3）固体废弃物：各片区的生活垃圾均采用定点收集，集中清运方式，在收集、运输过程中，应避免与工业废物、建筑垃圾等混合，一般工业固废实行工业固体废物综合利用等措施，提高工业固体废物综合利用率。</w:t>
                  </w:r>
                </w:p>
                <w:p w14:paraId="1B3E494A">
                  <w:pPr>
                    <w:adjustRightInd w:val="0"/>
                    <w:rPr>
                      <w:bCs/>
                      <w:szCs w:val="21"/>
                    </w:rPr>
                  </w:pPr>
                  <w:r>
                    <w:rPr>
                      <w:bCs/>
                      <w:szCs w:val="21"/>
                    </w:rPr>
                    <w:t>（2.3.1）园区内各危险废物产生单位在企业内部进行贮存，设分类贮存点，并设置识别标志；委托有相应危废收集处置资质的单位集中收集处置，并执行危险废物联单转移制度。</w:t>
                  </w:r>
                </w:p>
                <w:p w14:paraId="27EE77B3">
                  <w:pPr>
                    <w:adjustRightInd w:val="0"/>
                    <w:rPr>
                      <w:bCs/>
                      <w:szCs w:val="21"/>
                    </w:rPr>
                  </w:pPr>
                  <w:r>
                    <w:rPr>
                      <w:bCs/>
                      <w:szCs w:val="21"/>
                    </w:rPr>
                    <w:t>（2.4）园区内水泥工业，钨、钴初加工和深加工等行业及涉锅炉大气污染物排放应满足《湖南省生态环境厅关于执行污染物特别排放限值（第一批）的公告》的要求。</w:t>
                  </w:r>
                </w:p>
                <w:p w14:paraId="210A0952">
                  <w:pPr>
                    <w:adjustRightInd w:val="0"/>
                    <w:rPr>
                      <w:bCs/>
                      <w:szCs w:val="21"/>
                    </w:rPr>
                  </w:pPr>
                  <w:r>
                    <w:rPr>
                      <w:bCs/>
                      <w:szCs w:val="21"/>
                    </w:rPr>
                    <w:t>（2.5）禁止向雪峰湖国家级湿地公园中倾倒有毒有害物质、废弃物、垃圾。</w:t>
                  </w:r>
                </w:p>
              </w:tc>
              <w:tc>
                <w:tcPr>
                  <w:tcW w:w="2855" w:type="dxa"/>
                  <w:gridSpan w:val="3"/>
                  <w:vAlign w:val="center"/>
                </w:tcPr>
                <w:p w14:paraId="6FCF375D">
                  <w:pPr>
                    <w:pStyle w:val="53"/>
                    <w:autoSpaceDE/>
                    <w:autoSpaceDN/>
                    <w:adjustRightInd/>
                    <w:jc w:val="center"/>
                    <w:rPr>
                      <w:rFonts w:ascii="Times New Roman"/>
                      <w:color w:val="auto"/>
                      <w:spacing w:val="8"/>
                      <w:sz w:val="21"/>
                      <w:szCs w:val="21"/>
                    </w:rPr>
                  </w:pPr>
                  <w:r>
                    <w:rPr>
                      <w:rFonts w:ascii="Times New Roman"/>
                      <w:color w:val="auto"/>
                      <w:kern w:val="24"/>
                      <w:sz w:val="21"/>
                      <w:szCs w:val="21"/>
                    </w:rPr>
                    <w:t>本项目生活污水经隔油池+化粪池处理后经市政污水管网排入安化县污水处理厂深度处理；生产废水依托</w:t>
                  </w:r>
                  <w:r>
                    <w:rPr>
                      <w:rFonts w:ascii="Times New Roman"/>
                      <w:color w:val="auto"/>
                      <w:spacing w:val="8"/>
                      <w:sz w:val="21"/>
                      <w:szCs w:val="21"/>
                    </w:rPr>
                    <w:t>湖南华益科技发展有限公司（原名湖南华益食品有限公司）自建污水处理设施处理（</w:t>
                  </w:r>
                  <w:r>
                    <w:rPr>
                      <w:rFonts w:hint="eastAsia" w:hAnsi="宋体" w:cs="宋体"/>
                      <w:color w:val="auto"/>
                      <w:spacing w:val="8"/>
                      <w:sz w:val="21"/>
                      <w:szCs w:val="21"/>
                    </w:rPr>
                    <w:t>“</w:t>
                  </w:r>
                  <w:r>
                    <w:rPr>
                      <w:rFonts w:hint="eastAsia" w:hAnsi="宋体" w:cs="宋体"/>
                      <w:sz w:val="21"/>
                    </w:rPr>
                    <w:t>格栅井+调节池+加药沉淀+两级水解酸化+两级接触氧化+竖流沉淀”</w:t>
                  </w:r>
                  <w:r>
                    <w:rPr>
                      <w:rFonts w:ascii="Times New Roman"/>
                      <w:color w:val="auto"/>
                      <w:spacing w:val="8"/>
                      <w:sz w:val="21"/>
                      <w:szCs w:val="21"/>
                    </w:rPr>
                    <w:t>），处理后经污水管网排入安化县污水</w:t>
                  </w:r>
                  <w:r>
                    <w:rPr>
                      <w:rFonts w:ascii="Times New Roman"/>
                      <w:bCs/>
                      <w:color w:val="auto"/>
                      <w:sz w:val="21"/>
                      <w:szCs w:val="21"/>
                    </w:rPr>
                    <w:t>处理厂处理达标后排入资江</w:t>
                  </w:r>
                  <w:r>
                    <w:rPr>
                      <w:rFonts w:ascii="Times New Roman"/>
                      <w:color w:val="auto"/>
                      <w:spacing w:val="8"/>
                      <w:sz w:val="21"/>
                      <w:szCs w:val="21"/>
                    </w:rPr>
                    <w:t>。</w:t>
                  </w:r>
                </w:p>
              </w:tc>
              <w:tc>
                <w:tcPr>
                  <w:tcW w:w="660" w:type="dxa"/>
                  <w:vAlign w:val="center"/>
                </w:tcPr>
                <w:p w14:paraId="3E85BEE1">
                  <w:pPr>
                    <w:adjustRightInd w:val="0"/>
                    <w:jc w:val="center"/>
                    <w:rPr>
                      <w:bCs/>
                      <w:szCs w:val="21"/>
                    </w:rPr>
                  </w:pPr>
                  <w:r>
                    <w:rPr>
                      <w:kern w:val="24"/>
                      <w:szCs w:val="21"/>
                    </w:rPr>
                    <w:t>符合</w:t>
                  </w:r>
                </w:p>
              </w:tc>
            </w:tr>
            <w:tr w14:paraId="15025C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7" w:type="dxa"/>
                  <w:vAlign w:val="center"/>
                </w:tcPr>
                <w:p w14:paraId="7AF40583">
                  <w:pPr>
                    <w:adjustRightInd w:val="0"/>
                    <w:jc w:val="center"/>
                    <w:rPr>
                      <w:bCs/>
                      <w:szCs w:val="21"/>
                    </w:rPr>
                  </w:pPr>
                  <w:r>
                    <w:rPr>
                      <w:kern w:val="24"/>
                      <w:szCs w:val="21"/>
                    </w:rPr>
                    <w:t>环境风险防控</w:t>
                  </w:r>
                </w:p>
              </w:tc>
              <w:tc>
                <w:tcPr>
                  <w:tcW w:w="3255" w:type="dxa"/>
                  <w:gridSpan w:val="3"/>
                  <w:vAlign w:val="center"/>
                </w:tcPr>
                <w:p w14:paraId="6001AA9C">
                  <w:pPr>
                    <w:adjustRightInd w:val="0"/>
                    <w:rPr>
                      <w:szCs w:val="21"/>
                    </w:rPr>
                  </w:pPr>
                  <w:r>
                    <w:rPr>
                      <w:szCs w:val="21"/>
                    </w:rPr>
                    <w:t>（3.1）经开区必须建立健全各区块环境风险事故防范制度和风险事故防范措施，严格执行《湖南安化经济开发区突发环境事件应急预案》中相关措施，严防环境突发事件发生，提高应急处置能力，建立健全环境应急预案演练制度，每年至少组织一次应急演练。</w:t>
                  </w:r>
                </w:p>
                <w:p w14:paraId="40E86F67">
                  <w:pPr>
                    <w:adjustRightInd w:val="0"/>
                    <w:rPr>
                      <w:szCs w:val="21"/>
                    </w:rPr>
                  </w:pPr>
                  <w:r>
                    <w:rPr>
                      <w:szCs w:val="21"/>
                    </w:rPr>
                    <w:t>（3.2）园区可能发生突发环境事件的污染物排放企业，生产、储存、运输、使用危险化学品的企业，产生、收集、贮存、运输、利用、处置危险废物的企业等应当编制和实施环境应急预案；鼓励其他企业制定单独的环境应急预案，或在突发事件应急预案中制定环境应急预案专章，并备案。</w:t>
                  </w:r>
                </w:p>
                <w:p w14:paraId="6FDAABAD">
                  <w:pPr>
                    <w:adjustRightInd w:val="0"/>
                    <w:rPr>
                      <w:szCs w:val="21"/>
                    </w:rPr>
                  </w:pPr>
                  <w:r>
                    <w:rPr>
                      <w:szCs w:val="21"/>
                    </w:rPr>
                    <w:t>（3.3）建设用地土壤风险防控：重点加强已退役工业用地的风险管控，对拟开发利用的关停搬迁企业场地，未按有关规定开展场地环境调查及风险评估的，未明确治理修复责任主体的，禁止进行土地流转；污染场地未经治理修复的，禁止开工建设与治理修复无关的任何项目。</w:t>
                  </w:r>
                </w:p>
                <w:p w14:paraId="22309609">
                  <w:pPr>
                    <w:adjustRightInd w:val="0"/>
                    <w:rPr>
                      <w:szCs w:val="21"/>
                    </w:rPr>
                  </w:pPr>
                  <w:r>
                    <w:rPr>
                      <w:szCs w:val="21"/>
                    </w:rPr>
                    <w:t>（3.4）农用地土壤风险防控：加强工矿企业环境监管和重金属行业污染防控，规范工业废物处理处置，完善处理处置和防护设施，有效控制污染物污染周边的农业用地。</w:t>
                  </w:r>
                </w:p>
                <w:p w14:paraId="3062C1E8">
                  <w:pPr>
                    <w:adjustRightInd w:val="0"/>
                    <w:rPr>
                      <w:szCs w:val="21"/>
                    </w:rPr>
                  </w:pPr>
                  <w:r>
                    <w:rPr>
                      <w:szCs w:val="21"/>
                    </w:rPr>
                    <w:t>（3.5）对区块一（高明片区）重点企业及区外敏感点处定期进行土壤环境质量跟踪监测，定期组织评估。</w:t>
                  </w:r>
                </w:p>
                <w:p w14:paraId="4D321187">
                  <w:pPr>
                    <w:adjustRightInd w:val="0"/>
                    <w:rPr>
                      <w:szCs w:val="21"/>
                    </w:rPr>
                  </w:pPr>
                  <w:r>
                    <w:rPr>
                      <w:szCs w:val="21"/>
                    </w:rPr>
                    <w:t>（3.6）排污企业做好风险防范措施，杜绝风险事故对污水处理厂的影响以及直排雪峰湖国家湿地公园的情况。</w:t>
                  </w:r>
                </w:p>
              </w:tc>
              <w:tc>
                <w:tcPr>
                  <w:tcW w:w="2855" w:type="dxa"/>
                  <w:gridSpan w:val="3"/>
                  <w:vAlign w:val="center"/>
                </w:tcPr>
                <w:p w14:paraId="5400F56E">
                  <w:pPr>
                    <w:adjustRightInd w:val="0"/>
                    <w:jc w:val="center"/>
                    <w:rPr>
                      <w:bCs/>
                      <w:szCs w:val="21"/>
                    </w:rPr>
                  </w:pPr>
                  <w:r>
                    <w:t>园区具备健全环境风险事故防范措施，同时本评价要求项目在审批后及时办理应急预案备案和竣工环保验收工作。</w:t>
                  </w:r>
                </w:p>
              </w:tc>
              <w:tc>
                <w:tcPr>
                  <w:tcW w:w="660" w:type="dxa"/>
                  <w:vAlign w:val="center"/>
                </w:tcPr>
                <w:p w14:paraId="37FEB221">
                  <w:pPr>
                    <w:adjustRightInd w:val="0"/>
                    <w:jc w:val="center"/>
                    <w:rPr>
                      <w:bCs/>
                      <w:szCs w:val="21"/>
                    </w:rPr>
                  </w:pPr>
                  <w:r>
                    <w:rPr>
                      <w:kern w:val="24"/>
                      <w:szCs w:val="21"/>
                    </w:rPr>
                    <w:t>符合</w:t>
                  </w:r>
                </w:p>
              </w:tc>
            </w:tr>
            <w:tr w14:paraId="6843F0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7" w:type="dxa"/>
                  <w:vAlign w:val="center"/>
                </w:tcPr>
                <w:p w14:paraId="382FB46E">
                  <w:pPr>
                    <w:adjustRightInd w:val="0"/>
                    <w:jc w:val="center"/>
                    <w:rPr>
                      <w:bCs/>
                      <w:szCs w:val="21"/>
                    </w:rPr>
                  </w:pPr>
                  <w:r>
                    <w:rPr>
                      <w:kern w:val="24"/>
                      <w:szCs w:val="21"/>
                    </w:rPr>
                    <w:t>资源开发效率要求</w:t>
                  </w:r>
                </w:p>
              </w:tc>
              <w:tc>
                <w:tcPr>
                  <w:tcW w:w="3255" w:type="dxa"/>
                  <w:gridSpan w:val="3"/>
                  <w:vAlign w:val="center"/>
                </w:tcPr>
                <w:p w14:paraId="224CC796">
                  <w:pPr>
                    <w:adjustRightInd w:val="0"/>
                    <w:rPr>
                      <w:kern w:val="24"/>
                      <w:szCs w:val="21"/>
                    </w:rPr>
                  </w:pPr>
                  <w:r>
                    <w:rPr>
                      <w:kern w:val="24"/>
                      <w:szCs w:val="21"/>
                    </w:rPr>
                    <w:t>（4.1）能源：大力调整能源消费结构，加快提高天然气、可再生能源应用比例；强化节能评估和审查制度，推行合同能源管理。到2025年，能源消费增量应控制在4.69万吨标煤（当量值）以内，单位GDP能耗较2020年下降 10%。</w:t>
                  </w:r>
                </w:p>
                <w:p w14:paraId="714766FA">
                  <w:pPr>
                    <w:adjustRightInd w:val="0"/>
                    <w:rPr>
                      <w:kern w:val="24"/>
                      <w:szCs w:val="21"/>
                    </w:rPr>
                  </w:pPr>
                  <w:r>
                    <w:rPr>
                      <w:kern w:val="24"/>
                      <w:szCs w:val="21"/>
                    </w:rPr>
                    <w:t>（4.2）水资源：开展节水诊断、水平衡测试、用水效率评估。到2025年，安化县用水总量2.485亿立方米，万元工业增加值用水量（比2020 年）下降5%。</w:t>
                  </w:r>
                </w:p>
                <w:p w14:paraId="6A1FC26D">
                  <w:pPr>
                    <w:adjustRightInd w:val="0"/>
                    <w:rPr>
                      <w:kern w:val="24"/>
                      <w:szCs w:val="21"/>
                    </w:rPr>
                  </w:pPr>
                  <w:r>
                    <w:rPr>
                      <w:kern w:val="24"/>
                      <w:szCs w:val="21"/>
                    </w:rPr>
                    <w:t>（4.3）土地资源：在详细规划编制、用地预审与选址、用地报批、土地出让、规划许可、竣工验收等环节，全面推行工业项目建设用地引导指标和工业项目供地负面清单管理。工业用地固定资产投资强度达到260万元/亩，工业用地地均税收达到13万元/亩。</w:t>
                  </w:r>
                </w:p>
              </w:tc>
              <w:tc>
                <w:tcPr>
                  <w:tcW w:w="2855" w:type="dxa"/>
                  <w:gridSpan w:val="3"/>
                  <w:vAlign w:val="center"/>
                </w:tcPr>
                <w:p w14:paraId="44E5A879">
                  <w:pPr>
                    <w:pStyle w:val="53"/>
                    <w:jc w:val="center"/>
                    <w:rPr>
                      <w:rFonts w:ascii="Times New Roman"/>
                      <w:color w:val="auto"/>
                      <w:kern w:val="24"/>
                      <w:sz w:val="21"/>
                      <w:szCs w:val="21"/>
                    </w:rPr>
                  </w:pPr>
                  <w:r>
                    <w:rPr>
                      <w:rFonts w:ascii="Times New Roman"/>
                      <w:color w:val="auto"/>
                      <w:kern w:val="24"/>
                      <w:sz w:val="21"/>
                      <w:szCs w:val="21"/>
                    </w:rPr>
                    <w:t>本项目生产过程中所用的资源主要为水、电、生物质资源；项目选用设备均为节能、降耗环保设备；项目租赁现有闲置厂房进行建设。</w:t>
                  </w:r>
                </w:p>
              </w:tc>
              <w:tc>
                <w:tcPr>
                  <w:tcW w:w="660" w:type="dxa"/>
                  <w:vAlign w:val="center"/>
                </w:tcPr>
                <w:p w14:paraId="345C9458">
                  <w:pPr>
                    <w:adjustRightInd w:val="0"/>
                    <w:jc w:val="center"/>
                    <w:rPr>
                      <w:bCs/>
                      <w:szCs w:val="21"/>
                    </w:rPr>
                  </w:pPr>
                  <w:r>
                    <w:rPr>
                      <w:kern w:val="24"/>
                      <w:szCs w:val="21"/>
                    </w:rPr>
                    <w:t>符合</w:t>
                  </w:r>
                </w:p>
              </w:tc>
            </w:tr>
            <w:tr w14:paraId="66DD7F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7" w:type="dxa"/>
                  <w:vAlign w:val="center"/>
                </w:tcPr>
                <w:p w14:paraId="6EEA1AC0">
                  <w:pPr>
                    <w:adjustRightInd w:val="0"/>
                    <w:jc w:val="center"/>
                    <w:rPr>
                      <w:kern w:val="24"/>
                      <w:szCs w:val="21"/>
                    </w:rPr>
                  </w:pPr>
                  <w:r>
                    <w:rPr>
                      <w:kern w:val="24"/>
                      <w:szCs w:val="21"/>
                    </w:rPr>
                    <w:t>备注 *（湘发改园区〔2022〕601 号）</w:t>
                  </w:r>
                </w:p>
              </w:tc>
              <w:tc>
                <w:tcPr>
                  <w:tcW w:w="6770" w:type="dxa"/>
                  <w:gridSpan w:val="7"/>
                  <w:vAlign w:val="center"/>
                </w:tcPr>
                <w:p w14:paraId="4A79D67A">
                  <w:pPr>
                    <w:adjustRightInd w:val="0"/>
                    <w:rPr>
                      <w:kern w:val="24"/>
                      <w:szCs w:val="21"/>
                    </w:rPr>
                  </w:pPr>
                  <w:r>
                    <w:rPr>
                      <w:kern w:val="24"/>
                      <w:szCs w:val="21"/>
                    </w:rPr>
                    <w:t>区块一面积：0.4477 km</w:t>
                  </w:r>
                  <w:r>
                    <w:rPr>
                      <w:kern w:val="24"/>
                      <w:szCs w:val="21"/>
                      <w:vertAlign w:val="superscript"/>
                    </w:rPr>
                    <w:t>2</w:t>
                  </w:r>
                  <w:r>
                    <w:rPr>
                      <w:kern w:val="24"/>
                      <w:szCs w:val="21"/>
                    </w:rPr>
                    <w:t>，四至范围：东至翟家冲，南至 S328 省道，西至 S328 省道，北至瓦厂湾；</w:t>
                  </w:r>
                </w:p>
                <w:p w14:paraId="6F572BBF">
                  <w:pPr>
                    <w:adjustRightInd w:val="0"/>
                    <w:rPr>
                      <w:kern w:val="24"/>
                      <w:szCs w:val="21"/>
                    </w:rPr>
                  </w:pPr>
                  <w:r>
                    <w:rPr>
                      <w:kern w:val="24"/>
                      <w:szCs w:val="21"/>
                    </w:rPr>
                    <w:t>区块二面积：0.8979 km</w:t>
                  </w:r>
                  <w:r>
                    <w:rPr>
                      <w:kern w:val="24"/>
                      <w:szCs w:val="21"/>
                      <w:vertAlign w:val="superscript"/>
                    </w:rPr>
                    <w:t>2</w:t>
                  </w:r>
                  <w:r>
                    <w:rPr>
                      <w:kern w:val="24"/>
                      <w:szCs w:val="21"/>
                    </w:rPr>
                    <w:t>，四至范围：东至南桥大道，南至梅新路，西至伊中路，北至梁家冲生态公园；</w:t>
                  </w:r>
                </w:p>
                <w:p w14:paraId="6269F799">
                  <w:pPr>
                    <w:adjustRightInd w:val="0"/>
                    <w:rPr>
                      <w:kern w:val="24"/>
                      <w:szCs w:val="21"/>
                    </w:rPr>
                  </w:pPr>
                  <w:r>
                    <w:rPr>
                      <w:kern w:val="24"/>
                      <w:szCs w:val="21"/>
                    </w:rPr>
                    <w:t>区块三面积：0.4182 km</w:t>
                  </w:r>
                  <w:r>
                    <w:rPr>
                      <w:kern w:val="24"/>
                      <w:szCs w:val="21"/>
                      <w:vertAlign w:val="superscript"/>
                    </w:rPr>
                    <w:t>2</w:t>
                  </w:r>
                  <w:r>
                    <w:rPr>
                      <w:kern w:val="24"/>
                      <w:szCs w:val="21"/>
                    </w:rPr>
                    <w:t>，四至范围：东至繁荣村，南至赤竹村繁荣一组，西至植荣村，北至赤竹村胜荣五组；</w:t>
                  </w:r>
                </w:p>
                <w:p w14:paraId="6DCAF77A">
                  <w:pPr>
                    <w:adjustRightInd w:val="0"/>
                    <w:rPr>
                      <w:kern w:val="24"/>
                      <w:szCs w:val="21"/>
                    </w:rPr>
                  </w:pPr>
                  <w:r>
                    <w:rPr>
                      <w:kern w:val="24"/>
                      <w:szCs w:val="21"/>
                    </w:rPr>
                    <w:t>区块四面积：0.1338 km</w:t>
                  </w:r>
                  <w:r>
                    <w:rPr>
                      <w:kern w:val="24"/>
                      <w:szCs w:val="21"/>
                      <w:vertAlign w:val="superscript"/>
                    </w:rPr>
                    <w:t>2</w:t>
                  </w:r>
                  <w:r>
                    <w:rPr>
                      <w:kern w:val="24"/>
                      <w:szCs w:val="21"/>
                    </w:rPr>
                    <w:t>，四至范围：东至资水支流，南至 S308 省道，西至 G536 国道，北至 G536 国道；</w:t>
                  </w:r>
                </w:p>
                <w:p w14:paraId="580EFE84">
                  <w:pPr>
                    <w:adjustRightInd w:val="0"/>
                    <w:rPr>
                      <w:kern w:val="24"/>
                      <w:szCs w:val="21"/>
                    </w:rPr>
                  </w:pPr>
                  <w:r>
                    <w:rPr>
                      <w:kern w:val="24"/>
                      <w:szCs w:val="21"/>
                    </w:rPr>
                    <w:t>区块五面积：0.1479 km</w:t>
                  </w:r>
                  <w:r>
                    <w:rPr>
                      <w:kern w:val="24"/>
                      <w:szCs w:val="21"/>
                      <w:vertAlign w:val="superscript"/>
                    </w:rPr>
                    <w:t>2</w:t>
                  </w:r>
                  <w:r>
                    <w:rPr>
                      <w:kern w:val="24"/>
                      <w:szCs w:val="21"/>
                    </w:rPr>
                    <w:t>，四至范围：东至 G536 国道，南至 S308 省道，西至资水支流，北至 G536 国道；</w:t>
                  </w:r>
                </w:p>
                <w:p w14:paraId="531A9C63">
                  <w:pPr>
                    <w:adjustRightInd w:val="0"/>
                    <w:rPr>
                      <w:kern w:val="24"/>
                      <w:szCs w:val="21"/>
                    </w:rPr>
                  </w:pPr>
                  <w:r>
                    <w:rPr>
                      <w:kern w:val="24"/>
                      <w:szCs w:val="21"/>
                    </w:rPr>
                    <w:t>区块六面积：0.6339 km</w:t>
                  </w:r>
                  <w:r>
                    <w:rPr>
                      <w:kern w:val="24"/>
                      <w:szCs w:val="21"/>
                      <w:vertAlign w:val="superscript"/>
                    </w:rPr>
                    <w:t>2</w:t>
                  </w:r>
                  <w:r>
                    <w:rPr>
                      <w:kern w:val="24"/>
                      <w:szCs w:val="21"/>
                    </w:rPr>
                    <w:t>，四至范围：东至 S308 省道西 100 米处，南至田庄乡 S308 省道南侧，西至资水支流，北至 S308 省道；</w:t>
                  </w:r>
                </w:p>
                <w:p w14:paraId="0EC9CE05">
                  <w:pPr>
                    <w:adjustRightInd w:val="0"/>
                    <w:rPr>
                      <w:kern w:val="24"/>
                      <w:szCs w:val="21"/>
                    </w:rPr>
                  </w:pPr>
                  <w:r>
                    <w:rPr>
                      <w:kern w:val="24"/>
                      <w:szCs w:val="21"/>
                    </w:rPr>
                    <w:t>区块七面积：0.1530 km</w:t>
                  </w:r>
                  <w:r>
                    <w:rPr>
                      <w:kern w:val="24"/>
                      <w:szCs w:val="21"/>
                      <w:vertAlign w:val="superscript"/>
                    </w:rPr>
                    <w:t>2</w:t>
                  </w:r>
                  <w:r>
                    <w:rPr>
                      <w:kern w:val="24"/>
                      <w:szCs w:val="21"/>
                    </w:rPr>
                    <w:t>，四至范围：东至迎春二路，南至资水，西至酉州村，北至酉州村三组；</w:t>
                  </w:r>
                </w:p>
                <w:p w14:paraId="2F734F89">
                  <w:pPr>
                    <w:adjustRightInd w:val="0"/>
                    <w:rPr>
                      <w:kern w:val="24"/>
                      <w:szCs w:val="21"/>
                    </w:rPr>
                  </w:pPr>
                  <w:r>
                    <w:rPr>
                      <w:kern w:val="24"/>
                      <w:szCs w:val="21"/>
                    </w:rPr>
                    <w:t>区块八面积：0.4283 km</w:t>
                  </w:r>
                  <w:r>
                    <w:rPr>
                      <w:kern w:val="24"/>
                      <w:szCs w:val="21"/>
                      <w:vertAlign w:val="superscript"/>
                    </w:rPr>
                    <w:t>2</w:t>
                  </w:r>
                  <w:r>
                    <w:rPr>
                      <w:kern w:val="24"/>
                      <w:szCs w:val="21"/>
                    </w:rPr>
                    <w:t>，四至范围：东至庙坳上，南至圳中村，西至万家湾，北至老师冲；</w:t>
                  </w:r>
                </w:p>
                <w:p w14:paraId="4715A6FD">
                  <w:pPr>
                    <w:adjustRightInd w:val="0"/>
                    <w:rPr>
                      <w:kern w:val="24"/>
                      <w:szCs w:val="21"/>
                    </w:rPr>
                  </w:pPr>
                  <w:r>
                    <w:rPr>
                      <w:kern w:val="24"/>
                      <w:szCs w:val="21"/>
                    </w:rPr>
                    <w:t>区块九面积：0.1412 km</w:t>
                  </w:r>
                  <w:r>
                    <w:rPr>
                      <w:kern w:val="24"/>
                      <w:szCs w:val="21"/>
                      <w:vertAlign w:val="superscript"/>
                    </w:rPr>
                    <w:t>2</w:t>
                  </w:r>
                  <w:r>
                    <w:rPr>
                      <w:kern w:val="24"/>
                      <w:szCs w:val="21"/>
                    </w:rPr>
                    <w:t>，四至范围：东至庙坳上，南至金桥湾，西至茅田铺村，北至娘娘山；</w:t>
                  </w:r>
                </w:p>
                <w:p w14:paraId="312126E8">
                  <w:pPr>
                    <w:adjustRightInd w:val="0"/>
                    <w:rPr>
                      <w:kern w:val="24"/>
                      <w:szCs w:val="21"/>
                    </w:rPr>
                  </w:pPr>
                  <w:r>
                    <w:rPr>
                      <w:kern w:val="24"/>
                      <w:szCs w:val="21"/>
                    </w:rPr>
                    <w:t>区块十面积：0.1036 km</w:t>
                  </w:r>
                  <w:r>
                    <w:rPr>
                      <w:kern w:val="24"/>
                      <w:szCs w:val="21"/>
                      <w:vertAlign w:val="superscript"/>
                    </w:rPr>
                    <w:t>2</w:t>
                  </w:r>
                  <w:r>
                    <w:rPr>
                      <w:kern w:val="24"/>
                      <w:szCs w:val="21"/>
                    </w:rPr>
                    <w:t>，四至范围：东至 X049 县道，南至漏坪村，西至云台山风景区，北至四角庙。</w:t>
                  </w:r>
                </w:p>
              </w:tc>
            </w:tr>
          </w:tbl>
          <w:p w14:paraId="7EED507C">
            <w:pPr>
              <w:spacing w:line="360" w:lineRule="auto"/>
              <w:rPr>
                <w:b/>
                <w:bCs/>
                <w:kern w:val="0"/>
                <w:sz w:val="24"/>
                <w:szCs w:val="24"/>
              </w:rPr>
            </w:pPr>
            <w:r>
              <w:rPr>
                <w:b/>
                <w:bCs/>
                <w:kern w:val="0"/>
                <w:sz w:val="24"/>
                <w:szCs w:val="24"/>
              </w:rPr>
              <w:t>2 建设项目与产业政策符合性分析</w:t>
            </w:r>
          </w:p>
          <w:p w14:paraId="06609DB4">
            <w:pPr>
              <w:widowControl/>
              <w:spacing w:line="360" w:lineRule="auto"/>
              <w:ind w:firstLine="480" w:firstLineChars="200"/>
              <w:rPr>
                <w:kern w:val="0"/>
                <w:sz w:val="24"/>
                <w:szCs w:val="24"/>
              </w:rPr>
            </w:pPr>
            <w:r>
              <w:rPr>
                <w:kern w:val="0"/>
                <w:sz w:val="24"/>
                <w:szCs w:val="24"/>
              </w:rPr>
              <w:t>本项目涉及</w:t>
            </w:r>
            <w:r>
              <w:rPr>
                <w:sz w:val="24"/>
                <w:szCs w:val="24"/>
              </w:rPr>
              <w:t>C1353 肉制品及副产品加工</w:t>
            </w:r>
            <w:r>
              <w:rPr>
                <w:rFonts w:hint="eastAsia"/>
                <w:sz w:val="24"/>
                <w:szCs w:val="24"/>
              </w:rPr>
              <w:t>、</w:t>
            </w:r>
            <w:r>
              <w:rPr>
                <w:sz w:val="24"/>
                <w:szCs w:val="28"/>
              </w:rPr>
              <w:t>C1369</w:t>
            </w:r>
            <w:r>
              <w:rPr>
                <w:rFonts w:hint="eastAsia"/>
                <w:sz w:val="24"/>
                <w:szCs w:val="28"/>
              </w:rPr>
              <w:t>其他水产品加工</w:t>
            </w:r>
            <w:r>
              <w:rPr>
                <w:kern w:val="0"/>
                <w:sz w:val="24"/>
                <w:szCs w:val="24"/>
              </w:rPr>
              <w:t>，对照《产业结构调整指导目录》（2024年本），不属于国家产业政策限制类和淘汰类生产项目，且符合国家有关法律、法规和政策规定，属于允许类，符合国家和地区产业政策。</w:t>
            </w:r>
          </w:p>
          <w:p w14:paraId="32052A4E">
            <w:pPr>
              <w:pStyle w:val="21"/>
              <w:widowControl w:val="0"/>
              <w:numPr>
                <w:ilvl w:val="2"/>
                <w:numId w:val="0"/>
              </w:numPr>
              <w:adjustRightInd w:val="0"/>
              <w:snapToGrid w:val="0"/>
              <w:spacing w:before="0" w:beforeAutospacing="0" w:after="0" w:afterAutospacing="0" w:line="360" w:lineRule="auto"/>
              <w:jc w:val="both"/>
              <w:outlineLvl w:val="2"/>
            </w:pPr>
            <w:r>
              <w:rPr>
                <w:rFonts w:ascii="Times New Roman" w:hAnsi="Times New Roman"/>
                <w:b/>
                <w:bCs/>
              </w:rPr>
              <w:t xml:space="preserve">3 </w:t>
            </w:r>
            <w:r>
              <w:rPr>
                <w:rFonts w:hint="eastAsia" w:ascii="Times New Roman" w:hAnsi="Times New Roman" w:cs="宋体"/>
                <w:b/>
                <w:kern w:val="0"/>
                <w:szCs w:val="24"/>
                <w:lang w:bidi="ar"/>
              </w:rPr>
              <w:t>项目与《湖南省大气污染防治“守护蓝天”攻坚行动计划（</w:t>
            </w:r>
            <w:r>
              <w:rPr>
                <w:rFonts w:ascii="Times New Roman" w:hAnsi="Times New Roman"/>
                <w:b/>
                <w:kern w:val="0"/>
                <w:szCs w:val="24"/>
                <w:lang w:bidi="ar"/>
              </w:rPr>
              <w:t>2023</w:t>
            </w:r>
            <w:r>
              <w:rPr>
                <w:rFonts w:hint="eastAsia" w:ascii="Times New Roman" w:hAnsi="Times New Roman" w:cs="宋体"/>
                <w:b/>
                <w:kern w:val="0"/>
                <w:szCs w:val="24"/>
                <w:lang w:bidi="ar"/>
              </w:rPr>
              <w:t>—</w:t>
            </w:r>
            <w:r>
              <w:rPr>
                <w:rFonts w:ascii="Times New Roman" w:hAnsi="Times New Roman"/>
                <w:b/>
                <w:kern w:val="0"/>
                <w:szCs w:val="24"/>
                <w:lang w:bidi="ar"/>
              </w:rPr>
              <w:t>2025</w:t>
            </w:r>
            <w:r>
              <w:rPr>
                <w:rFonts w:hint="eastAsia" w:ascii="Times New Roman" w:hAnsi="Times New Roman" w:cs="宋体"/>
                <w:b/>
                <w:kern w:val="0"/>
                <w:szCs w:val="24"/>
                <w:lang w:bidi="ar"/>
              </w:rPr>
              <w:t>年）》（湘政办发〔</w:t>
            </w:r>
            <w:r>
              <w:rPr>
                <w:rFonts w:ascii="Times New Roman" w:hAnsi="Times New Roman"/>
                <w:b/>
                <w:kern w:val="0"/>
                <w:szCs w:val="24"/>
                <w:lang w:bidi="ar"/>
              </w:rPr>
              <w:t>2023</w:t>
            </w:r>
            <w:r>
              <w:rPr>
                <w:rFonts w:hint="eastAsia" w:ascii="Times New Roman" w:hAnsi="Times New Roman" w:cs="宋体"/>
                <w:b/>
                <w:kern w:val="0"/>
                <w:szCs w:val="24"/>
                <w:lang w:bidi="ar"/>
              </w:rPr>
              <w:t>〕</w:t>
            </w:r>
            <w:r>
              <w:rPr>
                <w:rFonts w:ascii="Times New Roman" w:hAnsi="Times New Roman"/>
                <w:b/>
                <w:kern w:val="0"/>
                <w:szCs w:val="24"/>
                <w:lang w:bidi="ar"/>
              </w:rPr>
              <w:t>34</w:t>
            </w:r>
            <w:r>
              <w:rPr>
                <w:rFonts w:hint="eastAsia" w:ascii="Times New Roman" w:hAnsi="Times New Roman" w:cs="宋体"/>
                <w:b/>
                <w:kern w:val="0"/>
                <w:szCs w:val="24"/>
                <w:lang w:bidi="ar"/>
              </w:rPr>
              <w:t>号）符合性分析</w:t>
            </w:r>
          </w:p>
          <w:p w14:paraId="276D686B">
            <w:pPr>
              <w:pStyle w:val="21"/>
              <w:widowControl w:val="0"/>
              <w:numPr>
                <w:ilvl w:val="4"/>
                <w:numId w:val="0"/>
              </w:numPr>
              <w:adjustRightInd w:val="0"/>
              <w:snapToGrid w:val="0"/>
              <w:spacing w:before="0" w:beforeAutospacing="0" w:after="0" w:afterAutospacing="0" w:line="360" w:lineRule="auto"/>
              <w:jc w:val="center"/>
              <w:outlineLvl w:val="3"/>
              <w:rPr>
                <w:szCs w:val="24"/>
              </w:rPr>
            </w:pPr>
            <w:r>
              <w:rPr>
                <w:rFonts w:ascii="Times New Roman" w:hAnsi="Times New Roman"/>
                <w:b/>
                <w:bCs/>
                <w:color w:val="000000"/>
                <w:szCs w:val="24"/>
              </w:rPr>
              <w:t>表1-8</w:t>
            </w:r>
            <w:r>
              <w:rPr>
                <w:rFonts w:hint="eastAsia"/>
                <w:color w:val="000000"/>
                <w:szCs w:val="24"/>
              </w:rPr>
              <w:t xml:space="preserve"> </w:t>
            </w:r>
            <w:r>
              <w:rPr>
                <w:color w:val="000000"/>
                <w:szCs w:val="24"/>
              </w:rPr>
              <w:t xml:space="preserve"> </w:t>
            </w:r>
            <w:r>
              <w:rPr>
                <w:rFonts w:hint="eastAsia" w:ascii="Times New Roman" w:hAnsi="Times New Roman" w:cs="宋体"/>
                <w:b/>
                <w:kern w:val="0"/>
                <w:szCs w:val="24"/>
                <w:lang w:bidi="ar"/>
              </w:rPr>
              <w:t>项目与湘政办发〔</w:t>
            </w:r>
            <w:r>
              <w:rPr>
                <w:rFonts w:ascii="Times New Roman" w:hAnsi="Times New Roman"/>
                <w:b/>
                <w:kern w:val="0"/>
                <w:szCs w:val="24"/>
                <w:lang w:bidi="ar"/>
              </w:rPr>
              <w:t>2023</w:t>
            </w:r>
            <w:r>
              <w:rPr>
                <w:rFonts w:hint="eastAsia" w:ascii="Times New Roman" w:hAnsi="Times New Roman" w:cs="宋体"/>
                <w:b/>
                <w:kern w:val="0"/>
                <w:szCs w:val="24"/>
                <w:lang w:bidi="ar"/>
              </w:rPr>
              <w:t>〕</w:t>
            </w:r>
            <w:r>
              <w:rPr>
                <w:rFonts w:ascii="Times New Roman" w:hAnsi="Times New Roman"/>
                <w:b/>
                <w:kern w:val="0"/>
                <w:szCs w:val="24"/>
                <w:lang w:bidi="ar"/>
              </w:rPr>
              <w:t>34</w:t>
            </w:r>
            <w:r>
              <w:rPr>
                <w:rFonts w:hint="eastAsia" w:ascii="Times New Roman" w:hAnsi="Times New Roman" w:cs="宋体"/>
                <w:b/>
                <w:kern w:val="0"/>
                <w:szCs w:val="24"/>
                <w:lang w:bidi="ar"/>
              </w:rPr>
              <w:t>号符合性分析一览表</w:t>
            </w:r>
          </w:p>
          <w:tbl>
            <w:tblPr>
              <w:tblStyle w:val="2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7"/>
              <w:gridCol w:w="4052"/>
              <w:gridCol w:w="2280"/>
              <w:gridCol w:w="668"/>
            </w:tblGrid>
            <w:tr w14:paraId="6515D3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27" w:type="dxa"/>
                  <w:tcBorders>
                    <w:top w:val="single" w:color="auto" w:sz="12" w:space="0"/>
                    <w:left w:val="single" w:color="auto" w:sz="12" w:space="0"/>
                    <w:bottom w:val="single" w:color="auto" w:sz="4" w:space="0"/>
                    <w:right w:val="single" w:color="auto" w:sz="4" w:space="0"/>
                  </w:tcBorders>
                  <w:shd w:val="clear" w:color="auto" w:fill="auto"/>
                  <w:vAlign w:val="center"/>
                </w:tcPr>
                <w:p w14:paraId="09DF3275">
                  <w:pPr>
                    <w:pStyle w:val="21"/>
                    <w:adjustRightInd w:val="0"/>
                    <w:snapToGrid w:val="0"/>
                    <w:spacing w:before="0" w:beforeAutospacing="0" w:after="0" w:afterAutospacing="0"/>
                    <w:jc w:val="center"/>
                    <w:rPr>
                      <w:b/>
                      <w:bCs/>
                    </w:rPr>
                  </w:pPr>
                  <w:r>
                    <w:rPr>
                      <w:rFonts w:hint="eastAsia" w:ascii="Times New Roman" w:hAnsi="Times New Roman" w:cs="宋体"/>
                      <w:b/>
                      <w:bCs/>
                      <w:kern w:val="0"/>
                      <w:sz w:val="21"/>
                      <w:szCs w:val="20"/>
                      <w:lang w:bidi="ar"/>
                    </w:rPr>
                    <w:t>序号</w:t>
                  </w:r>
                </w:p>
              </w:tc>
              <w:tc>
                <w:tcPr>
                  <w:tcW w:w="4052" w:type="dxa"/>
                  <w:tcBorders>
                    <w:top w:val="single" w:color="auto" w:sz="12" w:space="0"/>
                    <w:left w:val="single" w:color="auto" w:sz="4" w:space="0"/>
                    <w:bottom w:val="single" w:color="auto" w:sz="4" w:space="0"/>
                    <w:right w:val="single" w:color="auto" w:sz="4" w:space="0"/>
                  </w:tcBorders>
                  <w:shd w:val="clear" w:color="auto" w:fill="auto"/>
                  <w:vAlign w:val="center"/>
                </w:tcPr>
                <w:p w14:paraId="67C81C3C">
                  <w:pPr>
                    <w:pStyle w:val="21"/>
                    <w:adjustRightInd w:val="0"/>
                    <w:snapToGrid w:val="0"/>
                    <w:spacing w:before="0" w:beforeAutospacing="0" w:after="0" w:afterAutospacing="0"/>
                    <w:jc w:val="center"/>
                    <w:rPr>
                      <w:b/>
                      <w:bCs/>
                    </w:rPr>
                  </w:pPr>
                  <w:r>
                    <w:rPr>
                      <w:rFonts w:hint="eastAsia" w:ascii="Times New Roman" w:hAnsi="Times New Roman" w:cs="宋体"/>
                      <w:b/>
                      <w:bCs/>
                      <w:kern w:val="0"/>
                      <w:sz w:val="21"/>
                      <w:szCs w:val="20"/>
                      <w:lang w:bidi="ar"/>
                    </w:rPr>
                    <w:t>要求</w:t>
                  </w:r>
                </w:p>
              </w:tc>
              <w:tc>
                <w:tcPr>
                  <w:tcW w:w="2280" w:type="dxa"/>
                  <w:tcBorders>
                    <w:top w:val="single" w:color="auto" w:sz="12" w:space="0"/>
                    <w:left w:val="single" w:color="auto" w:sz="4" w:space="0"/>
                    <w:bottom w:val="single" w:color="auto" w:sz="4" w:space="0"/>
                    <w:right w:val="single" w:color="auto" w:sz="4" w:space="0"/>
                  </w:tcBorders>
                  <w:shd w:val="clear" w:color="auto" w:fill="auto"/>
                  <w:vAlign w:val="center"/>
                </w:tcPr>
                <w:p w14:paraId="1A29190F">
                  <w:pPr>
                    <w:pStyle w:val="21"/>
                    <w:adjustRightInd w:val="0"/>
                    <w:snapToGrid w:val="0"/>
                    <w:spacing w:before="0" w:beforeAutospacing="0" w:after="0" w:afterAutospacing="0"/>
                    <w:jc w:val="center"/>
                    <w:rPr>
                      <w:b/>
                      <w:bCs/>
                    </w:rPr>
                  </w:pPr>
                  <w:r>
                    <w:rPr>
                      <w:rFonts w:hint="eastAsia" w:ascii="Times New Roman" w:hAnsi="Times New Roman" w:cs="宋体"/>
                      <w:b/>
                      <w:bCs/>
                      <w:kern w:val="0"/>
                      <w:sz w:val="21"/>
                      <w:szCs w:val="20"/>
                      <w:lang w:bidi="ar"/>
                    </w:rPr>
                    <w:t>本项目情况</w:t>
                  </w:r>
                </w:p>
              </w:tc>
              <w:tc>
                <w:tcPr>
                  <w:tcW w:w="668" w:type="dxa"/>
                  <w:tcBorders>
                    <w:top w:val="single" w:color="auto" w:sz="12" w:space="0"/>
                    <w:left w:val="single" w:color="auto" w:sz="4" w:space="0"/>
                    <w:bottom w:val="single" w:color="auto" w:sz="4" w:space="0"/>
                    <w:right w:val="single" w:color="auto" w:sz="12" w:space="0"/>
                  </w:tcBorders>
                  <w:shd w:val="clear" w:color="auto" w:fill="auto"/>
                  <w:vAlign w:val="center"/>
                </w:tcPr>
                <w:p w14:paraId="6DCEA4AA">
                  <w:pPr>
                    <w:pStyle w:val="21"/>
                    <w:adjustRightInd w:val="0"/>
                    <w:snapToGrid w:val="0"/>
                    <w:spacing w:before="0" w:beforeAutospacing="0" w:after="0" w:afterAutospacing="0"/>
                    <w:jc w:val="center"/>
                    <w:rPr>
                      <w:b/>
                      <w:bCs/>
                    </w:rPr>
                  </w:pPr>
                  <w:r>
                    <w:rPr>
                      <w:rFonts w:hint="eastAsia" w:ascii="Times New Roman" w:hAnsi="Times New Roman" w:cs="宋体"/>
                      <w:b/>
                      <w:bCs/>
                      <w:kern w:val="0"/>
                      <w:sz w:val="21"/>
                      <w:szCs w:val="20"/>
                      <w:lang w:bidi="ar"/>
                    </w:rPr>
                    <w:t>是否符合</w:t>
                  </w:r>
                </w:p>
              </w:tc>
            </w:tr>
            <w:tr w14:paraId="6B30D4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27" w:type="dxa"/>
                  <w:vMerge w:val="restart"/>
                  <w:tcBorders>
                    <w:top w:val="single" w:color="auto" w:sz="4" w:space="0"/>
                    <w:left w:val="single" w:color="auto" w:sz="12" w:space="0"/>
                    <w:bottom w:val="single" w:color="auto" w:sz="4" w:space="0"/>
                    <w:right w:val="single" w:color="auto" w:sz="4" w:space="0"/>
                  </w:tcBorders>
                  <w:shd w:val="clear" w:color="auto" w:fill="auto"/>
                  <w:vAlign w:val="center"/>
                </w:tcPr>
                <w:p w14:paraId="107E1676">
                  <w:pPr>
                    <w:pStyle w:val="21"/>
                    <w:adjustRightInd w:val="0"/>
                    <w:snapToGrid w:val="0"/>
                    <w:spacing w:before="0" w:beforeAutospacing="0" w:after="0" w:afterAutospacing="0"/>
                    <w:jc w:val="center"/>
                  </w:pPr>
                  <w:r>
                    <w:rPr>
                      <w:rFonts w:hint="eastAsia" w:ascii="Times New Roman" w:hAnsi="Times New Roman" w:cs="宋体"/>
                      <w:kern w:val="0"/>
                      <w:sz w:val="21"/>
                      <w:szCs w:val="20"/>
                      <w:lang w:bidi="ar"/>
                    </w:rPr>
                    <w:t>能源领域</w:t>
                  </w:r>
                </w:p>
              </w:tc>
              <w:tc>
                <w:tcPr>
                  <w:tcW w:w="4052" w:type="dxa"/>
                  <w:tcBorders>
                    <w:top w:val="single" w:color="auto" w:sz="4" w:space="0"/>
                    <w:left w:val="single" w:color="auto" w:sz="4" w:space="0"/>
                    <w:bottom w:val="single" w:color="auto" w:sz="4" w:space="0"/>
                    <w:right w:val="single" w:color="auto" w:sz="4" w:space="0"/>
                  </w:tcBorders>
                  <w:shd w:val="clear" w:color="auto" w:fill="auto"/>
                  <w:vAlign w:val="center"/>
                </w:tcPr>
                <w:p w14:paraId="20C3C2CB">
                  <w:pPr>
                    <w:pStyle w:val="21"/>
                    <w:adjustRightInd w:val="0"/>
                    <w:snapToGrid w:val="0"/>
                    <w:spacing w:before="0" w:beforeAutospacing="0" w:after="0" w:afterAutospacing="0"/>
                    <w:jc w:val="center"/>
                  </w:pPr>
                  <w:r>
                    <w:rPr>
                      <w:rFonts w:hint="eastAsia" w:ascii="Times New Roman" w:hAnsi="Times New Roman" w:cs="宋体"/>
                      <w:kern w:val="0"/>
                      <w:sz w:val="21"/>
                      <w:szCs w:val="20"/>
                      <w:lang w:bidi="ar"/>
                    </w:rPr>
                    <w:t>推动能源绿色低碳转型。严格落实煤炭等量、减量替代，提高电煤消费占比。多渠道扩展天然气气源，扩大外受电比重，持续推进“煤改气”“煤改电”工程，大力推进使用清洁能源或电厂热力、工业余热等替代锅炉、炉窑燃料用煤，加快推动玻璃、地板砖等建材行业企业以及有色冶炼行业鼓风炉、反射炉等“煤改气”，依法依规推进煤气发生炉有序退出，推动非化石能源发展。到</w:t>
                  </w:r>
                  <w:r>
                    <w:rPr>
                      <w:rFonts w:ascii="Times New Roman" w:hAnsi="Times New Roman"/>
                      <w:kern w:val="0"/>
                      <w:sz w:val="21"/>
                      <w:szCs w:val="20"/>
                      <w:lang w:bidi="ar"/>
                    </w:rPr>
                    <w:t>2025</w:t>
                  </w:r>
                  <w:r>
                    <w:rPr>
                      <w:rFonts w:hint="eastAsia" w:ascii="Times New Roman" w:hAnsi="Times New Roman" w:cs="宋体"/>
                      <w:kern w:val="0"/>
                      <w:sz w:val="21"/>
                      <w:szCs w:val="20"/>
                      <w:lang w:bidi="ar"/>
                    </w:rPr>
                    <w:t>年，煤炭消费占一次能源消费比重下降至</w:t>
                  </w:r>
                  <w:r>
                    <w:rPr>
                      <w:rFonts w:ascii="Times New Roman" w:hAnsi="Times New Roman"/>
                      <w:kern w:val="0"/>
                      <w:sz w:val="21"/>
                      <w:szCs w:val="20"/>
                      <w:lang w:bidi="ar"/>
                    </w:rPr>
                    <w:t>51%</w:t>
                  </w:r>
                  <w:r>
                    <w:rPr>
                      <w:rFonts w:hint="eastAsia" w:ascii="Times New Roman" w:hAnsi="Times New Roman" w:cs="宋体"/>
                      <w:kern w:val="0"/>
                      <w:sz w:val="21"/>
                      <w:szCs w:val="20"/>
                      <w:lang w:bidi="ar"/>
                    </w:rPr>
                    <w:t>左右，电煤消费占比达到</w:t>
                  </w:r>
                  <w:r>
                    <w:rPr>
                      <w:rFonts w:ascii="Times New Roman" w:hAnsi="Times New Roman"/>
                      <w:kern w:val="0"/>
                      <w:sz w:val="21"/>
                      <w:szCs w:val="20"/>
                      <w:lang w:bidi="ar"/>
                    </w:rPr>
                    <w:t>55%</w:t>
                  </w:r>
                  <w:r>
                    <w:rPr>
                      <w:rFonts w:hint="eastAsia" w:ascii="Times New Roman" w:hAnsi="Times New Roman" w:cs="宋体"/>
                      <w:kern w:val="0"/>
                      <w:sz w:val="21"/>
                      <w:szCs w:val="20"/>
                      <w:lang w:bidi="ar"/>
                    </w:rPr>
                    <w:t>以上。</w:t>
                  </w:r>
                </w:p>
              </w:tc>
              <w:tc>
                <w:tcPr>
                  <w:tcW w:w="22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0FAE466">
                  <w:pPr>
                    <w:pStyle w:val="21"/>
                    <w:adjustRightInd w:val="0"/>
                    <w:snapToGrid w:val="0"/>
                    <w:spacing w:before="0" w:beforeAutospacing="0" w:after="0" w:afterAutospacing="0"/>
                    <w:jc w:val="center"/>
                  </w:pPr>
                  <w:r>
                    <w:rPr>
                      <w:rFonts w:hint="eastAsia" w:ascii="Times New Roman" w:hAnsi="Times New Roman" w:cs="宋体"/>
                      <w:kern w:val="0"/>
                      <w:sz w:val="21"/>
                      <w:szCs w:val="20"/>
                      <w:lang w:bidi="ar"/>
                    </w:rPr>
                    <w:t>本项目锅炉为生物质气化锅炉，使用生物质做燃料，配套有高效除尘措施，不使用煤炭。</w:t>
                  </w:r>
                </w:p>
              </w:tc>
              <w:tc>
                <w:tcPr>
                  <w:tcW w:w="668" w:type="dxa"/>
                  <w:vMerge w:val="restart"/>
                  <w:tcBorders>
                    <w:top w:val="single" w:color="auto" w:sz="4" w:space="0"/>
                    <w:left w:val="single" w:color="auto" w:sz="4" w:space="0"/>
                    <w:bottom w:val="single" w:color="auto" w:sz="4" w:space="0"/>
                    <w:right w:val="single" w:color="auto" w:sz="12" w:space="0"/>
                  </w:tcBorders>
                  <w:shd w:val="clear" w:color="auto" w:fill="auto"/>
                  <w:vAlign w:val="center"/>
                </w:tcPr>
                <w:p w14:paraId="56E61537">
                  <w:pPr>
                    <w:pStyle w:val="21"/>
                    <w:adjustRightInd w:val="0"/>
                    <w:snapToGrid w:val="0"/>
                    <w:spacing w:before="0" w:beforeAutospacing="0" w:after="0" w:afterAutospacing="0"/>
                    <w:jc w:val="center"/>
                  </w:pPr>
                  <w:r>
                    <w:rPr>
                      <w:rFonts w:hint="eastAsia" w:ascii="Times New Roman" w:hAnsi="Times New Roman" w:cs="宋体"/>
                      <w:kern w:val="0"/>
                      <w:sz w:val="21"/>
                      <w:szCs w:val="20"/>
                      <w:lang w:bidi="ar"/>
                    </w:rPr>
                    <w:t>符合</w:t>
                  </w:r>
                </w:p>
              </w:tc>
            </w:tr>
            <w:tr w14:paraId="592669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27"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14:paraId="0AA48B60">
                  <w:pPr>
                    <w:rPr>
                      <w:sz w:val="20"/>
                      <w:szCs w:val="20"/>
                    </w:rPr>
                  </w:pPr>
                </w:p>
              </w:tc>
              <w:tc>
                <w:tcPr>
                  <w:tcW w:w="4052" w:type="dxa"/>
                  <w:tcBorders>
                    <w:top w:val="single" w:color="auto" w:sz="4" w:space="0"/>
                    <w:left w:val="single" w:color="auto" w:sz="4" w:space="0"/>
                    <w:bottom w:val="single" w:color="auto" w:sz="4" w:space="0"/>
                    <w:right w:val="single" w:color="auto" w:sz="4" w:space="0"/>
                  </w:tcBorders>
                  <w:shd w:val="clear" w:color="auto" w:fill="auto"/>
                  <w:vAlign w:val="center"/>
                </w:tcPr>
                <w:p w14:paraId="12EF7E73">
                  <w:pPr>
                    <w:pStyle w:val="21"/>
                    <w:adjustRightInd w:val="0"/>
                    <w:snapToGrid w:val="0"/>
                    <w:spacing w:before="0" w:beforeAutospacing="0" w:after="0" w:afterAutospacing="0"/>
                    <w:jc w:val="center"/>
                  </w:pPr>
                  <w:r>
                    <w:rPr>
                      <w:rFonts w:hint="eastAsia" w:ascii="Times New Roman" w:hAnsi="Times New Roman" w:cs="宋体"/>
                      <w:kern w:val="0"/>
                      <w:sz w:val="21"/>
                      <w:szCs w:val="20"/>
                      <w:lang w:bidi="ar"/>
                    </w:rPr>
                    <w:t>强化禁燃区管控，推进散煤替代。加强煤炭生产、销售和使用监管。优化调整高污染燃料禁燃区范围，严厉查处禁燃区内煤炭燃用行为。推进农村用能低碳化转型，加快农业种植、养殖、农产品加工等散煤替代。</w:t>
                  </w:r>
                </w:p>
              </w:tc>
              <w:tc>
                <w:tcPr>
                  <w:tcW w:w="22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39B1DDA">
                  <w:pPr>
                    <w:rPr>
                      <w:sz w:val="20"/>
                      <w:szCs w:val="20"/>
                    </w:rPr>
                  </w:pPr>
                </w:p>
              </w:tc>
              <w:tc>
                <w:tcPr>
                  <w:tcW w:w="668" w:type="dxa"/>
                  <w:vMerge w:val="continue"/>
                  <w:tcBorders>
                    <w:top w:val="single" w:color="auto" w:sz="4" w:space="0"/>
                    <w:left w:val="single" w:color="auto" w:sz="4" w:space="0"/>
                    <w:bottom w:val="single" w:color="auto" w:sz="4" w:space="0"/>
                    <w:right w:val="single" w:color="auto" w:sz="12" w:space="0"/>
                  </w:tcBorders>
                  <w:shd w:val="clear" w:color="auto" w:fill="auto"/>
                  <w:vAlign w:val="center"/>
                </w:tcPr>
                <w:p w14:paraId="094FA55D">
                  <w:pPr>
                    <w:rPr>
                      <w:sz w:val="20"/>
                      <w:szCs w:val="20"/>
                    </w:rPr>
                  </w:pPr>
                </w:p>
              </w:tc>
            </w:tr>
            <w:tr w14:paraId="7D30A6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27"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14:paraId="18E1E0A2">
                  <w:pPr>
                    <w:rPr>
                      <w:sz w:val="20"/>
                      <w:szCs w:val="20"/>
                    </w:rPr>
                  </w:pPr>
                </w:p>
              </w:tc>
              <w:tc>
                <w:tcPr>
                  <w:tcW w:w="4052" w:type="dxa"/>
                  <w:tcBorders>
                    <w:top w:val="single" w:color="auto" w:sz="4" w:space="0"/>
                    <w:left w:val="single" w:color="auto" w:sz="4" w:space="0"/>
                    <w:bottom w:val="single" w:color="auto" w:sz="4" w:space="0"/>
                    <w:right w:val="single" w:color="auto" w:sz="4" w:space="0"/>
                  </w:tcBorders>
                  <w:shd w:val="clear" w:color="auto" w:fill="auto"/>
                  <w:vAlign w:val="center"/>
                </w:tcPr>
                <w:p w14:paraId="3937997F">
                  <w:pPr>
                    <w:pStyle w:val="21"/>
                    <w:adjustRightInd w:val="0"/>
                    <w:snapToGrid w:val="0"/>
                    <w:spacing w:before="0" w:beforeAutospacing="0" w:after="0" w:afterAutospacing="0"/>
                    <w:jc w:val="center"/>
                  </w:pPr>
                  <w:r>
                    <w:rPr>
                      <w:rFonts w:hint="eastAsia" w:ascii="Times New Roman" w:hAnsi="Times New Roman" w:cs="宋体"/>
                      <w:kern w:val="0"/>
                      <w:sz w:val="21"/>
                      <w:szCs w:val="20"/>
                      <w:lang w:bidi="ar"/>
                    </w:rPr>
                    <w:t>提升重点行业能效水平。开展重点行业节能降碳改造，全省低于能效基准水平的存量项目全面实施节能技改，在建、拟建项目按照国家行业能效标杆水平建设。到</w:t>
                  </w:r>
                  <w:r>
                    <w:rPr>
                      <w:rFonts w:ascii="Times New Roman" w:hAnsi="Times New Roman"/>
                      <w:kern w:val="0"/>
                      <w:sz w:val="21"/>
                      <w:szCs w:val="20"/>
                      <w:lang w:bidi="ar"/>
                    </w:rPr>
                    <w:t>2025</w:t>
                  </w:r>
                  <w:r>
                    <w:rPr>
                      <w:rFonts w:hint="eastAsia" w:ascii="Times New Roman" w:hAnsi="Times New Roman" w:cs="宋体"/>
                      <w:kern w:val="0"/>
                      <w:sz w:val="21"/>
                      <w:szCs w:val="20"/>
                      <w:lang w:bidi="ar"/>
                    </w:rPr>
                    <w:t>年，钢铁、建材、化工等重点行业企业全部达到能效基准水平以上，达到能效标杆水平的比例超过</w:t>
                  </w:r>
                  <w:r>
                    <w:rPr>
                      <w:rFonts w:ascii="Times New Roman" w:hAnsi="Times New Roman"/>
                      <w:kern w:val="0"/>
                      <w:sz w:val="21"/>
                      <w:szCs w:val="20"/>
                      <w:lang w:bidi="ar"/>
                    </w:rPr>
                    <w:t>30%</w:t>
                  </w:r>
                  <w:r>
                    <w:rPr>
                      <w:rFonts w:hint="eastAsia" w:ascii="Times New Roman" w:hAnsi="Times New Roman" w:cs="宋体"/>
                      <w:kern w:val="0"/>
                      <w:sz w:val="21"/>
                      <w:szCs w:val="20"/>
                      <w:lang w:bidi="ar"/>
                    </w:rPr>
                    <w:t>；全省煤电机组平均供电煤耗降至</w:t>
                  </w:r>
                  <w:r>
                    <w:rPr>
                      <w:rFonts w:ascii="Times New Roman" w:hAnsi="Times New Roman"/>
                      <w:kern w:val="0"/>
                      <w:sz w:val="21"/>
                      <w:szCs w:val="20"/>
                      <w:lang w:bidi="ar"/>
                    </w:rPr>
                    <w:t>300</w:t>
                  </w:r>
                  <w:r>
                    <w:rPr>
                      <w:rFonts w:hint="eastAsia" w:ascii="Times New Roman" w:hAnsi="Times New Roman" w:cs="宋体"/>
                      <w:kern w:val="0"/>
                      <w:sz w:val="21"/>
                      <w:szCs w:val="20"/>
                      <w:lang w:bidi="ar"/>
                    </w:rPr>
                    <w:t>克标煤</w:t>
                  </w:r>
                  <w:r>
                    <w:rPr>
                      <w:rFonts w:ascii="Times New Roman" w:hAnsi="Times New Roman"/>
                      <w:kern w:val="0"/>
                      <w:sz w:val="21"/>
                      <w:szCs w:val="20"/>
                      <w:lang w:bidi="ar"/>
                    </w:rPr>
                    <w:t>/</w:t>
                  </w:r>
                  <w:r>
                    <w:rPr>
                      <w:rFonts w:hint="eastAsia" w:ascii="Times New Roman" w:hAnsi="Times New Roman" w:cs="宋体"/>
                      <w:kern w:val="0"/>
                      <w:sz w:val="21"/>
                      <w:szCs w:val="20"/>
                      <w:lang w:bidi="ar"/>
                    </w:rPr>
                    <w:t>千瓦时以下。</w:t>
                  </w:r>
                </w:p>
              </w:tc>
              <w:tc>
                <w:tcPr>
                  <w:tcW w:w="22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69E5AE2">
                  <w:pPr>
                    <w:rPr>
                      <w:sz w:val="20"/>
                      <w:szCs w:val="20"/>
                    </w:rPr>
                  </w:pPr>
                </w:p>
              </w:tc>
              <w:tc>
                <w:tcPr>
                  <w:tcW w:w="668" w:type="dxa"/>
                  <w:vMerge w:val="continue"/>
                  <w:tcBorders>
                    <w:top w:val="single" w:color="auto" w:sz="4" w:space="0"/>
                    <w:left w:val="single" w:color="auto" w:sz="4" w:space="0"/>
                    <w:bottom w:val="single" w:color="auto" w:sz="4" w:space="0"/>
                    <w:right w:val="single" w:color="auto" w:sz="12" w:space="0"/>
                  </w:tcBorders>
                  <w:shd w:val="clear" w:color="auto" w:fill="auto"/>
                  <w:vAlign w:val="center"/>
                </w:tcPr>
                <w:p w14:paraId="7BE41645">
                  <w:pPr>
                    <w:rPr>
                      <w:sz w:val="20"/>
                      <w:szCs w:val="20"/>
                    </w:rPr>
                  </w:pPr>
                </w:p>
              </w:tc>
            </w:tr>
            <w:tr w14:paraId="3FFEB1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27" w:type="dxa"/>
                  <w:tcBorders>
                    <w:top w:val="single" w:color="auto" w:sz="4" w:space="0"/>
                    <w:left w:val="single" w:color="auto" w:sz="12" w:space="0"/>
                    <w:bottom w:val="single" w:color="auto" w:sz="12" w:space="0"/>
                    <w:right w:val="single" w:color="auto" w:sz="4" w:space="0"/>
                  </w:tcBorders>
                  <w:shd w:val="clear" w:color="auto" w:fill="auto"/>
                  <w:vAlign w:val="center"/>
                </w:tcPr>
                <w:p w14:paraId="6EB54F67">
                  <w:pPr>
                    <w:pStyle w:val="21"/>
                    <w:adjustRightInd w:val="0"/>
                    <w:snapToGrid w:val="0"/>
                    <w:spacing w:before="0" w:beforeAutospacing="0" w:after="0" w:afterAutospacing="0"/>
                    <w:jc w:val="center"/>
                  </w:pPr>
                  <w:r>
                    <w:rPr>
                      <w:rFonts w:hint="eastAsia" w:ascii="Times New Roman" w:hAnsi="Times New Roman" w:cs="宋体"/>
                      <w:kern w:val="0"/>
                      <w:sz w:val="21"/>
                      <w:szCs w:val="20"/>
                      <w:lang w:bidi="ar"/>
                    </w:rPr>
                    <w:t>工业治理领域</w:t>
                  </w:r>
                </w:p>
              </w:tc>
              <w:tc>
                <w:tcPr>
                  <w:tcW w:w="4052" w:type="dxa"/>
                  <w:tcBorders>
                    <w:top w:val="single" w:color="auto" w:sz="4" w:space="0"/>
                    <w:left w:val="single" w:color="auto" w:sz="4" w:space="0"/>
                    <w:bottom w:val="single" w:color="auto" w:sz="12" w:space="0"/>
                    <w:right w:val="single" w:color="auto" w:sz="4" w:space="0"/>
                  </w:tcBorders>
                  <w:shd w:val="clear" w:color="auto" w:fill="auto"/>
                  <w:vAlign w:val="center"/>
                </w:tcPr>
                <w:p w14:paraId="280746E8">
                  <w:pPr>
                    <w:pStyle w:val="21"/>
                    <w:adjustRightInd w:val="0"/>
                    <w:snapToGrid w:val="0"/>
                    <w:spacing w:before="0" w:beforeAutospacing="0" w:after="0" w:afterAutospacing="0"/>
                    <w:jc w:val="center"/>
                  </w:pPr>
                  <w:r>
                    <w:rPr>
                      <w:rFonts w:hint="eastAsia" w:ascii="Times New Roman" w:hAnsi="Times New Roman" w:cs="宋体"/>
                      <w:kern w:val="0"/>
                      <w:sz w:val="21"/>
                      <w:szCs w:val="20"/>
                      <w:lang w:bidi="ar"/>
                    </w:rPr>
                    <w:t>推进锅窑炉超低排放与深度治理。全面开展钢铁、水泥行业超低排放改造，深入开展锅炉窑炉深度治理和简易低效处理设施排查，对高排放重点行业开展专项整治。生物质锅炉使用专用炉具和成型燃料并配套高效治理设施，推动城市建成区生物质锅炉安装烟气在线监测设施。到</w:t>
                  </w:r>
                  <w:r>
                    <w:rPr>
                      <w:rFonts w:ascii="Times New Roman" w:hAnsi="Times New Roman"/>
                      <w:kern w:val="0"/>
                      <w:sz w:val="21"/>
                      <w:szCs w:val="20"/>
                      <w:lang w:bidi="ar"/>
                    </w:rPr>
                    <w:t>2025</w:t>
                  </w:r>
                  <w:r>
                    <w:rPr>
                      <w:rFonts w:hint="eastAsia" w:ascii="Times New Roman" w:hAnsi="Times New Roman" w:cs="宋体"/>
                      <w:kern w:val="0"/>
                      <w:sz w:val="21"/>
                      <w:szCs w:val="20"/>
                      <w:lang w:bidi="ar"/>
                    </w:rPr>
                    <w:t>年，全面完成钢铁和重点城市水泥企业超低排放改造。</w:t>
                  </w:r>
                </w:p>
              </w:tc>
              <w:tc>
                <w:tcPr>
                  <w:tcW w:w="2280" w:type="dxa"/>
                  <w:tcBorders>
                    <w:top w:val="single" w:color="auto" w:sz="4" w:space="0"/>
                    <w:left w:val="single" w:color="auto" w:sz="4" w:space="0"/>
                    <w:bottom w:val="single" w:color="auto" w:sz="12" w:space="0"/>
                    <w:right w:val="single" w:color="auto" w:sz="4" w:space="0"/>
                  </w:tcBorders>
                  <w:shd w:val="clear" w:color="auto" w:fill="auto"/>
                  <w:vAlign w:val="center"/>
                </w:tcPr>
                <w:p w14:paraId="5E87CCF8">
                  <w:pPr>
                    <w:pStyle w:val="21"/>
                    <w:adjustRightInd w:val="0"/>
                    <w:snapToGrid w:val="0"/>
                    <w:spacing w:before="0" w:beforeAutospacing="0" w:after="0" w:afterAutospacing="0"/>
                    <w:jc w:val="center"/>
                  </w:pPr>
                  <w:r>
                    <w:rPr>
                      <w:rFonts w:hint="eastAsia" w:ascii="Times New Roman" w:hAnsi="Times New Roman" w:cs="宋体"/>
                      <w:kern w:val="0"/>
                      <w:sz w:val="21"/>
                      <w:szCs w:val="20"/>
                      <w:lang w:bidi="ar"/>
                    </w:rPr>
                    <w:t>生物质气化锅炉采用低氮燃烧技术+布袋除尘处理后可达到《锅炉大气污染物排放标准》（</w:t>
                  </w:r>
                  <w:r>
                    <w:rPr>
                      <w:rFonts w:ascii="Times New Roman" w:hAnsi="Times New Roman"/>
                      <w:kern w:val="0"/>
                      <w:sz w:val="21"/>
                      <w:szCs w:val="20"/>
                      <w:lang w:bidi="ar"/>
                    </w:rPr>
                    <w:t>GB13271-2014</w:t>
                  </w:r>
                  <w:r>
                    <w:rPr>
                      <w:rFonts w:hint="eastAsia" w:ascii="Times New Roman" w:hAnsi="Times New Roman" w:cs="宋体"/>
                      <w:kern w:val="0"/>
                      <w:sz w:val="21"/>
                      <w:szCs w:val="20"/>
                      <w:lang w:bidi="ar"/>
                    </w:rPr>
                    <w:t>）中表</w:t>
                  </w:r>
                  <w:r>
                    <w:rPr>
                      <w:rFonts w:ascii="Times New Roman" w:hAnsi="Times New Roman"/>
                      <w:kern w:val="0"/>
                      <w:sz w:val="21"/>
                      <w:szCs w:val="20"/>
                      <w:lang w:bidi="ar"/>
                    </w:rPr>
                    <w:t>3</w:t>
                  </w:r>
                  <w:r>
                    <w:rPr>
                      <w:rFonts w:hint="eastAsia" w:ascii="Times New Roman" w:hAnsi="Times New Roman" w:cs="宋体"/>
                      <w:kern w:val="0"/>
                      <w:sz w:val="21"/>
                      <w:szCs w:val="20"/>
                      <w:lang w:bidi="ar"/>
                    </w:rPr>
                    <w:t>燃气锅炉大气污染物特别排放限值。</w:t>
                  </w:r>
                </w:p>
              </w:tc>
              <w:tc>
                <w:tcPr>
                  <w:tcW w:w="668" w:type="dxa"/>
                  <w:tcBorders>
                    <w:top w:val="single" w:color="auto" w:sz="4" w:space="0"/>
                    <w:left w:val="single" w:color="auto" w:sz="4" w:space="0"/>
                    <w:bottom w:val="single" w:color="auto" w:sz="12" w:space="0"/>
                    <w:right w:val="single" w:color="auto" w:sz="12" w:space="0"/>
                  </w:tcBorders>
                  <w:shd w:val="clear" w:color="auto" w:fill="auto"/>
                  <w:vAlign w:val="center"/>
                </w:tcPr>
                <w:p w14:paraId="3C08B362">
                  <w:pPr>
                    <w:pStyle w:val="21"/>
                    <w:adjustRightInd w:val="0"/>
                    <w:snapToGrid w:val="0"/>
                    <w:spacing w:before="0" w:beforeAutospacing="0" w:after="0" w:afterAutospacing="0"/>
                    <w:jc w:val="center"/>
                  </w:pPr>
                  <w:r>
                    <w:rPr>
                      <w:rFonts w:hint="eastAsia" w:ascii="Times New Roman" w:hAnsi="Times New Roman" w:cs="宋体"/>
                      <w:kern w:val="0"/>
                      <w:sz w:val="21"/>
                      <w:szCs w:val="20"/>
                      <w:lang w:bidi="ar"/>
                    </w:rPr>
                    <w:t>符合</w:t>
                  </w:r>
                </w:p>
              </w:tc>
            </w:tr>
          </w:tbl>
          <w:p w14:paraId="7DB13C04">
            <w:pPr>
              <w:widowControl/>
              <w:spacing w:line="360" w:lineRule="auto"/>
              <w:ind w:firstLine="480" w:firstLineChars="200"/>
              <w:rPr>
                <w:kern w:val="0"/>
                <w:sz w:val="24"/>
                <w:szCs w:val="24"/>
              </w:rPr>
            </w:pPr>
          </w:p>
          <w:p w14:paraId="06024810">
            <w:pPr>
              <w:widowControl/>
              <w:spacing w:line="360" w:lineRule="auto"/>
              <w:rPr>
                <w:b/>
                <w:bCs/>
                <w:kern w:val="0"/>
                <w:sz w:val="24"/>
                <w:szCs w:val="24"/>
                <w:u w:val="single"/>
              </w:rPr>
            </w:pPr>
            <w:r>
              <w:rPr>
                <w:rFonts w:hint="eastAsia"/>
                <w:b/>
                <w:bCs/>
                <w:kern w:val="0"/>
                <w:sz w:val="24"/>
                <w:szCs w:val="24"/>
              </w:rPr>
              <w:t xml:space="preserve">4 </w:t>
            </w:r>
            <w:r>
              <w:rPr>
                <w:rFonts w:hint="eastAsia"/>
                <w:b/>
                <w:bCs/>
                <w:kern w:val="0"/>
                <w:sz w:val="24"/>
                <w:szCs w:val="24"/>
                <w:u w:val="single"/>
              </w:rPr>
              <w:t>项目与《湖南省空气质量持续改善行动计划实施方案》湘政办发〔2024〕33号的符合性分析</w:t>
            </w:r>
          </w:p>
          <w:p w14:paraId="00DC5CF1">
            <w:pPr>
              <w:pStyle w:val="21"/>
              <w:widowControl w:val="0"/>
              <w:numPr>
                <w:ilvl w:val="4"/>
                <w:numId w:val="0"/>
              </w:numPr>
              <w:adjustRightInd w:val="0"/>
              <w:snapToGrid w:val="0"/>
              <w:spacing w:before="0" w:beforeAutospacing="0" w:after="0" w:afterAutospacing="0" w:line="360" w:lineRule="auto"/>
              <w:jc w:val="center"/>
              <w:outlineLvl w:val="3"/>
              <w:rPr>
                <w:szCs w:val="24"/>
                <w:u w:val="single"/>
              </w:rPr>
            </w:pPr>
            <w:r>
              <w:rPr>
                <w:rFonts w:ascii="Times New Roman" w:hAnsi="Times New Roman"/>
                <w:b/>
                <w:bCs/>
                <w:color w:val="000000"/>
                <w:szCs w:val="24"/>
                <w:u w:val="single"/>
              </w:rPr>
              <w:t>表1-</w:t>
            </w:r>
            <w:r>
              <w:rPr>
                <w:rFonts w:hint="eastAsia" w:ascii="Times New Roman" w:hAnsi="Times New Roman"/>
                <w:b/>
                <w:bCs/>
                <w:color w:val="000000"/>
                <w:szCs w:val="24"/>
                <w:u w:val="single"/>
              </w:rPr>
              <w:t>9</w:t>
            </w:r>
            <w:r>
              <w:rPr>
                <w:rFonts w:hint="eastAsia"/>
                <w:color w:val="000000"/>
                <w:szCs w:val="24"/>
                <w:u w:val="single"/>
              </w:rPr>
              <w:t xml:space="preserve"> </w:t>
            </w:r>
            <w:r>
              <w:rPr>
                <w:color w:val="000000"/>
                <w:szCs w:val="24"/>
                <w:u w:val="single"/>
              </w:rPr>
              <w:t xml:space="preserve"> </w:t>
            </w:r>
            <w:r>
              <w:rPr>
                <w:rFonts w:hint="eastAsia" w:ascii="Times New Roman" w:hAnsi="Times New Roman" w:cs="宋体"/>
                <w:b/>
                <w:kern w:val="0"/>
                <w:szCs w:val="24"/>
                <w:u w:val="single"/>
                <w:lang w:bidi="ar"/>
              </w:rPr>
              <w:t>项目与湘政办发〔2024〕33号符合性分析一览表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8"/>
              <w:gridCol w:w="3225"/>
              <w:gridCol w:w="2923"/>
              <w:gridCol w:w="991"/>
            </w:tblGrid>
            <w:tr w14:paraId="1EE789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688" w:type="dxa"/>
                  <w:vAlign w:val="center"/>
                </w:tcPr>
                <w:p w14:paraId="1F3332E9">
                  <w:pPr>
                    <w:widowControl/>
                    <w:jc w:val="center"/>
                    <w:rPr>
                      <w:b/>
                      <w:bCs/>
                      <w:kern w:val="0"/>
                      <w:szCs w:val="21"/>
                      <w:u w:val="single"/>
                    </w:rPr>
                  </w:pPr>
                  <w:r>
                    <w:rPr>
                      <w:rFonts w:hint="eastAsia"/>
                      <w:b/>
                      <w:bCs/>
                      <w:kern w:val="0"/>
                      <w:szCs w:val="21"/>
                      <w:u w:val="single"/>
                    </w:rPr>
                    <w:t>序号</w:t>
                  </w:r>
                </w:p>
              </w:tc>
              <w:tc>
                <w:tcPr>
                  <w:tcW w:w="3225" w:type="dxa"/>
                  <w:vAlign w:val="center"/>
                </w:tcPr>
                <w:p w14:paraId="583EED9B">
                  <w:pPr>
                    <w:widowControl/>
                    <w:jc w:val="center"/>
                    <w:rPr>
                      <w:b/>
                      <w:bCs/>
                      <w:kern w:val="0"/>
                      <w:szCs w:val="21"/>
                      <w:u w:val="single"/>
                    </w:rPr>
                  </w:pPr>
                  <w:r>
                    <w:rPr>
                      <w:rFonts w:hint="eastAsia"/>
                      <w:b/>
                      <w:bCs/>
                      <w:kern w:val="0"/>
                      <w:szCs w:val="21"/>
                      <w:u w:val="single"/>
                    </w:rPr>
                    <w:t>要求</w:t>
                  </w:r>
                </w:p>
              </w:tc>
              <w:tc>
                <w:tcPr>
                  <w:tcW w:w="2923" w:type="dxa"/>
                  <w:vAlign w:val="center"/>
                </w:tcPr>
                <w:p w14:paraId="5C0AFA18">
                  <w:pPr>
                    <w:widowControl/>
                    <w:jc w:val="center"/>
                    <w:rPr>
                      <w:b/>
                      <w:bCs/>
                      <w:kern w:val="0"/>
                      <w:szCs w:val="21"/>
                      <w:u w:val="single"/>
                    </w:rPr>
                  </w:pPr>
                  <w:r>
                    <w:rPr>
                      <w:rFonts w:hint="eastAsia"/>
                      <w:b/>
                      <w:bCs/>
                      <w:kern w:val="0"/>
                      <w:szCs w:val="21"/>
                      <w:u w:val="single"/>
                    </w:rPr>
                    <w:t>本项目情况</w:t>
                  </w:r>
                </w:p>
              </w:tc>
              <w:tc>
                <w:tcPr>
                  <w:tcW w:w="991" w:type="dxa"/>
                  <w:vAlign w:val="center"/>
                </w:tcPr>
                <w:p w14:paraId="7E061093">
                  <w:pPr>
                    <w:widowControl/>
                    <w:jc w:val="center"/>
                    <w:rPr>
                      <w:b/>
                      <w:bCs/>
                      <w:kern w:val="0"/>
                      <w:szCs w:val="21"/>
                      <w:u w:val="single"/>
                    </w:rPr>
                  </w:pPr>
                  <w:r>
                    <w:rPr>
                      <w:rFonts w:hint="eastAsia"/>
                      <w:b/>
                      <w:bCs/>
                      <w:kern w:val="0"/>
                      <w:szCs w:val="21"/>
                      <w:u w:val="single"/>
                    </w:rPr>
                    <w:t>是否</w:t>
                  </w:r>
                </w:p>
                <w:p w14:paraId="2144DE4C">
                  <w:pPr>
                    <w:widowControl/>
                    <w:jc w:val="center"/>
                    <w:rPr>
                      <w:b/>
                      <w:bCs/>
                      <w:kern w:val="0"/>
                      <w:szCs w:val="21"/>
                      <w:u w:val="single"/>
                    </w:rPr>
                  </w:pPr>
                  <w:r>
                    <w:rPr>
                      <w:rFonts w:hint="eastAsia"/>
                      <w:b/>
                      <w:bCs/>
                      <w:kern w:val="0"/>
                      <w:szCs w:val="21"/>
                      <w:u w:val="single"/>
                    </w:rPr>
                    <w:t>符合</w:t>
                  </w:r>
                </w:p>
              </w:tc>
            </w:tr>
            <w:tr w14:paraId="53EE9D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8" w:type="dxa"/>
                  <w:vAlign w:val="center"/>
                </w:tcPr>
                <w:p w14:paraId="40E42B5F">
                  <w:pPr>
                    <w:widowControl/>
                    <w:jc w:val="center"/>
                    <w:rPr>
                      <w:kern w:val="0"/>
                      <w:szCs w:val="21"/>
                      <w:u w:val="single"/>
                    </w:rPr>
                  </w:pPr>
                  <w:r>
                    <w:rPr>
                      <w:rFonts w:hint="eastAsia" w:ascii="宋体" w:hAnsi="宋体" w:cs="宋体"/>
                      <w:szCs w:val="21"/>
                      <w:u w:val="single"/>
                      <w:shd w:val="clear" w:color="auto" w:fill="FFFFFF"/>
                    </w:rPr>
                    <w:t>推进产业结构优化升级</w:t>
                  </w:r>
                </w:p>
              </w:tc>
              <w:tc>
                <w:tcPr>
                  <w:tcW w:w="3225" w:type="dxa"/>
                  <w:vAlign w:val="center"/>
                </w:tcPr>
                <w:p w14:paraId="169A1537">
                  <w:pPr>
                    <w:widowControl/>
                    <w:jc w:val="center"/>
                    <w:rPr>
                      <w:kern w:val="0"/>
                      <w:szCs w:val="21"/>
                      <w:u w:val="single"/>
                    </w:rPr>
                  </w:pPr>
                  <w:r>
                    <w:rPr>
                      <w:szCs w:val="21"/>
                      <w:u w:val="single"/>
                      <w:shd w:val="clear" w:color="auto" w:fill="FFFFFF"/>
                    </w:rPr>
                    <w:t>加快退出重点行业落后产能。严格执行《产业结构调整指导目录》，制定实施利用能耗、环保、质量、安全、技术等标准推动落后产能退出年度工作方案，加大重点行业落后产能淘汰力度，推动大规模设备更新，开展小型生物质锅炉清理整合。到2025年，全省砖瓦窑企业全部完成综合整治，基本完成2蒸吨/小时及以下生物质锅炉淘汰。</w:t>
                  </w:r>
                </w:p>
              </w:tc>
              <w:tc>
                <w:tcPr>
                  <w:tcW w:w="2923" w:type="dxa"/>
                  <w:vAlign w:val="center"/>
                </w:tcPr>
                <w:p w14:paraId="0CC8F3D8">
                  <w:pPr>
                    <w:widowControl/>
                    <w:jc w:val="center"/>
                    <w:rPr>
                      <w:kern w:val="0"/>
                      <w:szCs w:val="21"/>
                      <w:u w:val="single"/>
                    </w:rPr>
                  </w:pPr>
                  <w:r>
                    <w:rPr>
                      <w:rFonts w:hint="eastAsia"/>
                      <w:kern w:val="0"/>
                      <w:szCs w:val="21"/>
                      <w:u w:val="single"/>
                    </w:rPr>
                    <w:t>本项目新建一台6t/h的生物质气化锅炉，不属于淘汰的</w:t>
                  </w:r>
                  <w:r>
                    <w:rPr>
                      <w:szCs w:val="21"/>
                      <w:u w:val="single"/>
                      <w:shd w:val="clear" w:color="auto" w:fill="FFFFFF"/>
                    </w:rPr>
                    <w:t>2蒸吨/小时及以下生物质锅炉</w:t>
                  </w:r>
                </w:p>
              </w:tc>
              <w:tc>
                <w:tcPr>
                  <w:tcW w:w="991" w:type="dxa"/>
                  <w:vAlign w:val="center"/>
                </w:tcPr>
                <w:p w14:paraId="2E18E81A">
                  <w:pPr>
                    <w:widowControl/>
                    <w:jc w:val="center"/>
                    <w:rPr>
                      <w:kern w:val="0"/>
                      <w:szCs w:val="21"/>
                      <w:u w:val="single"/>
                    </w:rPr>
                  </w:pPr>
                  <w:r>
                    <w:rPr>
                      <w:rFonts w:hint="eastAsia"/>
                      <w:kern w:val="0"/>
                      <w:szCs w:val="21"/>
                      <w:u w:val="single"/>
                    </w:rPr>
                    <w:t>符合</w:t>
                  </w:r>
                </w:p>
              </w:tc>
            </w:tr>
            <w:tr w14:paraId="34DDDB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8" w:type="dxa"/>
                  <w:vAlign w:val="center"/>
                </w:tcPr>
                <w:p w14:paraId="4CD2832C">
                  <w:pPr>
                    <w:widowControl/>
                    <w:jc w:val="center"/>
                    <w:rPr>
                      <w:kern w:val="0"/>
                      <w:szCs w:val="21"/>
                      <w:u w:val="single"/>
                    </w:rPr>
                  </w:pPr>
                  <w:r>
                    <w:rPr>
                      <w:rFonts w:hint="eastAsia" w:ascii="宋体" w:hAnsi="宋体" w:cs="宋体"/>
                      <w:szCs w:val="21"/>
                      <w:u w:val="single"/>
                      <w:shd w:val="clear" w:color="auto" w:fill="FFFFFF"/>
                    </w:rPr>
                    <w:t>推进能源绿色低碳转型</w:t>
                  </w:r>
                </w:p>
              </w:tc>
              <w:tc>
                <w:tcPr>
                  <w:tcW w:w="3225" w:type="dxa"/>
                  <w:vAlign w:val="center"/>
                </w:tcPr>
                <w:p w14:paraId="0D807712">
                  <w:pPr>
                    <w:widowControl/>
                    <w:jc w:val="center"/>
                    <w:rPr>
                      <w:kern w:val="0"/>
                      <w:szCs w:val="21"/>
                      <w:u w:val="single"/>
                    </w:rPr>
                  </w:pPr>
                  <w:r>
                    <w:rPr>
                      <w:szCs w:val="21"/>
                      <w:u w:val="single"/>
                      <w:shd w:val="clear" w:color="auto" w:fill="FFFFFF"/>
                    </w:rPr>
                    <w:t>推进燃煤锅炉关停整合和散煤替代。县级及以上城市建成区原则上不再新建35蒸吨/小时及以下燃煤锅炉，加快重点城市35蒸吨/小时及以下燃煤锅炉淘汰，加大民用及农业散煤替代力度，高污染燃料禁燃区散煤动态清零。到2025年，全省基本淘汰燃煤热风炉、固定炉排燃煤锅炉和10蒸吨/小时及以下燃煤锅炉；完成燃煤烤烟房清洁能源替代12500座。发挥热电联产电厂供热能力，开展管网覆盖范围内燃煤锅炉、落后燃煤小热电机组（含自备电厂）和生物质锅炉关停或整合。</w:t>
                  </w:r>
                </w:p>
              </w:tc>
              <w:tc>
                <w:tcPr>
                  <w:tcW w:w="2923" w:type="dxa"/>
                  <w:vAlign w:val="center"/>
                </w:tcPr>
                <w:p w14:paraId="5C1872B2">
                  <w:pPr>
                    <w:widowControl/>
                    <w:jc w:val="center"/>
                    <w:rPr>
                      <w:kern w:val="0"/>
                      <w:szCs w:val="21"/>
                      <w:u w:val="single"/>
                    </w:rPr>
                  </w:pPr>
                  <w:r>
                    <w:rPr>
                      <w:rFonts w:hint="eastAsia"/>
                      <w:szCs w:val="21"/>
                      <w:u w:val="single"/>
                      <w:shd w:val="clear" w:color="auto" w:fill="FFFFFF"/>
                    </w:rPr>
                    <w:t>本项目不属于</w:t>
                  </w:r>
                  <w:r>
                    <w:rPr>
                      <w:szCs w:val="21"/>
                      <w:u w:val="single"/>
                      <w:shd w:val="clear" w:color="auto" w:fill="FFFFFF"/>
                    </w:rPr>
                    <w:t>淘汰燃煤热风炉、固定炉排燃煤锅炉和10蒸吨/小时及以下燃煤锅炉</w:t>
                  </w:r>
                </w:p>
              </w:tc>
              <w:tc>
                <w:tcPr>
                  <w:tcW w:w="991" w:type="dxa"/>
                  <w:vAlign w:val="center"/>
                </w:tcPr>
                <w:p w14:paraId="573CDC86">
                  <w:pPr>
                    <w:widowControl/>
                    <w:jc w:val="center"/>
                    <w:rPr>
                      <w:kern w:val="0"/>
                      <w:szCs w:val="21"/>
                      <w:u w:val="single"/>
                    </w:rPr>
                  </w:pPr>
                  <w:r>
                    <w:rPr>
                      <w:rFonts w:hint="eastAsia"/>
                      <w:kern w:val="0"/>
                      <w:szCs w:val="21"/>
                      <w:u w:val="single"/>
                    </w:rPr>
                    <w:t>符合</w:t>
                  </w:r>
                </w:p>
              </w:tc>
            </w:tr>
            <w:tr w14:paraId="02C1D5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8" w:type="dxa"/>
                  <w:vAlign w:val="center"/>
                </w:tcPr>
                <w:p w14:paraId="078A38F5">
                  <w:pPr>
                    <w:widowControl/>
                    <w:jc w:val="center"/>
                    <w:rPr>
                      <w:rFonts w:ascii="宋体" w:hAnsi="宋体" w:cs="宋体"/>
                      <w:szCs w:val="21"/>
                      <w:u w:val="single"/>
                      <w:shd w:val="clear" w:color="auto" w:fill="FFFFFF"/>
                    </w:rPr>
                  </w:pPr>
                  <w:r>
                    <w:rPr>
                      <w:rFonts w:hint="eastAsia"/>
                      <w:szCs w:val="21"/>
                      <w:u w:val="single"/>
                      <w:shd w:val="clear" w:color="auto" w:fill="FFFFFF"/>
                    </w:rPr>
                    <w:t>开展重点领域污染专项治理</w:t>
                  </w:r>
                </w:p>
              </w:tc>
              <w:tc>
                <w:tcPr>
                  <w:tcW w:w="3225" w:type="dxa"/>
                  <w:vAlign w:val="center"/>
                </w:tcPr>
                <w:p w14:paraId="4237A33A">
                  <w:pPr>
                    <w:widowControl/>
                    <w:jc w:val="center"/>
                    <w:rPr>
                      <w:szCs w:val="21"/>
                      <w:u w:val="single"/>
                      <w:shd w:val="clear" w:color="auto" w:fill="FFFFFF"/>
                    </w:rPr>
                  </w:pPr>
                  <w:r>
                    <w:rPr>
                      <w:rFonts w:hint="eastAsia"/>
                      <w:szCs w:val="21"/>
                      <w:u w:val="single"/>
                      <w:shd w:val="clear" w:color="auto" w:fill="FFFFFF"/>
                    </w:rPr>
                    <w:t>严格居民楼附近餐饮服务单位布局管理，完善部门协调联动的闭环管理体系，依法督促餐饮单位规范安装、运行和维护油烟净化设施。加强恶臭异味扰民问题排查整治，投诉集中的工业园区、重点企业要安装运行在线监测系统。推进化肥减量增效，持续开展绿色种养循环农业试点和畜禽标准化养殖。</w:t>
                  </w:r>
                </w:p>
              </w:tc>
              <w:tc>
                <w:tcPr>
                  <w:tcW w:w="2923" w:type="dxa"/>
                  <w:vAlign w:val="center"/>
                </w:tcPr>
                <w:p w14:paraId="79E81B7E">
                  <w:pPr>
                    <w:widowControl/>
                    <w:jc w:val="center"/>
                    <w:rPr>
                      <w:szCs w:val="21"/>
                      <w:u w:val="single"/>
                      <w:shd w:val="clear" w:color="auto" w:fill="FFFFFF"/>
                    </w:rPr>
                  </w:pPr>
                  <w:r>
                    <w:rPr>
                      <w:rFonts w:hint="eastAsia"/>
                      <w:szCs w:val="21"/>
                      <w:u w:val="single"/>
                      <w:shd w:val="clear" w:color="auto" w:fill="FFFFFF"/>
                    </w:rPr>
                    <w:t>本项目熬制工序油烟通过油烟净化装置能得到有效处置</w:t>
                  </w:r>
                </w:p>
              </w:tc>
              <w:tc>
                <w:tcPr>
                  <w:tcW w:w="991" w:type="dxa"/>
                  <w:vAlign w:val="center"/>
                </w:tcPr>
                <w:p w14:paraId="33684D70">
                  <w:pPr>
                    <w:widowControl/>
                    <w:jc w:val="center"/>
                    <w:rPr>
                      <w:kern w:val="0"/>
                      <w:szCs w:val="21"/>
                      <w:u w:val="single"/>
                    </w:rPr>
                  </w:pPr>
                  <w:r>
                    <w:rPr>
                      <w:rFonts w:hint="eastAsia"/>
                      <w:kern w:val="0"/>
                      <w:szCs w:val="21"/>
                      <w:u w:val="single"/>
                    </w:rPr>
                    <w:t>符合</w:t>
                  </w:r>
                </w:p>
              </w:tc>
            </w:tr>
          </w:tbl>
          <w:p w14:paraId="34A4DCF9">
            <w:pPr>
              <w:widowControl/>
              <w:spacing w:line="360" w:lineRule="auto"/>
              <w:rPr>
                <w:b/>
                <w:bCs/>
                <w:kern w:val="0"/>
                <w:sz w:val="24"/>
                <w:szCs w:val="24"/>
              </w:rPr>
            </w:pPr>
            <w:r>
              <w:rPr>
                <w:rFonts w:hint="eastAsia"/>
                <w:b/>
                <w:bCs/>
                <w:kern w:val="0"/>
                <w:sz w:val="24"/>
                <w:szCs w:val="24"/>
              </w:rPr>
              <w:t>5 项目与</w:t>
            </w:r>
            <w:r>
              <w:rPr>
                <w:b/>
                <w:bCs/>
                <w:kern w:val="0"/>
                <w:sz w:val="24"/>
                <w:szCs w:val="24"/>
              </w:rPr>
              <w:t>《长株潭及传输通道城市环境空气质量达标攻坚行动计划》湘政办发〔2023〕3号</w:t>
            </w:r>
          </w:p>
          <w:p w14:paraId="6E148638">
            <w:pPr>
              <w:widowControl/>
              <w:spacing w:line="360" w:lineRule="auto"/>
              <w:jc w:val="center"/>
              <w:rPr>
                <w:kern w:val="0"/>
                <w:sz w:val="24"/>
                <w:szCs w:val="24"/>
              </w:rPr>
            </w:pPr>
            <w:r>
              <w:rPr>
                <w:b/>
                <w:bCs/>
                <w:color w:val="000000"/>
                <w:sz w:val="24"/>
                <w:szCs w:val="24"/>
              </w:rPr>
              <w:t>表1-</w:t>
            </w:r>
            <w:r>
              <w:rPr>
                <w:rFonts w:hint="eastAsia"/>
                <w:b/>
                <w:bCs/>
                <w:color w:val="000000"/>
                <w:sz w:val="24"/>
                <w:szCs w:val="24"/>
              </w:rPr>
              <w:t>10</w:t>
            </w:r>
            <w:r>
              <w:rPr>
                <w:rFonts w:hint="eastAsia"/>
                <w:color w:val="000000"/>
                <w:sz w:val="24"/>
                <w:szCs w:val="24"/>
              </w:rPr>
              <w:t xml:space="preserve"> </w:t>
            </w:r>
            <w:r>
              <w:rPr>
                <w:rFonts w:ascii="宋体" w:hAnsi="宋体"/>
                <w:color w:val="000000"/>
                <w:sz w:val="24"/>
                <w:szCs w:val="24"/>
              </w:rPr>
              <w:t xml:space="preserve"> </w:t>
            </w:r>
            <w:r>
              <w:rPr>
                <w:rFonts w:hint="eastAsia" w:cs="宋体"/>
                <w:b/>
                <w:kern w:val="0"/>
                <w:sz w:val="24"/>
                <w:szCs w:val="24"/>
                <w:lang w:bidi="ar"/>
              </w:rPr>
              <w:t>项目与湘政办发〔2024〕33号符合性分析一览表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09"/>
              <w:gridCol w:w="3114"/>
              <w:gridCol w:w="3006"/>
              <w:gridCol w:w="918"/>
            </w:tblGrid>
            <w:tr w14:paraId="44264F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09" w:type="dxa"/>
                  <w:vAlign w:val="center"/>
                </w:tcPr>
                <w:p w14:paraId="37A73EBF">
                  <w:pPr>
                    <w:widowControl/>
                    <w:jc w:val="center"/>
                    <w:rPr>
                      <w:kern w:val="0"/>
                      <w:szCs w:val="21"/>
                    </w:rPr>
                  </w:pPr>
                  <w:r>
                    <w:rPr>
                      <w:rFonts w:hint="eastAsia"/>
                      <w:b/>
                      <w:bCs/>
                      <w:kern w:val="0"/>
                      <w:szCs w:val="21"/>
                    </w:rPr>
                    <w:t>序号</w:t>
                  </w:r>
                </w:p>
              </w:tc>
              <w:tc>
                <w:tcPr>
                  <w:tcW w:w="3114" w:type="dxa"/>
                  <w:vAlign w:val="center"/>
                </w:tcPr>
                <w:p w14:paraId="7116AB01">
                  <w:pPr>
                    <w:widowControl/>
                    <w:jc w:val="center"/>
                    <w:rPr>
                      <w:kern w:val="0"/>
                      <w:szCs w:val="21"/>
                    </w:rPr>
                  </w:pPr>
                  <w:r>
                    <w:rPr>
                      <w:rFonts w:hint="eastAsia"/>
                      <w:b/>
                      <w:bCs/>
                      <w:kern w:val="0"/>
                      <w:szCs w:val="21"/>
                    </w:rPr>
                    <w:t>要求</w:t>
                  </w:r>
                </w:p>
              </w:tc>
              <w:tc>
                <w:tcPr>
                  <w:tcW w:w="3006" w:type="dxa"/>
                  <w:vAlign w:val="center"/>
                </w:tcPr>
                <w:p w14:paraId="2FF11438">
                  <w:pPr>
                    <w:widowControl/>
                    <w:jc w:val="center"/>
                    <w:rPr>
                      <w:kern w:val="0"/>
                      <w:szCs w:val="21"/>
                    </w:rPr>
                  </w:pPr>
                  <w:r>
                    <w:rPr>
                      <w:rFonts w:hint="eastAsia"/>
                      <w:b/>
                      <w:bCs/>
                      <w:kern w:val="0"/>
                      <w:szCs w:val="21"/>
                    </w:rPr>
                    <w:t>本项目情况</w:t>
                  </w:r>
                </w:p>
              </w:tc>
              <w:tc>
                <w:tcPr>
                  <w:tcW w:w="918" w:type="dxa"/>
                  <w:vAlign w:val="center"/>
                </w:tcPr>
                <w:p w14:paraId="0CD9FD2B">
                  <w:pPr>
                    <w:widowControl/>
                    <w:jc w:val="center"/>
                    <w:rPr>
                      <w:b/>
                      <w:bCs/>
                      <w:kern w:val="0"/>
                      <w:szCs w:val="21"/>
                    </w:rPr>
                  </w:pPr>
                  <w:r>
                    <w:rPr>
                      <w:rFonts w:hint="eastAsia"/>
                      <w:b/>
                      <w:bCs/>
                      <w:kern w:val="0"/>
                      <w:szCs w:val="21"/>
                    </w:rPr>
                    <w:t>是否</w:t>
                  </w:r>
                </w:p>
                <w:p w14:paraId="0BEBE211">
                  <w:pPr>
                    <w:widowControl/>
                    <w:jc w:val="center"/>
                    <w:rPr>
                      <w:kern w:val="0"/>
                      <w:szCs w:val="21"/>
                    </w:rPr>
                  </w:pPr>
                  <w:r>
                    <w:rPr>
                      <w:rFonts w:hint="eastAsia"/>
                      <w:b/>
                      <w:bCs/>
                      <w:kern w:val="0"/>
                      <w:szCs w:val="21"/>
                    </w:rPr>
                    <w:t>符合</w:t>
                  </w:r>
                </w:p>
              </w:tc>
            </w:tr>
            <w:tr w14:paraId="79894B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09" w:type="dxa"/>
                  <w:vAlign w:val="center"/>
                </w:tcPr>
                <w:p w14:paraId="1971E20A">
                  <w:pPr>
                    <w:widowControl/>
                    <w:jc w:val="center"/>
                    <w:rPr>
                      <w:kern w:val="0"/>
                      <w:szCs w:val="21"/>
                    </w:rPr>
                  </w:pPr>
                  <w:r>
                    <w:rPr>
                      <w:kern w:val="0"/>
                      <w:szCs w:val="21"/>
                    </w:rPr>
                    <w:t>能源利用低碳化和高效化</w:t>
                  </w:r>
                </w:p>
              </w:tc>
              <w:tc>
                <w:tcPr>
                  <w:tcW w:w="3114" w:type="dxa"/>
                  <w:vAlign w:val="center"/>
                </w:tcPr>
                <w:p w14:paraId="0445E0D4">
                  <w:pPr>
                    <w:widowControl/>
                    <w:jc w:val="center"/>
                    <w:rPr>
                      <w:rFonts w:ascii="宋体" w:hAnsi="宋体" w:cs="宋体"/>
                      <w:kern w:val="0"/>
                      <w:szCs w:val="21"/>
                    </w:rPr>
                  </w:pPr>
                  <w:r>
                    <w:rPr>
                      <w:rFonts w:hint="eastAsia" w:ascii="宋体" w:hAnsi="宋体" w:cs="宋体"/>
                      <w:kern w:val="0"/>
                      <w:szCs w:val="21"/>
                    </w:rPr>
                    <w:t>严格控制煤炭消费总量，提高电煤消费占比，</w:t>
                  </w:r>
                  <w:r>
                    <w:rPr>
                      <w:rFonts w:hint="eastAsia" w:ascii="宋体" w:hAnsi="宋体" w:cs="宋体"/>
                      <w:b/>
                      <w:bCs/>
                      <w:kern w:val="0"/>
                      <w:szCs w:val="21"/>
                    </w:rPr>
                    <w:t>严厉打击禁燃区外违规销售燃用劣质散煤行为</w:t>
                  </w:r>
                  <w:r>
                    <w:rPr>
                      <w:rFonts w:hint="eastAsia" w:ascii="宋体" w:hAnsi="宋体" w:cs="宋体"/>
                      <w:kern w:val="0"/>
                      <w:szCs w:val="21"/>
                    </w:rPr>
                    <w:t>。有序推进“煤改气”“煤改电”，加快天然气在工业领域的应用，扩大居民商服用气市场；加快实施电能替代，推广使用工业电锅窑炉、电热釜等设备。推进长株潭综合能源示范中心建设。</w:t>
                  </w:r>
                </w:p>
              </w:tc>
              <w:tc>
                <w:tcPr>
                  <w:tcW w:w="3006" w:type="dxa"/>
                  <w:vAlign w:val="center"/>
                </w:tcPr>
                <w:p w14:paraId="3586C2E5">
                  <w:pPr>
                    <w:widowControl/>
                    <w:jc w:val="center"/>
                    <w:rPr>
                      <w:kern w:val="0"/>
                      <w:szCs w:val="21"/>
                    </w:rPr>
                  </w:pPr>
                  <w:r>
                    <w:rPr>
                      <w:rFonts w:hint="eastAsia"/>
                      <w:kern w:val="0"/>
                      <w:szCs w:val="21"/>
                    </w:rPr>
                    <w:t>本项目新建一台6t/h的生物质气化锅炉，采用生物质为燃料。</w:t>
                  </w:r>
                </w:p>
              </w:tc>
              <w:tc>
                <w:tcPr>
                  <w:tcW w:w="918" w:type="dxa"/>
                  <w:vAlign w:val="center"/>
                </w:tcPr>
                <w:p w14:paraId="7F20A3B4">
                  <w:pPr>
                    <w:widowControl/>
                    <w:jc w:val="center"/>
                    <w:rPr>
                      <w:kern w:val="0"/>
                      <w:szCs w:val="21"/>
                    </w:rPr>
                  </w:pPr>
                  <w:r>
                    <w:rPr>
                      <w:rFonts w:hint="eastAsia"/>
                      <w:kern w:val="0"/>
                      <w:szCs w:val="21"/>
                    </w:rPr>
                    <w:t>符合</w:t>
                  </w:r>
                </w:p>
              </w:tc>
            </w:tr>
          </w:tbl>
          <w:p w14:paraId="0F1A0CD5">
            <w:pPr>
              <w:widowControl/>
              <w:spacing w:line="360" w:lineRule="auto"/>
              <w:rPr>
                <w:kern w:val="0"/>
                <w:sz w:val="24"/>
                <w:szCs w:val="24"/>
                <w:u w:val="single"/>
              </w:rPr>
            </w:pPr>
            <w:r>
              <w:rPr>
                <w:rFonts w:hint="eastAsia"/>
                <w:b/>
                <w:bCs/>
                <w:kern w:val="0"/>
                <w:sz w:val="24"/>
                <w:szCs w:val="24"/>
                <w:u w:val="single"/>
              </w:rPr>
              <w:t>6 项目与《湖南省工业治理领域大气污染防治攻坚实施方案》(湘环发〔2023〕63号)符合性分析</w:t>
            </w:r>
          </w:p>
          <w:p w14:paraId="3E2CAFC4">
            <w:pPr>
              <w:widowControl/>
              <w:spacing w:line="360" w:lineRule="auto"/>
              <w:jc w:val="center"/>
              <w:rPr>
                <w:rFonts w:cs="宋体"/>
                <w:b/>
                <w:color w:val="FF0000"/>
                <w:kern w:val="0"/>
                <w:sz w:val="24"/>
                <w:szCs w:val="24"/>
                <w:u w:val="single"/>
                <w:lang w:bidi="ar"/>
              </w:rPr>
            </w:pPr>
            <w:r>
              <w:rPr>
                <w:rFonts w:hint="eastAsia"/>
                <w:b/>
                <w:bCs/>
                <w:kern w:val="0"/>
                <w:sz w:val="24"/>
                <w:szCs w:val="24"/>
                <w:u w:val="single"/>
                <w:lang w:bidi="ar"/>
              </w:rPr>
              <w:t>表1-11</w:t>
            </w:r>
            <w:r>
              <w:rPr>
                <w:b/>
                <w:bCs/>
                <w:kern w:val="0"/>
                <w:sz w:val="24"/>
                <w:szCs w:val="24"/>
                <w:u w:val="single"/>
                <w:lang w:bidi="ar"/>
              </w:rPr>
              <w:t xml:space="preserve">  </w:t>
            </w:r>
            <w:r>
              <w:rPr>
                <w:rFonts w:hint="eastAsia"/>
                <w:b/>
                <w:bCs/>
                <w:kern w:val="0"/>
                <w:sz w:val="24"/>
                <w:szCs w:val="24"/>
                <w:u w:val="single"/>
                <w:lang w:bidi="ar"/>
              </w:rPr>
              <w:t>项目</w:t>
            </w:r>
            <w:r>
              <w:rPr>
                <w:rFonts w:hint="eastAsia" w:cs="宋体"/>
                <w:b/>
                <w:bCs/>
                <w:kern w:val="0"/>
                <w:sz w:val="24"/>
                <w:szCs w:val="24"/>
                <w:u w:val="single"/>
                <w:lang w:bidi="ar"/>
              </w:rPr>
              <w:t>与</w:t>
            </w:r>
            <w:r>
              <w:rPr>
                <w:rFonts w:hint="eastAsia"/>
                <w:b/>
                <w:bCs/>
                <w:kern w:val="0"/>
                <w:sz w:val="24"/>
                <w:szCs w:val="24"/>
                <w:u w:val="single"/>
              </w:rPr>
              <w:t>(湘环发〔2023〕63号</w:t>
            </w:r>
            <w:r>
              <w:rPr>
                <w:rFonts w:hint="eastAsia" w:cs="宋体"/>
                <w:b/>
                <w:kern w:val="0"/>
                <w:sz w:val="24"/>
                <w:szCs w:val="24"/>
                <w:u w:val="single"/>
                <w:lang w:bidi="ar"/>
              </w:rPr>
              <w:t>符合性分析一览表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09"/>
              <w:gridCol w:w="3114"/>
              <w:gridCol w:w="3006"/>
              <w:gridCol w:w="918"/>
            </w:tblGrid>
            <w:tr w14:paraId="7DC02D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09" w:type="dxa"/>
                  <w:vAlign w:val="center"/>
                </w:tcPr>
                <w:p w14:paraId="071D31DD">
                  <w:pPr>
                    <w:widowControl/>
                    <w:jc w:val="center"/>
                    <w:rPr>
                      <w:kern w:val="0"/>
                      <w:szCs w:val="21"/>
                      <w:u w:val="single"/>
                    </w:rPr>
                  </w:pPr>
                  <w:r>
                    <w:rPr>
                      <w:b/>
                      <w:bCs/>
                      <w:kern w:val="0"/>
                      <w:szCs w:val="21"/>
                      <w:u w:val="single"/>
                    </w:rPr>
                    <w:t>序号</w:t>
                  </w:r>
                </w:p>
              </w:tc>
              <w:tc>
                <w:tcPr>
                  <w:tcW w:w="3114" w:type="dxa"/>
                  <w:vAlign w:val="center"/>
                </w:tcPr>
                <w:p w14:paraId="349A10FE">
                  <w:pPr>
                    <w:widowControl/>
                    <w:jc w:val="center"/>
                    <w:rPr>
                      <w:kern w:val="0"/>
                      <w:szCs w:val="21"/>
                      <w:u w:val="single"/>
                    </w:rPr>
                  </w:pPr>
                  <w:r>
                    <w:rPr>
                      <w:b/>
                      <w:bCs/>
                      <w:kern w:val="0"/>
                      <w:szCs w:val="21"/>
                      <w:u w:val="single"/>
                    </w:rPr>
                    <w:t>要求</w:t>
                  </w:r>
                </w:p>
              </w:tc>
              <w:tc>
                <w:tcPr>
                  <w:tcW w:w="3006" w:type="dxa"/>
                  <w:vAlign w:val="center"/>
                </w:tcPr>
                <w:p w14:paraId="75A09D62">
                  <w:pPr>
                    <w:widowControl/>
                    <w:jc w:val="center"/>
                    <w:rPr>
                      <w:kern w:val="0"/>
                      <w:szCs w:val="21"/>
                      <w:u w:val="single"/>
                    </w:rPr>
                  </w:pPr>
                  <w:r>
                    <w:rPr>
                      <w:b/>
                      <w:bCs/>
                      <w:kern w:val="0"/>
                      <w:szCs w:val="21"/>
                      <w:u w:val="single"/>
                    </w:rPr>
                    <w:t>本项目情况</w:t>
                  </w:r>
                </w:p>
              </w:tc>
              <w:tc>
                <w:tcPr>
                  <w:tcW w:w="918" w:type="dxa"/>
                  <w:vAlign w:val="center"/>
                </w:tcPr>
                <w:p w14:paraId="435CE79E">
                  <w:pPr>
                    <w:widowControl/>
                    <w:jc w:val="center"/>
                    <w:rPr>
                      <w:b/>
                      <w:bCs/>
                      <w:kern w:val="0"/>
                      <w:szCs w:val="21"/>
                      <w:u w:val="single"/>
                    </w:rPr>
                  </w:pPr>
                  <w:r>
                    <w:rPr>
                      <w:b/>
                      <w:bCs/>
                      <w:kern w:val="0"/>
                      <w:szCs w:val="21"/>
                      <w:u w:val="single"/>
                    </w:rPr>
                    <w:t>是否</w:t>
                  </w:r>
                </w:p>
                <w:p w14:paraId="64EAB308">
                  <w:pPr>
                    <w:widowControl/>
                    <w:jc w:val="center"/>
                    <w:rPr>
                      <w:kern w:val="0"/>
                      <w:szCs w:val="21"/>
                      <w:u w:val="single"/>
                    </w:rPr>
                  </w:pPr>
                  <w:r>
                    <w:rPr>
                      <w:b/>
                      <w:bCs/>
                      <w:kern w:val="0"/>
                      <w:szCs w:val="21"/>
                      <w:u w:val="single"/>
                    </w:rPr>
                    <w:t>符合</w:t>
                  </w:r>
                </w:p>
              </w:tc>
            </w:tr>
            <w:tr w14:paraId="603EDE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09" w:type="dxa"/>
                  <w:vAlign w:val="center"/>
                </w:tcPr>
                <w:p w14:paraId="2CDC56EB">
                  <w:pPr>
                    <w:widowControl/>
                    <w:jc w:val="center"/>
                    <w:rPr>
                      <w:kern w:val="0"/>
                      <w:szCs w:val="21"/>
                      <w:u w:val="single"/>
                    </w:rPr>
                  </w:pPr>
                  <w:r>
                    <w:rPr>
                      <w:kern w:val="0"/>
                      <w:szCs w:val="21"/>
                      <w:u w:val="single"/>
                    </w:rPr>
                    <w:t>有序推进其他重点行业深度治理改造</w:t>
                  </w:r>
                </w:p>
                <w:p w14:paraId="69C414FC">
                  <w:pPr>
                    <w:widowControl/>
                    <w:jc w:val="center"/>
                    <w:rPr>
                      <w:kern w:val="0"/>
                      <w:szCs w:val="21"/>
                      <w:u w:val="single"/>
                    </w:rPr>
                  </w:pPr>
                </w:p>
              </w:tc>
              <w:tc>
                <w:tcPr>
                  <w:tcW w:w="3114" w:type="dxa"/>
                  <w:vAlign w:val="center"/>
                </w:tcPr>
                <w:p w14:paraId="74041E30">
                  <w:pPr>
                    <w:widowControl/>
                    <w:jc w:val="center"/>
                    <w:rPr>
                      <w:kern w:val="0"/>
                      <w:szCs w:val="21"/>
                      <w:u w:val="single"/>
                    </w:rPr>
                  </w:pPr>
                  <w:r>
                    <w:rPr>
                      <w:kern w:val="0"/>
                      <w:szCs w:val="21"/>
                      <w:u w:val="single"/>
                    </w:rPr>
                    <w:t>全面开展简易低效处理设施排查与升级改造，推动低效除尘、脱硫、脱硝等治理设施提升改造。各地对采用脱硫脱硝一体化、湿法脱硝、微生物法脱硝等治理工艺的炉窑进行排查抽测，督促</w:t>
                  </w:r>
                </w:p>
                <w:p w14:paraId="60803EFE">
                  <w:pPr>
                    <w:widowControl/>
                    <w:jc w:val="center"/>
                    <w:rPr>
                      <w:kern w:val="0"/>
                      <w:szCs w:val="21"/>
                      <w:u w:val="single"/>
                    </w:rPr>
                  </w:pPr>
                  <w:r>
                    <w:rPr>
                      <w:kern w:val="0"/>
                      <w:szCs w:val="21"/>
                      <w:u w:val="single"/>
                    </w:rPr>
                    <w:t>不能稳定达标的整改，推动达标无望或治理难度大的改用电能。督促脱硝工程建设较早、技术水平偏低、氨逃逸率较高的炉窑开展脱硝系统升级优化。指导督促企业严格控制氨逃逸，坚决查处</w:t>
                  </w:r>
                </w:p>
                <w:p w14:paraId="1A059D23">
                  <w:pPr>
                    <w:widowControl/>
                    <w:jc w:val="center"/>
                    <w:rPr>
                      <w:b/>
                      <w:bCs/>
                      <w:kern w:val="0"/>
                      <w:szCs w:val="21"/>
                      <w:u w:val="single"/>
                    </w:rPr>
                  </w:pPr>
                  <w:r>
                    <w:rPr>
                      <w:kern w:val="0"/>
                      <w:szCs w:val="21"/>
                      <w:u w:val="single"/>
                    </w:rPr>
                    <w:t>脱硝设施擅自停喷氨水、尿素等还原剂的行为；禁止过度喷氨，脱硝设施氨逃逸浓度原则上控制在 8 毫克/立方米以下。</w:t>
                  </w:r>
                  <w:r>
                    <w:rPr>
                      <w:b/>
                      <w:bCs/>
                      <w:kern w:val="0"/>
                      <w:szCs w:val="21"/>
                      <w:u w:val="single"/>
                    </w:rPr>
                    <w:t xml:space="preserve">鼓励采用低氮燃烧、选择性催化还原(SCR)、选择性非催化还原（SNCR） </w:t>
                  </w:r>
                </w:p>
                <w:p w14:paraId="5D92D1FC">
                  <w:pPr>
                    <w:widowControl/>
                    <w:jc w:val="center"/>
                    <w:rPr>
                      <w:kern w:val="0"/>
                      <w:szCs w:val="21"/>
                      <w:u w:val="single"/>
                    </w:rPr>
                  </w:pPr>
                  <w:r>
                    <w:rPr>
                      <w:b/>
                      <w:bCs/>
                      <w:kern w:val="0"/>
                      <w:szCs w:val="21"/>
                      <w:u w:val="single"/>
                    </w:rPr>
                    <w:t>等成熟技术。</w:t>
                  </w:r>
                  <w:r>
                    <w:rPr>
                      <w:kern w:val="0"/>
                      <w:szCs w:val="21"/>
                      <w:u w:val="single"/>
                    </w:rPr>
                    <w:t>加快推动玻璃、地板砖等建材行业企业以及有色冶炼行业</w:t>
                  </w:r>
                  <w:r>
                    <w:rPr>
                      <w:rFonts w:hint="eastAsia" w:ascii="宋体" w:hAnsi="宋体" w:cs="宋体"/>
                      <w:kern w:val="0"/>
                      <w:szCs w:val="21"/>
                      <w:u w:val="single"/>
                    </w:rPr>
                    <w:t>“煤改气”</w:t>
                  </w:r>
                  <w:r>
                    <w:rPr>
                      <w:kern w:val="0"/>
                      <w:szCs w:val="21"/>
                      <w:u w:val="single"/>
                    </w:rPr>
                    <w:t>，依法依规推进煤气发生炉有序退出，全面实施玻璃、铸造等行业污染物排放标准，发布实施《湖南省工业炉窑大气污染物排放标准》，推进其他涉气行业实施炉窑深度治理或清洁能源替代。陶瓷行业参照重点区域治理要求排放浓度力争不高于100毫克/立方米。运用产业政策和环保标准关停、整治砖瓦企业，</w:t>
                  </w:r>
                  <w:r>
                    <w:rPr>
                      <w:b/>
                      <w:bCs/>
                      <w:kern w:val="0"/>
                      <w:szCs w:val="21"/>
                      <w:u w:val="single"/>
                    </w:rPr>
                    <w:t>2025年底前保留的砖瓦企业全部完成高效脱硫除尘改造，安装在线监控设施和电力监控设施并与生态环境部门联网</w:t>
                  </w:r>
                  <w:r>
                    <w:rPr>
                      <w:kern w:val="0"/>
                      <w:szCs w:val="21"/>
                      <w:u w:val="single"/>
                    </w:rPr>
                    <w:t>。</w:t>
                  </w:r>
                </w:p>
                <w:p w14:paraId="1DCA0D43">
                  <w:pPr>
                    <w:widowControl/>
                    <w:jc w:val="center"/>
                    <w:rPr>
                      <w:kern w:val="0"/>
                      <w:szCs w:val="21"/>
                      <w:u w:val="single"/>
                    </w:rPr>
                  </w:pPr>
                </w:p>
              </w:tc>
              <w:tc>
                <w:tcPr>
                  <w:tcW w:w="3006" w:type="dxa"/>
                  <w:vAlign w:val="center"/>
                </w:tcPr>
                <w:p w14:paraId="2A3B615B">
                  <w:pPr>
                    <w:widowControl/>
                    <w:jc w:val="center"/>
                    <w:rPr>
                      <w:kern w:val="0"/>
                      <w:szCs w:val="21"/>
                      <w:u w:val="single"/>
                    </w:rPr>
                  </w:pPr>
                  <w:r>
                    <w:rPr>
                      <w:kern w:val="0"/>
                      <w:szCs w:val="21"/>
                      <w:u w:val="single"/>
                    </w:rPr>
                    <w:t>本项目新建一台6t/h的生物质气化锅炉，采用生物质为燃料。</w:t>
                  </w:r>
                  <w:r>
                    <w:rPr>
                      <w:rFonts w:hint="eastAsia"/>
                      <w:kern w:val="0"/>
                      <w:szCs w:val="21"/>
                      <w:u w:val="single"/>
                    </w:rPr>
                    <w:t>生</w:t>
                  </w:r>
                  <w:r>
                    <w:rPr>
                      <w:kern w:val="0"/>
                      <w:szCs w:val="21"/>
                      <w:u w:val="single"/>
                    </w:rPr>
                    <w:t>物质气化锅炉废气经低氮燃烧+布袋除尘处理后通过一根21m高排气筒排放</w:t>
                  </w:r>
                  <w:r>
                    <w:rPr>
                      <w:rFonts w:hint="eastAsia"/>
                      <w:kern w:val="0"/>
                      <w:szCs w:val="21"/>
                      <w:u w:val="single"/>
                    </w:rPr>
                    <w:t>。</w:t>
                  </w:r>
                </w:p>
              </w:tc>
              <w:tc>
                <w:tcPr>
                  <w:tcW w:w="918" w:type="dxa"/>
                  <w:vAlign w:val="center"/>
                </w:tcPr>
                <w:p w14:paraId="64723D6C">
                  <w:pPr>
                    <w:widowControl/>
                    <w:jc w:val="center"/>
                    <w:rPr>
                      <w:kern w:val="0"/>
                      <w:szCs w:val="21"/>
                      <w:u w:val="single"/>
                    </w:rPr>
                  </w:pPr>
                  <w:r>
                    <w:rPr>
                      <w:kern w:val="0"/>
                      <w:szCs w:val="21"/>
                      <w:u w:val="single"/>
                    </w:rPr>
                    <w:t>符合</w:t>
                  </w:r>
                </w:p>
              </w:tc>
            </w:tr>
            <w:tr w14:paraId="455304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09" w:type="dxa"/>
                  <w:vAlign w:val="center"/>
                </w:tcPr>
                <w:p w14:paraId="1281B885">
                  <w:pPr>
                    <w:widowControl/>
                    <w:jc w:val="center"/>
                    <w:rPr>
                      <w:kern w:val="0"/>
                      <w:szCs w:val="21"/>
                      <w:u w:val="single"/>
                    </w:rPr>
                  </w:pPr>
                </w:p>
              </w:tc>
              <w:tc>
                <w:tcPr>
                  <w:tcW w:w="3114" w:type="dxa"/>
                  <w:vAlign w:val="center"/>
                </w:tcPr>
                <w:p w14:paraId="1335D3DF">
                  <w:pPr>
                    <w:widowControl/>
                    <w:jc w:val="center"/>
                    <w:rPr>
                      <w:b/>
                      <w:bCs/>
                      <w:kern w:val="0"/>
                      <w:szCs w:val="21"/>
                      <w:u w:val="single"/>
                    </w:rPr>
                  </w:pPr>
                  <w:r>
                    <w:rPr>
                      <w:kern w:val="0"/>
                      <w:szCs w:val="21"/>
                      <w:u w:val="single"/>
                    </w:rPr>
                    <w:t>县级及以上城市建成区原则上</w:t>
                  </w:r>
                  <w:r>
                    <w:rPr>
                      <w:b/>
                      <w:bCs/>
                      <w:kern w:val="0"/>
                      <w:szCs w:val="21"/>
                      <w:u w:val="single"/>
                    </w:rPr>
                    <w:t>不再新建35蒸吨及以下的燃煤锅炉，大力推进使用清洁能源或电厂热力、工业余热等替代锅炉用煤，逐步淘汰热力、燃气管网覆盖范围内的燃煤和生物质锅炉。</w:t>
                  </w:r>
                  <w:r>
                    <w:rPr>
                      <w:kern w:val="0"/>
                      <w:szCs w:val="21"/>
                      <w:u w:val="single"/>
                    </w:rPr>
                    <w:t>生物质锅炉使用专用炉具和成型燃料，禁止掺烧其他燃料，配套高效除尘设施，对未纳入淘汰计划的4蒸吨及以上生物质锅炉安装烟气在线监控设施。2023年起，</w:t>
                  </w:r>
                  <w:r>
                    <w:rPr>
                      <w:b/>
                      <w:bCs/>
                      <w:kern w:val="0"/>
                      <w:szCs w:val="21"/>
                      <w:u w:val="single"/>
                    </w:rPr>
                    <w:t>新建燃气锅炉全部采用低氮燃烧器，推进现有燃气锅炉实施低氮燃烧改造，到2025年底，城区燃气锅炉全部完成低氮燃烧改造，NOx排放浓度控制在50mg/m</w:t>
                  </w:r>
                  <w:r>
                    <w:rPr>
                      <w:b/>
                      <w:bCs/>
                      <w:kern w:val="0"/>
                      <w:szCs w:val="21"/>
                      <w:u w:val="single"/>
                      <w:vertAlign w:val="superscript"/>
                    </w:rPr>
                    <w:t>3</w:t>
                  </w:r>
                  <w:r>
                    <w:rPr>
                      <w:b/>
                      <w:bCs/>
                      <w:kern w:val="0"/>
                      <w:szCs w:val="21"/>
                      <w:u w:val="single"/>
                    </w:rPr>
                    <w:t>以内；65 蒸吨以上的燃煤锅炉全部完成超低排放改造，</w:t>
                  </w:r>
                </w:p>
                <w:p w14:paraId="216CE738">
                  <w:pPr>
                    <w:widowControl/>
                    <w:jc w:val="center"/>
                    <w:rPr>
                      <w:b/>
                      <w:bCs/>
                      <w:kern w:val="0"/>
                      <w:szCs w:val="21"/>
                      <w:u w:val="single"/>
                    </w:rPr>
                  </w:pPr>
                  <w:r>
                    <w:rPr>
                      <w:b/>
                      <w:bCs/>
                      <w:kern w:val="0"/>
                      <w:szCs w:val="21"/>
                      <w:u w:val="single"/>
                    </w:rPr>
                    <w:t>NOx、SO</w:t>
                  </w:r>
                  <w:r>
                    <w:rPr>
                      <w:b/>
                      <w:bCs/>
                      <w:kern w:val="0"/>
                      <w:szCs w:val="21"/>
                      <w:u w:val="single"/>
                      <w:vertAlign w:val="subscript"/>
                    </w:rPr>
                    <w:t>2</w:t>
                  </w:r>
                  <w:r>
                    <w:rPr>
                      <w:b/>
                      <w:bCs/>
                      <w:kern w:val="0"/>
                      <w:szCs w:val="21"/>
                      <w:u w:val="single"/>
                    </w:rPr>
                    <w:t>、颗粒物排放浓度分别控制在50、35、10mg/m</w:t>
                  </w:r>
                  <w:r>
                    <w:rPr>
                      <w:b/>
                      <w:bCs/>
                      <w:kern w:val="0"/>
                      <w:szCs w:val="21"/>
                      <w:u w:val="single"/>
                      <w:vertAlign w:val="superscript"/>
                    </w:rPr>
                    <w:t>3</w:t>
                  </w:r>
                  <w:r>
                    <w:rPr>
                      <w:b/>
                      <w:bCs/>
                      <w:kern w:val="0"/>
                      <w:szCs w:val="21"/>
                      <w:u w:val="single"/>
                    </w:rPr>
                    <w:t>以内。</w:t>
                  </w:r>
                </w:p>
                <w:p w14:paraId="2DB4AA40">
                  <w:pPr>
                    <w:widowControl/>
                    <w:jc w:val="center"/>
                    <w:rPr>
                      <w:kern w:val="0"/>
                      <w:szCs w:val="21"/>
                      <w:u w:val="single"/>
                    </w:rPr>
                  </w:pPr>
                </w:p>
              </w:tc>
              <w:tc>
                <w:tcPr>
                  <w:tcW w:w="3006" w:type="dxa"/>
                  <w:vAlign w:val="center"/>
                </w:tcPr>
                <w:p w14:paraId="5AC4F34B">
                  <w:pPr>
                    <w:widowControl/>
                    <w:jc w:val="center"/>
                    <w:rPr>
                      <w:kern w:val="0"/>
                      <w:szCs w:val="21"/>
                      <w:u w:val="single"/>
                    </w:rPr>
                  </w:pPr>
                  <w:r>
                    <w:rPr>
                      <w:rFonts w:hint="eastAsia"/>
                      <w:kern w:val="0"/>
                      <w:szCs w:val="21"/>
                      <w:u w:val="single"/>
                    </w:rPr>
                    <w:t>本项目使用水、电、气做能源，设置1台生物质气化锅炉供热（6t/h），本项目所在区域暂未覆盖集中供热；生物质气化锅炉使用散型生物质颗粒作为燃料，</w:t>
                  </w:r>
                  <w:r>
                    <w:rPr>
                      <w:rFonts w:hint="eastAsia"/>
                      <w:b/>
                      <w:bCs/>
                      <w:kern w:val="0"/>
                      <w:szCs w:val="21"/>
                      <w:u w:val="single"/>
                    </w:rPr>
                    <w:t>项目生物质气化锅炉配套的燃气锅炉使用低氮燃烧器</w:t>
                  </w:r>
                  <w:r>
                    <w:rPr>
                      <w:rFonts w:hint="eastAsia"/>
                      <w:kern w:val="0"/>
                      <w:szCs w:val="21"/>
                      <w:u w:val="single"/>
                    </w:rPr>
                    <w:t>。</w:t>
                  </w:r>
                </w:p>
              </w:tc>
              <w:tc>
                <w:tcPr>
                  <w:tcW w:w="918" w:type="dxa"/>
                  <w:vAlign w:val="center"/>
                </w:tcPr>
                <w:p w14:paraId="4C6C934B">
                  <w:pPr>
                    <w:widowControl/>
                    <w:jc w:val="center"/>
                    <w:rPr>
                      <w:kern w:val="0"/>
                      <w:szCs w:val="21"/>
                      <w:u w:val="single"/>
                    </w:rPr>
                  </w:pPr>
                </w:p>
              </w:tc>
            </w:tr>
          </w:tbl>
          <w:p w14:paraId="204D4AF2">
            <w:pPr>
              <w:widowControl/>
              <w:spacing w:line="360" w:lineRule="auto"/>
              <w:jc w:val="center"/>
              <w:rPr>
                <w:rFonts w:cs="宋体"/>
                <w:b/>
                <w:kern w:val="0"/>
                <w:sz w:val="24"/>
                <w:szCs w:val="24"/>
                <w:lang w:bidi="ar"/>
              </w:rPr>
            </w:pPr>
          </w:p>
          <w:p w14:paraId="1708899E">
            <w:pPr>
              <w:widowControl/>
              <w:spacing w:line="360" w:lineRule="auto"/>
              <w:jc w:val="left"/>
            </w:pPr>
            <w:r>
              <w:rPr>
                <w:rFonts w:hint="eastAsia" w:cs="宋体"/>
                <w:b/>
                <w:bCs/>
                <w:kern w:val="0"/>
                <w:sz w:val="24"/>
                <w:szCs w:val="24"/>
                <w:lang w:bidi="ar"/>
              </w:rPr>
              <w:t>7 项目与《食品生产通用卫生规范》（</w:t>
            </w:r>
            <w:r>
              <w:rPr>
                <w:b/>
                <w:bCs/>
                <w:kern w:val="0"/>
                <w:sz w:val="24"/>
                <w:szCs w:val="24"/>
                <w:lang w:bidi="ar"/>
              </w:rPr>
              <w:t>GB14881-2013</w:t>
            </w:r>
            <w:r>
              <w:rPr>
                <w:rFonts w:hint="eastAsia" w:cs="宋体"/>
                <w:b/>
                <w:bCs/>
                <w:kern w:val="0"/>
                <w:sz w:val="24"/>
                <w:szCs w:val="24"/>
                <w:lang w:bidi="ar"/>
              </w:rPr>
              <w:t>）符合性分析</w:t>
            </w:r>
            <w:r>
              <w:rPr>
                <w:b/>
                <w:bCs/>
                <w:kern w:val="0"/>
                <w:sz w:val="24"/>
                <w:szCs w:val="24"/>
                <w:lang w:bidi="ar"/>
              </w:rPr>
              <w:t xml:space="preserve"> </w:t>
            </w:r>
          </w:p>
          <w:p w14:paraId="700E2FB2">
            <w:pPr>
              <w:widowControl/>
              <w:spacing w:line="360" w:lineRule="auto"/>
              <w:ind w:firstLine="480" w:firstLineChars="200"/>
              <w:rPr>
                <w:rFonts w:cs="宋体"/>
                <w:kern w:val="0"/>
                <w:sz w:val="24"/>
                <w:szCs w:val="24"/>
                <w:lang w:bidi="ar"/>
              </w:rPr>
            </w:pPr>
            <w:r>
              <w:rPr>
                <w:rFonts w:hint="eastAsia" w:cs="宋体"/>
                <w:kern w:val="0"/>
                <w:sz w:val="24"/>
                <w:szCs w:val="24"/>
                <w:lang w:bidi="ar"/>
              </w:rPr>
              <w:t>本项目与《食品生产通用卫生规范》（</w:t>
            </w:r>
            <w:r>
              <w:rPr>
                <w:kern w:val="0"/>
                <w:sz w:val="24"/>
                <w:szCs w:val="24"/>
                <w:lang w:bidi="ar"/>
              </w:rPr>
              <w:t>GB14881-2013</w:t>
            </w:r>
            <w:r>
              <w:rPr>
                <w:rFonts w:hint="eastAsia" w:cs="宋体"/>
                <w:kern w:val="0"/>
                <w:sz w:val="24"/>
                <w:szCs w:val="24"/>
                <w:lang w:bidi="ar"/>
              </w:rPr>
              <w:t>）相符性分析见下表。</w:t>
            </w:r>
          </w:p>
          <w:p w14:paraId="4C3EC6F5">
            <w:pPr>
              <w:widowControl/>
              <w:spacing w:line="360" w:lineRule="auto"/>
              <w:jc w:val="center"/>
              <w:rPr>
                <w:b/>
                <w:bCs/>
                <w:kern w:val="0"/>
                <w:sz w:val="24"/>
                <w:szCs w:val="24"/>
                <w:lang w:bidi="ar"/>
              </w:rPr>
            </w:pPr>
            <w:r>
              <w:rPr>
                <w:rFonts w:hint="eastAsia"/>
                <w:b/>
                <w:bCs/>
                <w:kern w:val="0"/>
                <w:sz w:val="24"/>
                <w:szCs w:val="24"/>
                <w:lang w:bidi="ar"/>
              </w:rPr>
              <w:t>表1-12</w:t>
            </w:r>
            <w:r>
              <w:rPr>
                <w:b/>
                <w:bCs/>
                <w:kern w:val="0"/>
                <w:sz w:val="24"/>
                <w:szCs w:val="24"/>
                <w:lang w:bidi="ar"/>
              </w:rPr>
              <w:t xml:space="preserve">  </w:t>
            </w:r>
            <w:r>
              <w:rPr>
                <w:rFonts w:hint="eastAsia" w:cs="宋体"/>
                <w:b/>
                <w:bCs/>
                <w:kern w:val="0"/>
                <w:sz w:val="24"/>
                <w:szCs w:val="24"/>
                <w:lang w:bidi="ar"/>
              </w:rPr>
              <w:t>与《食品生产通用卫生规范》（</w:t>
            </w:r>
            <w:r>
              <w:rPr>
                <w:b/>
                <w:bCs/>
                <w:kern w:val="0"/>
                <w:sz w:val="24"/>
                <w:szCs w:val="24"/>
                <w:lang w:bidi="ar"/>
              </w:rPr>
              <w:t>GB14881-2013</w:t>
            </w:r>
            <w:r>
              <w:rPr>
                <w:rFonts w:hint="eastAsia" w:cs="宋体"/>
                <w:b/>
                <w:bCs/>
                <w:kern w:val="0"/>
                <w:sz w:val="24"/>
                <w:szCs w:val="24"/>
                <w:lang w:bidi="ar"/>
              </w:rPr>
              <w:t>）相符性分析一览表</w:t>
            </w:r>
          </w:p>
          <w:tbl>
            <w:tblPr>
              <w:tblStyle w:val="24"/>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94"/>
              <w:gridCol w:w="3382"/>
              <w:gridCol w:w="2075"/>
              <w:gridCol w:w="1274"/>
            </w:tblGrid>
            <w:tr w14:paraId="4F87BE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pct"/>
                  <w:tcBorders>
                    <w:bottom w:val="single" w:color="auto" w:sz="4" w:space="0"/>
                    <w:right w:val="single" w:color="auto" w:sz="4" w:space="0"/>
                  </w:tcBorders>
                  <w:shd w:val="clear" w:color="auto" w:fill="auto"/>
                  <w:vAlign w:val="center"/>
                </w:tcPr>
                <w:p w14:paraId="718ED2D6">
                  <w:pPr>
                    <w:widowControl/>
                    <w:jc w:val="center"/>
                    <w:rPr>
                      <w:rFonts w:ascii="宋体" w:hAnsi="宋体" w:cs="宋体"/>
                      <w:b/>
                      <w:bCs/>
                      <w:kern w:val="0"/>
                      <w:szCs w:val="21"/>
                      <w:lang w:bidi="ar"/>
                    </w:rPr>
                  </w:pPr>
                  <w:r>
                    <w:rPr>
                      <w:rFonts w:hint="eastAsia" w:ascii="宋体" w:hAnsi="宋体" w:cs="宋体"/>
                      <w:b/>
                      <w:bCs/>
                      <w:kern w:val="0"/>
                      <w:szCs w:val="21"/>
                      <w:lang w:bidi="ar"/>
                    </w:rPr>
                    <w:t>项目</w:t>
                  </w:r>
                </w:p>
              </w:tc>
              <w:tc>
                <w:tcPr>
                  <w:tcW w:w="2160" w:type="pct"/>
                  <w:tcBorders>
                    <w:left w:val="single" w:color="auto" w:sz="4" w:space="0"/>
                    <w:bottom w:val="single" w:color="auto" w:sz="4" w:space="0"/>
                    <w:right w:val="single" w:color="auto" w:sz="4" w:space="0"/>
                  </w:tcBorders>
                  <w:shd w:val="clear" w:color="auto" w:fill="auto"/>
                  <w:vAlign w:val="center"/>
                </w:tcPr>
                <w:p w14:paraId="158EF7C5">
                  <w:pPr>
                    <w:widowControl/>
                    <w:jc w:val="center"/>
                    <w:rPr>
                      <w:rFonts w:ascii="宋体" w:hAnsi="宋体" w:cs="宋体"/>
                      <w:b/>
                      <w:bCs/>
                      <w:kern w:val="0"/>
                      <w:szCs w:val="21"/>
                      <w:lang w:bidi="ar"/>
                    </w:rPr>
                  </w:pPr>
                  <w:r>
                    <w:rPr>
                      <w:rFonts w:hint="eastAsia" w:ascii="宋体" w:hAnsi="宋体" w:cs="宋体"/>
                      <w:b/>
                      <w:bCs/>
                      <w:kern w:val="0"/>
                      <w:szCs w:val="21"/>
                      <w:lang w:bidi="ar"/>
                    </w:rPr>
                    <w:t>规定</w:t>
                  </w:r>
                </w:p>
              </w:tc>
              <w:tc>
                <w:tcPr>
                  <w:tcW w:w="1325" w:type="pct"/>
                  <w:tcBorders>
                    <w:left w:val="single" w:color="auto" w:sz="4" w:space="0"/>
                    <w:bottom w:val="single" w:color="auto" w:sz="4" w:space="0"/>
                    <w:right w:val="single" w:color="auto" w:sz="4" w:space="0"/>
                  </w:tcBorders>
                  <w:shd w:val="clear" w:color="auto" w:fill="auto"/>
                  <w:vAlign w:val="center"/>
                </w:tcPr>
                <w:p w14:paraId="090D1654">
                  <w:pPr>
                    <w:widowControl/>
                    <w:jc w:val="center"/>
                    <w:rPr>
                      <w:rFonts w:ascii="宋体" w:hAnsi="宋体" w:cs="宋体"/>
                      <w:b/>
                      <w:bCs/>
                      <w:kern w:val="0"/>
                      <w:szCs w:val="21"/>
                      <w:lang w:bidi="ar"/>
                    </w:rPr>
                  </w:pPr>
                  <w:r>
                    <w:rPr>
                      <w:rFonts w:hint="eastAsia" w:ascii="宋体" w:hAnsi="宋体" w:cs="宋体"/>
                      <w:b/>
                      <w:bCs/>
                      <w:kern w:val="0"/>
                      <w:szCs w:val="21"/>
                      <w:lang w:bidi="ar"/>
                    </w:rPr>
                    <w:t>本项目</w:t>
                  </w:r>
                </w:p>
              </w:tc>
              <w:tc>
                <w:tcPr>
                  <w:tcW w:w="814" w:type="pct"/>
                  <w:tcBorders>
                    <w:left w:val="single" w:color="auto" w:sz="4" w:space="0"/>
                    <w:bottom w:val="single" w:color="auto" w:sz="4" w:space="0"/>
                  </w:tcBorders>
                  <w:shd w:val="clear" w:color="auto" w:fill="auto"/>
                  <w:vAlign w:val="center"/>
                </w:tcPr>
                <w:p w14:paraId="2DA2E896">
                  <w:pPr>
                    <w:widowControl/>
                    <w:jc w:val="center"/>
                    <w:rPr>
                      <w:rFonts w:ascii="宋体" w:hAnsi="宋体" w:cs="宋体"/>
                      <w:b/>
                      <w:bCs/>
                      <w:kern w:val="0"/>
                      <w:szCs w:val="21"/>
                      <w:lang w:bidi="ar"/>
                    </w:rPr>
                  </w:pPr>
                  <w:r>
                    <w:rPr>
                      <w:rFonts w:hint="eastAsia" w:ascii="宋体" w:hAnsi="宋体" w:cs="宋体"/>
                      <w:b/>
                      <w:bCs/>
                      <w:kern w:val="0"/>
                      <w:szCs w:val="21"/>
                      <w:lang w:bidi="ar"/>
                    </w:rPr>
                    <w:t>是否</w:t>
                  </w:r>
                </w:p>
                <w:p w14:paraId="68E10358">
                  <w:pPr>
                    <w:widowControl/>
                    <w:jc w:val="center"/>
                    <w:rPr>
                      <w:rFonts w:ascii="宋体" w:hAnsi="宋体" w:cs="宋体"/>
                      <w:b/>
                      <w:bCs/>
                      <w:kern w:val="0"/>
                      <w:szCs w:val="21"/>
                      <w:lang w:bidi="ar"/>
                    </w:rPr>
                  </w:pPr>
                  <w:r>
                    <w:rPr>
                      <w:rFonts w:hint="eastAsia" w:ascii="宋体" w:hAnsi="宋体" w:cs="宋体"/>
                      <w:b/>
                      <w:bCs/>
                      <w:kern w:val="0"/>
                      <w:szCs w:val="21"/>
                      <w:lang w:bidi="ar"/>
                    </w:rPr>
                    <w:t>符合</w:t>
                  </w:r>
                </w:p>
              </w:tc>
            </w:tr>
            <w:tr w14:paraId="2C8878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pct"/>
                  <w:vMerge w:val="restart"/>
                  <w:tcBorders>
                    <w:top w:val="single" w:color="auto" w:sz="4" w:space="0"/>
                    <w:bottom w:val="single" w:color="auto" w:sz="4" w:space="0"/>
                    <w:right w:val="single" w:color="auto" w:sz="4" w:space="0"/>
                  </w:tcBorders>
                  <w:shd w:val="clear" w:color="auto" w:fill="auto"/>
                  <w:vAlign w:val="center"/>
                </w:tcPr>
                <w:p w14:paraId="2969E57A">
                  <w:pPr>
                    <w:widowControl/>
                    <w:jc w:val="center"/>
                    <w:rPr>
                      <w:rFonts w:ascii="宋体" w:hAnsi="宋体" w:cs="宋体"/>
                      <w:kern w:val="0"/>
                      <w:szCs w:val="21"/>
                      <w:lang w:bidi="ar"/>
                    </w:rPr>
                  </w:pPr>
                  <w:r>
                    <w:rPr>
                      <w:rFonts w:hint="eastAsia" w:ascii="宋体" w:hAnsi="宋体" w:cs="宋体"/>
                      <w:kern w:val="0"/>
                      <w:szCs w:val="21"/>
                      <w:lang w:bidi="ar"/>
                    </w:rPr>
                    <w:t>选址</w:t>
                  </w:r>
                </w:p>
              </w:tc>
              <w:tc>
                <w:tcPr>
                  <w:tcW w:w="2160" w:type="pct"/>
                  <w:tcBorders>
                    <w:top w:val="single" w:color="auto" w:sz="4" w:space="0"/>
                    <w:left w:val="single" w:color="auto" w:sz="4" w:space="0"/>
                    <w:bottom w:val="single" w:color="auto" w:sz="4" w:space="0"/>
                    <w:right w:val="single" w:color="auto" w:sz="4" w:space="0"/>
                  </w:tcBorders>
                  <w:shd w:val="clear" w:color="auto" w:fill="auto"/>
                  <w:vAlign w:val="center"/>
                </w:tcPr>
                <w:p w14:paraId="7F45010F">
                  <w:pPr>
                    <w:widowControl/>
                    <w:jc w:val="center"/>
                    <w:rPr>
                      <w:rFonts w:ascii="宋体" w:hAnsi="宋体" w:cs="宋体"/>
                      <w:kern w:val="0"/>
                      <w:szCs w:val="21"/>
                      <w:lang w:bidi="ar"/>
                    </w:rPr>
                  </w:pPr>
                  <w:r>
                    <w:rPr>
                      <w:rFonts w:hint="eastAsia" w:ascii="宋体" w:hAnsi="宋体" w:cs="宋体"/>
                      <w:kern w:val="0"/>
                      <w:szCs w:val="21"/>
                      <w:lang w:bidi="ar"/>
                    </w:rPr>
                    <w:t>厂区不应选择对食品有显著污染的区域:不应选择有害废弃物以及粉尘、有害气体、放射性物质和其他扩散性污染源不能有效清除的地址</w:t>
                  </w:r>
                </w:p>
              </w:tc>
              <w:tc>
                <w:tcPr>
                  <w:tcW w:w="132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3DEC2BF">
                  <w:pPr>
                    <w:widowControl/>
                    <w:jc w:val="center"/>
                    <w:rPr>
                      <w:rFonts w:ascii="宋体" w:hAnsi="宋体" w:cs="宋体"/>
                      <w:kern w:val="0"/>
                      <w:szCs w:val="21"/>
                      <w:lang w:bidi="ar"/>
                    </w:rPr>
                  </w:pPr>
                  <w:r>
                    <w:rPr>
                      <w:rFonts w:hint="eastAsia" w:ascii="宋体" w:hAnsi="宋体" w:cs="宋体"/>
                      <w:kern w:val="0"/>
                      <w:szCs w:val="21"/>
                      <w:lang w:bidi="ar"/>
                    </w:rPr>
                    <w:t>本项目所在的周围没有较大的环境污染源，厂区不属于较易发生洪涝场所和虫害滋生场所。</w:t>
                  </w:r>
                </w:p>
              </w:tc>
              <w:tc>
                <w:tcPr>
                  <w:tcW w:w="814" w:type="pct"/>
                  <w:tcBorders>
                    <w:top w:val="single" w:color="auto" w:sz="4" w:space="0"/>
                    <w:left w:val="single" w:color="auto" w:sz="4" w:space="0"/>
                    <w:bottom w:val="single" w:color="auto" w:sz="4" w:space="0"/>
                  </w:tcBorders>
                  <w:shd w:val="clear" w:color="auto" w:fill="auto"/>
                  <w:vAlign w:val="center"/>
                </w:tcPr>
                <w:p w14:paraId="7B09E9A0">
                  <w:pPr>
                    <w:widowControl/>
                    <w:jc w:val="center"/>
                    <w:rPr>
                      <w:rFonts w:ascii="宋体" w:hAnsi="宋体" w:cs="宋体"/>
                      <w:kern w:val="0"/>
                      <w:szCs w:val="21"/>
                      <w:lang w:bidi="ar"/>
                    </w:rPr>
                  </w:pPr>
                  <w:r>
                    <w:rPr>
                      <w:rFonts w:hint="eastAsia" w:ascii="宋体" w:hAnsi="宋体" w:cs="宋体"/>
                      <w:kern w:val="0"/>
                      <w:szCs w:val="21"/>
                      <w:lang w:bidi="ar"/>
                    </w:rPr>
                    <w:t>符合</w:t>
                  </w:r>
                </w:p>
              </w:tc>
            </w:tr>
            <w:tr w14:paraId="5044CC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pct"/>
                  <w:vMerge w:val="continue"/>
                  <w:tcBorders>
                    <w:top w:val="single" w:color="auto" w:sz="4" w:space="0"/>
                    <w:bottom w:val="single" w:color="auto" w:sz="4" w:space="0"/>
                    <w:right w:val="single" w:color="auto" w:sz="4" w:space="0"/>
                  </w:tcBorders>
                  <w:shd w:val="clear" w:color="auto" w:fill="auto"/>
                  <w:vAlign w:val="center"/>
                </w:tcPr>
                <w:p w14:paraId="62A97BAC">
                  <w:pPr>
                    <w:widowControl/>
                    <w:jc w:val="center"/>
                    <w:rPr>
                      <w:rFonts w:ascii="Calibri" w:hAnsi="Calibri" w:cs="Calibri"/>
                      <w:sz w:val="20"/>
                      <w:szCs w:val="20"/>
                    </w:rPr>
                  </w:pPr>
                </w:p>
              </w:tc>
              <w:tc>
                <w:tcPr>
                  <w:tcW w:w="2160" w:type="pct"/>
                  <w:tcBorders>
                    <w:top w:val="single" w:color="auto" w:sz="4" w:space="0"/>
                    <w:left w:val="single" w:color="auto" w:sz="4" w:space="0"/>
                    <w:bottom w:val="single" w:color="auto" w:sz="4" w:space="0"/>
                    <w:right w:val="single" w:color="auto" w:sz="4" w:space="0"/>
                  </w:tcBorders>
                  <w:shd w:val="clear" w:color="auto" w:fill="auto"/>
                  <w:vAlign w:val="center"/>
                </w:tcPr>
                <w:p w14:paraId="62A20032">
                  <w:pPr>
                    <w:widowControl/>
                    <w:jc w:val="center"/>
                    <w:rPr>
                      <w:rFonts w:ascii="宋体" w:hAnsi="宋体" w:cs="宋体"/>
                      <w:kern w:val="0"/>
                      <w:szCs w:val="21"/>
                      <w:lang w:bidi="ar"/>
                    </w:rPr>
                  </w:pPr>
                  <w:r>
                    <w:rPr>
                      <w:rFonts w:hint="eastAsia" w:ascii="宋体" w:hAnsi="宋体" w:cs="宋体"/>
                      <w:kern w:val="0"/>
                      <w:szCs w:val="21"/>
                      <w:lang w:bidi="ar"/>
                    </w:rPr>
                    <w:t>厂区不宜择易发生洪涝灾害地区，难以避开时应相符设计必要的防范措施。厂区周围不宜有虫害量孳生的潜在场所，难以避开时应设计必要的防范措施</w:t>
                  </w:r>
                </w:p>
              </w:tc>
              <w:tc>
                <w:tcPr>
                  <w:tcW w:w="132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AF02A7D">
                  <w:pPr>
                    <w:widowControl/>
                    <w:jc w:val="center"/>
                    <w:rPr>
                      <w:rFonts w:ascii="Calibri" w:hAnsi="Calibri" w:cs="Calibri"/>
                      <w:sz w:val="20"/>
                      <w:szCs w:val="20"/>
                    </w:rPr>
                  </w:pPr>
                </w:p>
              </w:tc>
              <w:tc>
                <w:tcPr>
                  <w:tcW w:w="814" w:type="pct"/>
                  <w:tcBorders>
                    <w:top w:val="single" w:color="auto" w:sz="4" w:space="0"/>
                    <w:left w:val="single" w:color="auto" w:sz="4" w:space="0"/>
                    <w:bottom w:val="single" w:color="auto" w:sz="4" w:space="0"/>
                  </w:tcBorders>
                  <w:shd w:val="clear" w:color="auto" w:fill="auto"/>
                  <w:vAlign w:val="center"/>
                </w:tcPr>
                <w:p w14:paraId="7B65E5F1">
                  <w:pPr>
                    <w:widowControl/>
                    <w:jc w:val="center"/>
                    <w:rPr>
                      <w:rFonts w:ascii="宋体" w:hAnsi="宋体" w:cs="宋体"/>
                      <w:kern w:val="0"/>
                      <w:szCs w:val="21"/>
                      <w:lang w:bidi="ar"/>
                    </w:rPr>
                  </w:pPr>
                  <w:r>
                    <w:rPr>
                      <w:rFonts w:hint="eastAsia" w:ascii="宋体" w:hAnsi="宋体" w:cs="宋体"/>
                      <w:kern w:val="0"/>
                      <w:szCs w:val="21"/>
                      <w:lang w:bidi="ar"/>
                    </w:rPr>
                    <w:t>符合</w:t>
                  </w:r>
                </w:p>
              </w:tc>
            </w:tr>
            <w:tr w14:paraId="63FDFF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pct"/>
                  <w:vMerge w:val="restart"/>
                  <w:tcBorders>
                    <w:top w:val="single" w:color="auto" w:sz="4" w:space="0"/>
                    <w:bottom w:val="single" w:color="auto" w:sz="12" w:space="0"/>
                    <w:right w:val="single" w:color="auto" w:sz="4" w:space="0"/>
                  </w:tcBorders>
                  <w:shd w:val="clear" w:color="auto" w:fill="auto"/>
                  <w:vAlign w:val="center"/>
                </w:tcPr>
                <w:p w14:paraId="1709474F">
                  <w:pPr>
                    <w:widowControl/>
                    <w:jc w:val="center"/>
                    <w:rPr>
                      <w:rFonts w:ascii="宋体" w:hAnsi="宋体" w:cs="宋体"/>
                      <w:kern w:val="0"/>
                      <w:szCs w:val="21"/>
                      <w:lang w:bidi="ar"/>
                    </w:rPr>
                  </w:pPr>
                  <w:r>
                    <w:rPr>
                      <w:rFonts w:hint="eastAsia" w:ascii="宋体" w:hAnsi="宋体" w:cs="宋体"/>
                      <w:kern w:val="0"/>
                      <w:szCs w:val="21"/>
                      <w:lang w:bidi="ar"/>
                    </w:rPr>
                    <w:t>厂内环境</w:t>
                  </w:r>
                </w:p>
              </w:tc>
              <w:tc>
                <w:tcPr>
                  <w:tcW w:w="2160" w:type="pct"/>
                  <w:tcBorders>
                    <w:top w:val="single" w:color="auto" w:sz="4" w:space="0"/>
                    <w:left w:val="single" w:color="auto" w:sz="4" w:space="0"/>
                    <w:bottom w:val="single" w:color="auto" w:sz="4" w:space="0"/>
                    <w:right w:val="single" w:color="auto" w:sz="4" w:space="0"/>
                  </w:tcBorders>
                  <w:shd w:val="clear" w:color="auto" w:fill="auto"/>
                  <w:vAlign w:val="center"/>
                </w:tcPr>
                <w:p w14:paraId="5AAC14B2">
                  <w:pPr>
                    <w:widowControl/>
                    <w:jc w:val="center"/>
                    <w:rPr>
                      <w:rFonts w:ascii="宋体" w:hAnsi="宋体" w:cs="宋体"/>
                      <w:kern w:val="0"/>
                      <w:szCs w:val="21"/>
                      <w:lang w:bidi="ar"/>
                    </w:rPr>
                  </w:pPr>
                  <w:r>
                    <w:rPr>
                      <w:rFonts w:hint="eastAsia" w:ascii="宋体" w:hAnsi="宋体" w:cs="宋体"/>
                      <w:kern w:val="0"/>
                      <w:szCs w:val="21"/>
                      <w:lang w:bidi="ar"/>
                    </w:rPr>
                    <w:t>厂区应合理布局，各功能区域划分明显，并有适当的分离或分隔措施，防止交叉污染。宿舍、食堂、职工娱乐设施等生活区应与生产区保持适当距离或分隔</w:t>
                  </w:r>
                </w:p>
              </w:tc>
              <w:tc>
                <w:tcPr>
                  <w:tcW w:w="1325" w:type="pct"/>
                  <w:tcBorders>
                    <w:top w:val="single" w:color="auto" w:sz="4" w:space="0"/>
                    <w:left w:val="single" w:color="auto" w:sz="4" w:space="0"/>
                    <w:bottom w:val="single" w:color="auto" w:sz="4" w:space="0"/>
                    <w:right w:val="single" w:color="auto" w:sz="4" w:space="0"/>
                  </w:tcBorders>
                  <w:shd w:val="clear" w:color="auto" w:fill="auto"/>
                  <w:vAlign w:val="center"/>
                </w:tcPr>
                <w:p w14:paraId="17AABBAB">
                  <w:pPr>
                    <w:widowControl/>
                    <w:jc w:val="center"/>
                    <w:rPr>
                      <w:rFonts w:ascii="宋体" w:hAnsi="宋体" w:cs="宋体"/>
                      <w:kern w:val="0"/>
                      <w:szCs w:val="21"/>
                      <w:lang w:bidi="ar"/>
                    </w:rPr>
                  </w:pPr>
                  <w:r>
                    <w:rPr>
                      <w:rFonts w:hint="eastAsia" w:ascii="宋体" w:hAnsi="宋体" w:cs="宋体"/>
                      <w:kern w:val="0"/>
                      <w:szCs w:val="21"/>
                      <w:lang w:bidi="ar"/>
                    </w:rPr>
                    <w:t>本项目厂区内生产车间与生活区相互隔离，并保持一定的距离，满足要求。</w:t>
                  </w:r>
                </w:p>
              </w:tc>
              <w:tc>
                <w:tcPr>
                  <w:tcW w:w="814" w:type="pct"/>
                  <w:tcBorders>
                    <w:top w:val="single" w:color="auto" w:sz="4" w:space="0"/>
                    <w:left w:val="single" w:color="auto" w:sz="4" w:space="0"/>
                    <w:bottom w:val="single" w:color="auto" w:sz="4" w:space="0"/>
                  </w:tcBorders>
                  <w:shd w:val="clear" w:color="auto" w:fill="auto"/>
                  <w:vAlign w:val="center"/>
                </w:tcPr>
                <w:p w14:paraId="72C00B4E">
                  <w:pPr>
                    <w:widowControl/>
                    <w:jc w:val="center"/>
                    <w:rPr>
                      <w:rFonts w:ascii="宋体" w:hAnsi="宋体" w:cs="宋体"/>
                      <w:kern w:val="0"/>
                      <w:szCs w:val="21"/>
                      <w:lang w:bidi="ar"/>
                    </w:rPr>
                  </w:pPr>
                  <w:r>
                    <w:rPr>
                      <w:rFonts w:hint="eastAsia" w:ascii="宋体" w:hAnsi="宋体" w:cs="宋体"/>
                      <w:kern w:val="0"/>
                      <w:szCs w:val="21"/>
                      <w:lang w:bidi="ar"/>
                    </w:rPr>
                    <w:t>符合</w:t>
                  </w:r>
                </w:p>
              </w:tc>
            </w:tr>
            <w:tr w14:paraId="4F0C2D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pct"/>
                  <w:vMerge w:val="continue"/>
                  <w:tcBorders>
                    <w:top w:val="single" w:color="auto" w:sz="4" w:space="0"/>
                    <w:right w:val="single" w:color="auto" w:sz="4" w:space="0"/>
                  </w:tcBorders>
                  <w:shd w:val="clear" w:color="auto" w:fill="auto"/>
                  <w:vAlign w:val="center"/>
                </w:tcPr>
                <w:p w14:paraId="1E3AE172">
                  <w:pPr>
                    <w:widowControl/>
                    <w:jc w:val="center"/>
                    <w:rPr>
                      <w:rFonts w:ascii="Calibri" w:hAnsi="Calibri" w:cs="Calibri"/>
                      <w:sz w:val="20"/>
                      <w:szCs w:val="20"/>
                    </w:rPr>
                  </w:pPr>
                </w:p>
              </w:tc>
              <w:tc>
                <w:tcPr>
                  <w:tcW w:w="2160" w:type="pct"/>
                  <w:tcBorders>
                    <w:top w:val="single" w:color="auto" w:sz="4" w:space="0"/>
                    <w:left w:val="single" w:color="auto" w:sz="4" w:space="0"/>
                    <w:right w:val="single" w:color="auto" w:sz="4" w:space="0"/>
                  </w:tcBorders>
                  <w:shd w:val="clear" w:color="auto" w:fill="auto"/>
                  <w:vAlign w:val="center"/>
                </w:tcPr>
                <w:p w14:paraId="6A15FFFE">
                  <w:pPr>
                    <w:widowControl/>
                    <w:jc w:val="center"/>
                    <w:rPr>
                      <w:rFonts w:ascii="宋体" w:hAnsi="宋体" w:cs="宋体"/>
                      <w:kern w:val="0"/>
                      <w:szCs w:val="21"/>
                      <w:lang w:bidi="ar"/>
                    </w:rPr>
                  </w:pPr>
                  <w:r>
                    <w:rPr>
                      <w:rFonts w:hint="eastAsia" w:ascii="宋体" w:hAnsi="宋体" w:cs="宋体"/>
                      <w:kern w:val="0"/>
                      <w:szCs w:val="21"/>
                      <w:lang w:bidi="ar"/>
                    </w:rPr>
                    <w:t>厂区内的道路应铺设混凝土、沥青、或者其他硬质材料;空地应采取必要措施，如铺设水泥、地砖或铺设草坪等方式，保持环境清洁，防止正常天气下扬尘和积水等现象的发生。厂区绿化应与生车间保持适当距离，植被应定期维护，以防止虫害的孳生。厂区应有适当的排水系统</w:t>
                  </w:r>
                </w:p>
              </w:tc>
              <w:tc>
                <w:tcPr>
                  <w:tcW w:w="1325" w:type="pct"/>
                  <w:tcBorders>
                    <w:top w:val="single" w:color="auto" w:sz="4" w:space="0"/>
                    <w:left w:val="single" w:color="auto" w:sz="4" w:space="0"/>
                    <w:right w:val="single" w:color="auto" w:sz="4" w:space="0"/>
                  </w:tcBorders>
                  <w:shd w:val="clear" w:color="auto" w:fill="auto"/>
                  <w:vAlign w:val="center"/>
                </w:tcPr>
                <w:p w14:paraId="1FA6CF53">
                  <w:pPr>
                    <w:widowControl/>
                    <w:jc w:val="center"/>
                    <w:rPr>
                      <w:rFonts w:ascii="宋体" w:hAnsi="宋体" w:cs="宋体"/>
                      <w:kern w:val="0"/>
                      <w:szCs w:val="21"/>
                      <w:lang w:bidi="ar"/>
                    </w:rPr>
                  </w:pPr>
                  <w:r>
                    <w:rPr>
                      <w:rFonts w:hint="eastAsia" w:ascii="宋体" w:hAnsi="宋体" w:cs="宋体"/>
                      <w:kern w:val="0"/>
                      <w:szCs w:val="21"/>
                      <w:lang w:bidi="ar"/>
                    </w:rPr>
                    <w:t>厂区地面均进行水泥硬化，道路平整，不易产尘和积水。厂区绿化与生车间保持一定距离，厂区有适当的排水系统。</w:t>
                  </w:r>
                </w:p>
              </w:tc>
              <w:tc>
                <w:tcPr>
                  <w:tcW w:w="814" w:type="pct"/>
                  <w:tcBorders>
                    <w:top w:val="single" w:color="auto" w:sz="4" w:space="0"/>
                    <w:left w:val="single" w:color="auto" w:sz="4" w:space="0"/>
                  </w:tcBorders>
                  <w:shd w:val="clear" w:color="auto" w:fill="auto"/>
                  <w:vAlign w:val="center"/>
                </w:tcPr>
                <w:p w14:paraId="1DE757ED">
                  <w:pPr>
                    <w:widowControl/>
                    <w:jc w:val="center"/>
                    <w:rPr>
                      <w:rFonts w:ascii="宋体" w:hAnsi="宋体" w:cs="宋体"/>
                      <w:kern w:val="0"/>
                      <w:szCs w:val="21"/>
                      <w:lang w:bidi="ar"/>
                    </w:rPr>
                  </w:pPr>
                  <w:r>
                    <w:rPr>
                      <w:rFonts w:hint="eastAsia" w:ascii="宋体" w:hAnsi="宋体" w:cs="宋体"/>
                      <w:kern w:val="0"/>
                      <w:szCs w:val="21"/>
                      <w:lang w:bidi="ar"/>
                    </w:rPr>
                    <w:t>符合</w:t>
                  </w:r>
                </w:p>
              </w:tc>
            </w:tr>
          </w:tbl>
          <w:p w14:paraId="43708869">
            <w:pPr>
              <w:spacing w:line="360" w:lineRule="auto"/>
              <w:rPr>
                <w:b/>
                <w:bCs/>
                <w:kern w:val="0"/>
                <w:sz w:val="24"/>
                <w:szCs w:val="24"/>
              </w:rPr>
            </w:pPr>
            <w:r>
              <w:rPr>
                <w:rFonts w:hint="eastAsia"/>
                <w:b/>
                <w:bCs/>
                <w:kern w:val="0"/>
                <w:sz w:val="24"/>
                <w:szCs w:val="24"/>
              </w:rPr>
              <w:t>8</w:t>
            </w:r>
            <w:r>
              <w:rPr>
                <w:b/>
                <w:bCs/>
                <w:kern w:val="0"/>
                <w:sz w:val="24"/>
                <w:szCs w:val="24"/>
              </w:rPr>
              <w:t xml:space="preserve"> 项目选址可行性分析</w:t>
            </w:r>
          </w:p>
          <w:p w14:paraId="29A8C7C2">
            <w:pPr>
              <w:pStyle w:val="6"/>
              <w:ind w:firstLine="480" w:firstLineChars="200"/>
              <w:jc w:val="both"/>
              <w:rPr>
                <w:rFonts w:eastAsia="宋体"/>
                <w:bCs/>
                <w:szCs w:val="24"/>
              </w:rPr>
            </w:pPr>
            <w:r>
              <w:rPr>
                <w:rFonts w:eastAsia="宋体"/>
                <w:bCs/>
                <w:szCs w:val="24"/>
              </w:rPr>
              <w:t>本项目所在地位于湖南省益阳市安化县安化县东坪镇茶家村茶语路南茶西路北B-02栋标准化厂房，用地性质为工业用地（见附件5），厂区周边供电、供水、交通道路等基础设施完善，有利于本项目的建设和实施。项目厂址外环境关系较为简单，无特殊环境敏感点，无明显制约因子。项目不涉及生活饮用水水源保护区、自然保护区。在采用本环评提出的污染防治措施后，各污染源均可做到达标排放，对周围环境的污染影响较小。</w:t>
            </w:r>
          </w:p>
          <w:p w14:paraId="06380E23">
            <w:pPr>
              <w:pStyle w:val="6"/>
              <w:ind w:firstLine="480" w:firstLineChars="200"/>
              <w:jc w:val="both"/>
              <w:rPr>
                <w:rFonts w:eastAsia="宋体"/>
                <w:bCs/>
                <w:szCs w:val="24"/>
                <w:u w:val="single"/>
              </w:rPr>
            </w:pPr>
            <w:r>
              <w:rPr>
                <w:rFonts w:eastAsia="宋体"/>
                <w:bCs/>
                <w:szCs w:val="24"/>
                <w:u w:val="single"/>
              </w:rPr>
              <w:t>根据现场调查，本项目</w:t>
            </w:r>
            <w:r>
              <w:rPr>
                <w:rFonts w:hint="eastAsia" w:eastAsia="宋体"/>
                <w:bCs/>
                <w:szCs w:val="24"/>
                <w:u w:val="single"/>
              </w:rPr>
              <w:t>东</w:t>
            </w:r>
            <w:r>
              <w:rPr>
                <w:rFonts w:eastAsia="宋体"/>
                <w:bCs/>
                <w:szCs w:val="24"/>
                <w:u w:val="single"/>
              </w:rPr>
              <w:t>侧湖南华益科技发展有限公司（原名湖南华益食品有限公司）（</w:t>
            </w:r>
            <w:r>
              <w:rPr>
                <w:rFonts w:hint="eastAsia" w:eastAsia="宋体"/>
                <w:bCs/>
                <w:szCs w:val="24"/>
                <w:u w:val="single"/>
              </w:rPr>
              <w:t>属于</w:t>
            </w:r>
            <w:r>
              <w:rPr>
                <w:rFonts w:eastAsia="宋体"/>
                <w:bCs/>
                <w:szCs w:val="24"/>
                <w:u w:val="single"/>
              </w:rPr>
              <w:t>食品制造业），</w:t>
            </w:r>
            <w:r>
              <w:rPr>
                <w:rFonts w:hint="eastAsia" w:eastAsia="宋体"/>
                <w:bCs/>
                <w:szCs w:val="24"/>
                <w:u w:val="single"/>
              </w:rPr>
              <w:t>西</w:t>
            </w:r>
            <w:r>
              <w:rPr>
                <w:rFonts w:eastAsia="宋体"/>
                <w:bCs/>
                <w:szCs w:val="24"/>
                <w:u w:val="single"/>
              </w:rPr>
              <w:t>侧有</w:t>
            </w:r>
            <w:r>
              <w:rPr>
                <w:rFonts w:hint="eastAsia" w:eastAsia="宋体"/>
                <w:bCs/>
                <w:szCs w:val="24"/>
                <w:u w:val="single"/>
              </w:rPr>
              <w:t>松宇包装</w:t>
            </w:r>
            <w:r>
              <w:rPr>
                <w:rFonts w:eastAsia="宋体"/>
                <w:bCs/>
                <w:szCs w:val="24"/>
                <w:u w:val="single"/>
              </w:rPr>
              <w:t>（</w:t>
            </w:r>
            <w:r>
              <w:rPr>
                <w:rFonts w:hint="eastAsia" w:eastAsia="宋体"/>
                <w:bCs/>
                <w:szCs w:val="24"/>
                <w:u w:val="single"/>
              </w:rPr>
              <w:t>属于包装装潢及其他印刷业</w:t>
            </w:r>
            <w:r>
              <w:rPr>
                <w:rFonts w:eastAsia="宋体"/>
                <w:bCs/>
                <w:szCs w:val="24"/>
                <w:u w:val="single"/>
              </w:rPr>
              <w:t>）；项目周边企业对产生的污染物均采取了相应的污染防治措施，做到达标排放，且项目周边无产生有毒有害大气污染物和放射性物质以及其他扩散性污染源不能有效清除的重污染企业。本项目食品加工均在封闭式厂房内生产，周边企业的生产对本对食品安全和食品宜食用性不存在明显的不利影响。</w:t>
            </w:r>
          </w:p>
          <w:p w14:paraId="78ED8FC7">
            <w:pPr>
              <w:pStyle w:val="6"/>
              <w:ind w:firstLine="480" w:firstLineChars="200"/>
              <w:jc w:val="both"/>
              <w:rPr>
                <w:rFonts w:eastAsia="宋体"/>
                <w:bCs/>
                <w:szCs w:val="24"/>
              </w:rPr>
            </w:pPr>
            <w:r>
              <w:rPr>
                <w:rFonts w:eastAsia="宋体"/>
                <w:bCs/>
                <w:szCs w:val="24"/>
              </w:rPr>
              <w:t>综上所述，项目选址可行。</w:t>
            </w:r>
          </w:p>
          <w:p w14:paraId="376A15B8">
            <w:pPr>
              <w:pStyle w:val="6"/>
              <w:ind w:firstLine="480" w:firstLineChars="200"/>
              <w:jc w:val="both"/>
              <w:rPr>
                <w:rFonts w:eastAsia="宋体"/>
                <w:bCs/>
                <w:szCs w:val="24"/>
              </w:rPr>
            </w:pPr>
          </w:p>
          <w:p w14:paraId="38941462">
            <w:pPr>
              <w:pStyle w:val="6"/>
              <w:ind w:firstLine="480" w:firstLineChars="200"/>
              <w:jc w:val="both"/>
              <w:rPr>
                <w:rFonts w:eastAsia="宋体"/>
                <w:bCs/>
                <w:szCs w:val="24"/>
              </w:rPr>
            </w:pPr>
          </w:p>
          <w:p w14:paraId="67545B82">
            <w:pPr>
              <w:pStyle w:val="6"/>
              <w:ind w:firstLine="480" w:firstLineChars="200"/>
              <w:jc w:val="both"/>
              <w:rPr>
                <w:rFonts w:eastAsia="宋体"/>
                <w:bCs/>
                <w:szCs w:val="24"/>
              </w:rPr>
            </w:pPr>
          </w:p>
          <w:p w14:paraId="366BCEBB">
            <w:pPr>
              <w:pStyle w:val="6"/>
              <w:ind w:firstLine="480" w:firstLineChars="200"/>
              <w:jc w:val="both"/>
              <w:rPr>
                <w:rFonts w:eastAsia="宋体"/>
                <w:bCs/>
                <w:szCs w:val="24"/>
              </w:rPr>
            </w:pPr>
          </w:p>
          <w:p w14:paraId="0AD28C89">
            <w:pPr>
              <w:pStyle w:val="6"/>
              <w:ind w:firstLine="480" w:firstLineChars="200"/>
              <w:jc w:val="both"/>
              <w:rPr>
                <w:rFonts w:eastAsia="宋体"/>
                <w:bCs/>
                <w:szCs w:val="24"/>
              </w:rPr>
            </w:pPr>
          </w:p>
          <w:p w14:paraId="4780361C">
            <w:pPr>
              <w:pStyle w:val="6"/>
              <w:ind w:firstLine="480" w:firstLineChars="200"/>
              <w:jc w:val="both"/>
              <w:rPr>
                <w:rFonts w:eastAsia="宋体"/>
                <w:bCs/>
                <w:szCs w:val="24"/>
              </w:rPr>
            </w:pPr>
          </w:p>
          <w:p w14:paraId="7C61C9C0">
            <w:pPr>
              <w:pStyle w:val="6"/>
              <w:ind w:firstLine="480" w:firstLineChars="200"/>
              <w:jc w:val="both"/>
              <w:rPr>
                <w:rFonts w:eastAsia="宋体"/>
                <w:bCs/>
                <w:szCs w:val="24"/>
              </w:rPr>
            </w:pPr>
          </w:p>
          <w:p w14:paraId="2A86C561">
            <w:pPr>
              <w:pStyle w:val="6"/>
              <w:ind w:firstLine="480" w:firstLineChars="200"/>
              <w:jc w:val="both"/>
              <w:rPr>
                <w:rFonts w:eastAsia="宋体"/>
                <w:bCs/>
                <w:szCs w:val="24"/>
              </w:rPr>
            </w:pPr>
          </w:p>
          <w:p w14:paraId="06B36201">
            <w:pPr>
              <w:pStyle w:val="6"/>
              <w:ind w:firstLine="480" w:firstLineChars="200"/>
              <w:jc w:val="both"/>
              <w:rPr>
                <w:rFonts w:eastAsia="宋体"/>
                <w:bCs/>
                <w:szCs w:val="24"/>
              </w:rPr>
            </w:pPr>
          </w:p>
          <w:p w14:paraId="7FB29FE2">
            <w:pPr>
              <w:pStyle w:val="6"/>
              <w:ind w:firstLine="480" w:firstLineChars="200"/>
              <w:jc w:val="both"/>
              <w:rPr>
                <w:rFonts w:eastAsia="宋体"/>
                <w:bCs/>
                <w:szCs w:val="24"/>
              </w:rPr>
            </w:pPr>
          </w:p>
          <w:p w14:paraId="05A3FF6D">
            <w:pPr>
              <w:pStyle w:val="6"/>
              <w:ind w:firstLine="480" w:firstLineChars="200"/>
              <w:jc w:val="both"/>
              <w:rPr>
                <w:rFonts w:eastAsia="宋体"/>
                <w:bCs/>
                <w:szCs w:val="24"/>
              </w:rPr>
            </w:pPr>
          </w:p>
          <w:p w14:paraId="2F6C5FD0">
            <w:pPr>
              <w:pStyle w:val="6"/>
              <w:ind w:firstLine="480" w:firstLineChars="200"/>
              <w:jc w:val="both"/>
              <w:rPr>
                <w:rFonts w:eastAsia="宋体"/>
                <w:bCs/>
                <w:szCs w:val="24"/>
              </w:rPr>
            </w:pPr>
          </w:p>
          <w:p w14:paraId="33740FEF">
            <w:pPr>
              <w:pStyle w:val="6"/>
              <w:ind w:firstLine="480" w:firstLineChars="200"/>
              <w:jc w:val="both"/>
              <w:rPr>
                <w:rFonts w:eastAsia="宋体"/>
                <w:bCs/>
                <w:szCs w:val="24"/>
              </w:rPr>
            </w:pPr>
          </w:p>
          <w:p w14:paraId="274B8105">
            <w:pPr>
              <w:pStyle w:val="6"/>
              <w:ind w:firstLine="480" w:firstLineChars="200"/>
              <w:jc w:val="both"/>
              <w:rPr>
                <w:rFonts w:eastAsia="宋体"/>
                <w:bCs/>
                <w:szCs w:val="24"/>
              </w:rPr>
            </w:pPr>
          </w:p>
          <w:p w14:paraId="59937531">
            <w:pPr>
              <w:pStyle w:val="6"/>
              <w:ind w:firstLine="480" w:firstLineChars="200"/>
              <w:jc w:val="both"/>
              <w:rPr>
                <w:rFonts w:eastAsia="宋体"/>
                <w:bCs/>
                <w:szCs w:val="24"/>
              </w:rPr>
            </w:pPr>
          </w:p>
          <w:p w14:paraId="526FDB55">
            <w:pPr>
              <w:pStyle w:val="6"/>
              <w:ind w:firstLine="480" w:firstLineChars="200"/>
              <w:jc w:val="both"/>
              <w:rPr>
                <w:rFonts w:eastAsia="宋体"/>
                <w:bCs/>
                <w:szCs w:val="24"/>
              </w:rPr>
            </w:pPr>
          </w:p>
          <w:p w14:paraId="51709F79">
            <w:pPr>
              <w:pStyle w:val="6"/>
              <w:ind w:firstLine="480" w:firstLineChars="200"/>
              <w:jc w:val="both"/>
              <w:rPr>
                <w:rFonts w:eastAsia="宋体"/>
                <w:bCs/>
                <w:szCs w:val="24"/>
              </w:rPr>
            </w:pPr>
          </w:p>
          <w:p w14:paraId="471FDC5F">
            <w:pPr>
              <w:pStyle w:val="6"/>
              <w:ind w:firstLine="480" w:firstLineChars="200"/>
              <w:jc w:val="both"/>
              <w:rPr>
                <w:rFonts w:eastAsia="宋体"/>
                <w:bCs/>
                <w:szCs w:val="24"/>
              </w:rPr>
            </w:pPr>
          </w:p>
          <w:p w14:paraId="044EB952">
            <w:pPr>
              <w:pStyle w:val="6"/>
              <w:ind w:firstLine="480" w:firstLineChars="200"/>
              <w:jc w:val="both"/>
              <w:rPr>
                <w:rFonts w:eastAsia="宋体"/>
                <w:bCs/>
                <w:szCs w:val="24"/>
              </w:rPr>
            </w:pPr>
          </w:p>
          <w:p w14:paraId="04579B61">
            <w:pPr>
              <w:pStyle w:val="6"/>
              <w:ind w:firstLine="480" w:firstLineChars="200"/>
              <w:jc w:val="both"/>
              <w:rPr>
                <w:rFonts w:eastAsia="宋体"/>
                <w:bCs/>
                <w:szCs w:val="24"/>
              </w:rPr>
            </w:pPr>
          </w:p>
          <w:p w14:paraId="06CF5CEC">
            <w:pPr>
              <w:pStyle w:val="6"/>
              <w:ind w:firstLine="480" w:firstLineChars="200"/>
              <w:jc w:val="both"/>
              <w:rPr>
                <w:rFonts w:eastAsia="宋体"/>
                <w:bCs/>
                <w:szCs w:val="24"/>
              </w:rPr>
            </w:pPr>
          </w:p>
          <w:p w14:paraId="7C907A68">
            <w:pPr>
              <w:pStyle w:val="6"/>
              <w:ind w:firstLine="480" w:firstLineChars="200"/>
              <w:jc w:val="both"/>
              <w:rPr>
                <w:rFonts w:eastAsia="宋体"/>
                <w:bCs/>
                <w:szCs w:val="24"/>
              </w:rPr>
            </w:pPr>
          </w:p>
          <w:p w14:paraId="36518FFB">
            <w:pPr>
              <w:pStyle w:val="6"/>
              <w:ind w:firstLine="480" w:firstLineChars="200"/>
              <w:jc w:val="both"/>
              <w:rPr>
                <w:rFonts w:eastAsia="宋体"/>
                <w:bCs/>
                <w:szCs w:val="24"/>
              </w:rPr>
            </w:pPr>
          </w:p>
          <w:p w14:paraId="403FE611">
            <w:pPr>
              <w:pStyle w:val="6"/>
              <w:ind w:firstLine="480" w:firstLineChars="200"/>
              <w:jc w:val="both"/>
              <w:rPr>
                <w:rFonts w:eastAsia="宋体"/>
                <w:bCs/>
                <w:szCs w:val="24"/>
              </w:rPr>
            </w:pPr>
          </w:p>
          <w:p w14:paraId="2B57B056">
            <w:pPr>
              <w:pStyle w:val="6"/>
              <w:ind w:firstLine="480" w:firstLineChars="200"/>
              <w:jc w:val="both"/>
              <w:rPr>
                <w:rFonts w:eastAsia="宋体"/>
                <w:bCs/>
                <w:szCs w:val="24"/>
              </w:rPr>
            </w:pPr>
          </w:p>
          <w:p w14:paraId="0900AEDD">
            <w:pPr>
              <w:pStyle w:val="6"/>
              <w:ind w:firstLine="480" w:firstLineChars="200"/>
              <w:jc w:val="both"/>
              <w:rPr>
                <w:rFonts w:eastAsia="宋体"/>
                <w:bCs/>
                <w:szCs w:val="24"/>
              </w:rPr>
            </w:pPr>
          </w:p>
          <w:p w14:paraId="4C5A112D">
            <w:pPr>
              <w:pStyle w:val="6"/>
              <w:jc w:val="both"/>
              <w:rPr>
                <w:rFonts w:eastAsia="宋体"/>
                <w:bCs/>
                <w:szCs w:val="24"/>
              </w:rPr>
            </w:pPr>
          </w:p>
        </w:tc>
      </w:tr>
    </w:tbl>
    <w:p w14:paraId="7268460F">
      <w:pPr>
        <w:widowControl/>
        <w:spacing w:line="360" w:lineRule="auto"/>
        <w:jc w:val="left"/>
        <w:rPr>
          <w:color w:val="FF0000"/>
          <w:sz w:val="24"/>
          <w:szCs w:val="24"/>
        </w:rPr>
        <w:sectPr>
          <w:footerReference r:id="rId4" w:type="default"/>
          <w:pgSz w:w="11906" w:h="16838"/>
          <w:pgMar w:top="1701" w:right="1440" w:bottom="1701" w:left="1440" w:header="851" w:footer="1077" w:gutter="0"/>
          <w:pgNumType w:start="1"/>
          <w:cols w:space="720" w:num="1"/>
        </w:sectPr>
      </w:pPr>
    </w:p>
    <w:p w14:paraId="46781B3D">
      <w:pPr>
        <w:pStyle w:val="21"/>
        <w:spacing w:before="120" w:beforeLines="50" w:beforeAutospacing="0" w:after="120" w:afterLines="50" w:afterAutospacing="0"/>
        <w:jc w:val="center"/>
        <w:outlineLvl w:val="0"/>
        <w:rPr>
          <w:b/>
          <w:bCs/>
          <w:snapToGrid w:val="0"/>
          <w:color w:val="000000"/>
          <w:sz w:val="30"/>
          <w:szCs w:val="30"/>
        </w:rPr>
      </w:pPr>
      <w:r>
        <w:rPr>
          <w:rFonts w:hint="eastAsia"/>
          <w:b/>
          <w:bCs/>
          <w:snapToGrid w:val="0"/>
          <w:color w:val="000000"/>
          <w:sz w:val="30"/>
          <w:szCs w:val="30"/>
        </w:rPr>
        <w:t>二、</w:t>
      </w:r>
      <w:r>
        <w:rPr>
          <w:b/>
          <w:bCs/>
          <w:snapToGrid w:val="0"/>
          <w:color w:val="000000"/>
          <w:sz w:val="30"/>
          <w:szCs w:val="30"/>
        </w:rPr>
        <w:t>建设项目工程分析</w:t>
      </w:r>
      <w:bookmarkEnd w:id="3"/>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32"/>
        <w:gridCol w:w="8707"/>
      </w:tblGrid>
      <w:tr w14:paraId="2716F9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7" w:hRule="atLeast"/>
          <w:jc w:val="center"/>
        </w:trPr>
        <w:tc>
          <w:tcPr>
            <w:tcW w:w="288" w:type="pct"/>
            <w:vAlign w:val="center"/>
          </w:tcPr>
          <w:p w14:paraId="6BEB1B35">
            <w:pPr>
              <w:pStyle w:val="21"/>
              <w:adjustRightInd w:val="0"/>
              <w:snapToGrid w:val="0"/>
              <w:spacing w:before="0" w:beforeAutospacing="0" w:after="0" w:afterAutospacing="0" w:line="360" w:lineRule="auto"/>
              <w:jc w:val="center"/>
              <w:rPr>
                <w:rFonts w:ascii="Times New Roman" w:hAnsi="Times New Roman"/>
                <w:szCs w:val="24"/>
              </w:rPr>
            </w:pPr>
            <w:r>
              <w:rPr>
                <w:rFonts w:ascii="Times New Roman" w:hAnsi="Times New Roman"/>
                <w:szCs w:val="24"/>
              </w:rPr>
              <w:t>建设内容</w:t>
            </w:r>
          </w:p>
        </w:tc>
        <w:tc>
          <w:tcPr>
            <w:tcW w:w="4711" w:type="pct"/>
            <w:vAlign w:val="center"/>
          </w:tcPr>
          <w:p w14:paraId="369DFF2E">
            <w:pPr>
              <w:adjustRightInd w:val="0"/>
              <w:snapToGrid w:val="0"/>
              <w:spacing w:line="360" w:lineRule="auto"/>
              <w:rPr>
                <w:spacing w:val="-6"/>
                <w:sz w:val="24"/>
                <w:szCs w:val="24"/>
              </w:rPr>
            </w:pPr>
            <w:bookmarkStart w:id="11" w:name="_Hlk135043980"/>
            <w:r>
              <w:rPr>
                <w:b/>
                <w:sz w:val="24"/>
                <w:szCs w:val="24"/>
              </w:rPr>
              <w:t>1 项目由来</w:t>
            </w:r>
          </w:p>
          <w:bookmarkEnd w:id="11"/>
          <w:p w14:paraId="7B55A900">
            <w:pPr>
              <w:adjustRightInd w:val="0"/>
              <w:snapToGrid w:val="0"/>
              <w:spacing w:line="360" w:lineRule="auto"/>
              <w:ind w:firstLine="456" w:firstLineChars="200"/>
              <w:rPr>
                <w:spacing w:val="-6"/>
                <w:sz w:val="24"/>
                <w:szCs w:val="24"/>
              </w:rPr>
            </w:pPr>
            <w:r>
              <w:rPr>
                <w:rFonts w:hint="eastAsia" w:cs="宋体"/>
                <w:spacing w:val="-6"/>
                <w:sz w:val="24"/>
                <w:szCs w:val="24"/>
                <w:lang w:bidi="ar"/>
              </w:rPr>
              <w:t>安化卤师兄食品有限公司拟投资</w:t>
            </w:r>
            <w:r>
              <w:rPr>
                <w:sz w:val="24"/>
                <w:szCs w:val="24"/>
                <w:lang w:bidi="ar"/>
              </w:rPr>
              <w:t>8000</w:t>
            </w:r>
            <w:r>
              <w:rPr>
                <w:rFonts w:hint="eastAsia" w:cs="宋体"/>
                <w:sz w:val="24"/>
                <w:szCs w:val="24"/>
                <w:lang w:bidi="ar"/>
              </w:rPr>
              <w:t>万元，</w:t>
            </w:r>
            <w:r>
              <w:rPr>
                <w:rFonts w:hint="eastAsia" w:cs="宋体"/>
                <w:spacing w:val="-6"/>
                <w:sz w:val="24"/>
                <w:szCs w:val="24"/>
                <w:lang w:bidi="ar"/>
              </w:rPr>
              <w:t>租赁位于安化县东坪镇茶家村茶语路南茶西路北</w:t>
            </w:r>
            <w:r>
              <w:rPr>
                <w:spacing w:val="-6"/>
                <w:sz w:val="24"/>
                <w:szCs w:val="24"/>
                <w:lang w:bidi="ar"/>
              </w:rPr>
              <w:t>B-02</w:t>
            </w:r>
            <w:r>
              <w:rPr>
                <w:rFonts w:hint="eastAsia" w:cs="宋体"/>
                <w:spacing w:val="-6"/>
                <w:sz w:val="24"/>
                <w:szCs w:val="24"/>
                <w:lang w:bidi="ar"/>
              </w:rPr>
              <w:t>栋标准化厂房从事食品加工，年产</w:t>
            </w:r>
            <w:r>
              <w:rPr>
                <w:spacing w:val="-6"/>
                <w:sz w:val="24"/>
                <w:szCs w:val="24"/>
                <w:lang w:bidi="ar"/>
              </w:rPr>
              <w:t>12000</w:t>
            </w:r>
            <w:r>
              <w:rPr>
                <w:rFonts w:hint="eastAsia" w:cs="宋体"/>
                <w:spacing w:val="-6"/>
                <w:sz w:val="24"/>
                <w:szCs w:val="24"/>
                <w:lang w:bidi="ar"/>
              </w:rPr>
              <w:t>吨肉类卤制品，</w:t>
            </w:r>
            <w:r>
              <w:rPr>
                <w:spacing w:val="-6"/>
                <w:sz w:val="24"/>
                <w:szCs w:val="24"/>
                <w:lang w:bidi="ar"/>
              </w:rPr>
              <w:t>3500</w:t>
            </w:r>
            <w:r>
              <w:rPr>
                <w:rFonts w:hint="eastAsia" w:cs="宋体"/>
                <w:spacing w:val="-6"/>
                <w:sz w:val="24"/>
                <w:szCs w:val="24"/>
                <w:lang w:bidi="ar"/>
              </w:rPr>
              <w:t>吨非即食性生制产品,。</w:t>
            </w:r>
          </w:p>
          <w:p w14:paraId="7DCB040C">
            <w:pPr>
              <w:adjustRightInd w:val="0"/>
              <w:snapToGrid w:val="0"/>
              <w:spacing w:line="360" w:lineRule="auto"/>
              <w:ind w:firstLine="456" w:firstLineChars="200"/>
              <w:rPr>
                <w:spacing w:val="-6"/>
                <w:sz w:val="24"/>
                <w:szCs w:val="24"/>
              </w:rPr>
            </w:pPr>
            <w:r>
              <w:rPr>
                <w:rFonts w:hint="eastAsia" w:cs="宋体"/>
                <w:spacing w:val="-6"/>
                <w:sz w:val="24"/>
                <w:szCs w:val="24"/>
                <w:lang w:bidi="ar"/>
              </w:rPr>
              <w:t>根据《中华人民共和国环境影响评价法》（</w:t>
            </w:r>
            <w:r>
              <w:rPr>
                <w:spacing w:val="-6"/>
                <w:sz w:val="24"/>
                <w:szCs w:val="24"/>
                <w:lang w:bidi="ar"/>
              </w:rPr>
              <w:t>2018</w:t>
            </w:r>
            <w:r>
              <w:rPr>
                <w:rFonts w:hint="eastAsia" w:cs="宋体"/>
                <w:spacing w:val="-6"/>
                <w:sz w:val="24"/>
                <w:szCs w:val="24"/>
                <w:lang w:bidi="ar"/>
              </w:rPr>
              <w:t>年</w:t>
            </w:r>
            <w:r>
              <w:rPr>
                <w:spacing w:val="-6"/>
                <w:sz w:val="24"/>
                <w:szCs w:val="24"/>
                <w:lang w:bidi="ar"/>
              </w:rPr>
              <w:t>12</w:t>
            </w:r>
            <w:r>
              <w:rPr>
                <w:rFonts w:hint="eastAsia" w:cs="宋体"/>
                <w:spacing w:val="-6"/>
                <w:sz w:val="24"/>
                <w:szCs w:val="24"/>
                <w:lang w:bidi="ar"/>
              </w:rPr>
              <w:t>月</w:t>
            </w:r>
            <w:r>
              <w:rPr>
                <w:spacing w:val="-6"/>
                <w:sz w:val="24"/>
                <w:szCs w:val="24"/>
                <w:lang w:bidi="ar"/>
              </w:rPr>
              <w:t>29</w:t>
            </w:r>
            <w:r>
              <w:rPr>
                <w:rFonts w:hint="eastAsia" w:cs="宋体"/>
                <w:spacing w:val="-6"/>
                <w:sz w:val="24"/>
                <w:szCs w:val="24"/>
                <w:lang w:bidi="ar"/>
              </w:rPr>
              <w:t>日修订）、《建设项目环境保护管理条例》（国务院令第</w:t>
            </w:r>
            <w:r>
              <w:rPr>
                <w:spacing w:val="-6"/>
                <w:sz w:val="24"/>
                <w:szCs w:val="24"/>
                <w:lang w:bidi="ar"/>
              </w:rPr>
              <w:t xml:space="preserve"> 682 </w:t>
            </w:r>
            <w:r>
              <w:rPr>
                <w:rFonts w:hint="eastAsia" w:cs="宋体"/>
                <w:spacing w:val="-6"/>
                <w:sz w:val="24"/>
                <w:szCs w:val="24"/>
                <w:lang w:bidi="ar"/>
              </w:rPr>
              <w:t>号）等相关的法律、法规要求，该项目需要进行环境影响评价。查阅《建设项目环境影响评价分类管理名录》（</w:t>
            </w:r>
            <w:r>
              <w:rPr>
                <w:spacing w:val="-6"/>
                <w:sz w:val="24"/>
                <w:szCs w:val="24"/>
                <w:lang w:bidi="ar"/>
              </w:rPr>
              <w:t xml:space="preserve">2021 </w:t>
            </w:r>
            <w:r>
              <w:rPr>
                <w:rFonts w:hint="eastAsia" w:cs="宋体"/>
                <w:spacing w:val="-6"/>
                <w:sz w:val="24"/>
                <w:szCs w:val="24"/>
                <w:lang w:bidi="ar"/>
              </w:rPr>
              <w:t>年版），本项目属于其中</w:t>
            </w:r>
            <w:r>
              <w:rPr>
                <w:rFonts w:hint="eastAsia" w:ascii="宋体" w:hAnsi="宋体" w:cs="宋体"/>
                <w:spacing w:val="-6"/>
                <w:sz w:val="24"/>
                <w:szCs w:val="24"/>
                <w:lang w:bidi="ar"/>
              </w:rPr>
              <w:t xml:space="preserve">“四十一、电力、热力生产和供应业 </w:t>
            </w:r>
            <w:r>
              <w:rPr>
                <w:spacing w:val="-6"/>
                <w:sz w:val="24"/>
                <w:szCs w:val="24"/>
                <w:lang w:bidi="ar"/>
              </w:rPr>
              <w:t>91</w:t>
            </w:r>
            <w:r>
              <w:rPr>
                <w:rFonts w:hint="eastAsia" w:ascii="宋体" w:hAnsi="宋体" w:cs="宋体"/>
                <w:spacing w:val="-6"/>
                <w:sz w:val="24"/>
                <w:szCs w:val="24"/>
                <w:lang w:bidi="ar"/>
              </w:rPr>
              <w:t xml:space="preserve"> 热力生产和供应工程（包括建设单位自建自用的供热工程）”</w:t>
            </w:r>
            <w:r>
              <w:rPr>
                <w:rFonts w:hint="eastAsia" w:cs="宋体"/>
                <w:spacing w:val="-6"/>
                <w:sz w:val="24"/>
                <w:szCs w:val="24"/>
                <w:lang w:bidi="ar"/>
              </w:rPr>
              <w:t>，应编制环境影响报告表。</w:t>
            </w:r>
          </w:p>
          <w:p w14:paraId="4F43C206">
            <w:pPr>
              <w:adjustRightInd w:val="0"/>
              <w:snapToGrid w:val="0"/>
              <w:spacing w:line="360" w:lineRule="auto"/>
              <w:rPr>
                <w:b/>
                <w:spacing w:val="-6"/>
                <w:sz w:val="24"/>
                <w:szCs w:val="24"/>
              </w:rPr>
            </w:pPr>
            <w:r>
              <w:rPr>
                <w:b/>
                <w:spacing w:val="-6"/>
                <w:sz w:val="24"/>
                <w:szCs w:val="24"/>
              </w:rPr>
              <w:t>2 项目主要建设内容</w:t>
            </w:r>
          </w:p>
          <w:p w14:paraId="2E2D661D">
            <w:pPr>
              <w:adjustRightInd w:val="0"/>
              <w:snapToGrid w:val="0"/>
              <w:spacing w:line="360" w:lineRule="auto"/>
              <w:ind w:firstLine="456" w:firstLineChars="200"/>
              <w:rPr>
                <w:spacing w:val="-6"/>
                <w:sz w:val="24"/>
                <w:szCs w:val="24"/>
              </w:rPr>
            </w:pPr>
            <w:r>
              <w:rPr>
                <w:spacing w:val="-6"/>
                <w:sz w:val="24"/>
                <w:szCs w:val="24"/>
              </w:rPr>
              <w:t>项目组成见表 2-1。</w:t>
            </w:r>
          </w:p>
          <w:p w14:paraId="71FCAD5A">
            <w:pPr>
              <w:spacing w:line="360" w:lineRule="auto"/>
              <w:jc w:val="center"/>
              <w:rPr>
                <w:b/>
                <w:bCs/>
                <w:kern w:val="0"/>
                <w:sz w:val="24"/>
                <w:szCs w:val="24"/>
              </w:rPr>
            </w:pPr>
            <w:r>
              <w:rPr>
                <w:b/>
                <w:bCs/>
                <w:kern w:val="0"/>
                <w:sz w:val="24"/>
                <w:szCs w:val="24"/>
              </w:rPr>
              <w:t>表2-1  本项目主要建设内容一览表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65"/>
              <w:gridCol w:w="1797"/>
              <w:gridCol w:w="5899"/>
            </w:tblGrid>
            <w:tr w14:paraId="4C84F1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2" w:type="pct"/>
                  <w:tcBorders>
                    <w:top w:val="single" w:color="auto" w:sz="12" w:space="0"/>
                    <w:left w:val="single" w:color="auto" w:sz="12" w:space="0"/>
                    <w:bottom w:val="single" w:color="auto" w:sz="6" w:space="0"/>
                    <w:right w:val="single" w:color="auto" w:sz="6" w:space="0"/>
                  </w:tcBorders>
                  <w:shd w:val="clear" w:color="auto" w:fill="auto"/>
                  <w:vAlign w:val="center"/>
                </w:tcPr>
                <w:p w14:paraId="542F6221">
                  <w:pPr>
                    <w:pStyle w:val="21"/>
                    <w:snapToGrid w:val="0"/>
                    <w:spacing w:before="0" w:after="0"/>
                    <w:jc w:val="center"/>
                    <w:rPr>
                      <w:rFonts w:ascii="Times New Roman" w:hAnsi="Times New Roman"/>
                      <w:b/>
                      <w:sz w:val="21"/>
                      <w:szCs w:val="21"/>
                      <w:u w:val="single"/>
                    </w:rPr>
                  </w:pPr>
                  <w:bookmarkStart w:id="12" w:name="_Hlk135043901"/>
                  <w:bookmarkStart w:id="13" w:name="_Hlk135043907"/>
                  <w:r>
                    <w:rPr>
                      <w:rFonts w:ascii="Times New Roman" w:hAnsi="Times New Roman"/>
                      <w:b/>
                      <w:sz w:val="21"/>
                      <w:szCs w:val="21"/>
                      <w:u w:val="single"/>
                    </w:rPr>
                    <w:t>工程类别</w:t>
                  </w:r>
                </w:p>
              </w:tc>
              <w:tc>
                <w:tcPr>
                  <w:tcW w:w="4547" w:type="pct"/>
                  <w:gridSpan w:val="2"/>
                  <w:tcBorders>
                    <w:top w:val="single" w:color="auto" w:sz="12" w:space="0"/>
                    <w:left w:val="single" w:color="auto" w:sz="6" w:space="0"/>
                    <w:bottom w:val="single" w:color="auto" w:sz="6" w:space="0"/>
                    <w:right w:val="single" w:color="auto" w:sz="12" w:space="0"/>
                  </w:tcBorders>
                  <w:shd w:val="clear" w:color="auto" w:fill="auto"/>
                  <w:vAlign w:val="center"/>
                </w:tcPr>
                <w:p w14:paraId="7628BD83">
                  <w:pPr>
                    <w:pStyle w:val="21"/>
                    <w:snapToGrid w:val="0"/>
                    <w:spacing w:before="0" w:after="0"/>
                    <w:jc w:val="center"/>
                    <w:rPr>
                      <w:rFonts w:ascii="Times New Roman" w:hAnsi="Times New Roman"/>
                      <w:b/>
                      <w:sz w:val="21"/>
                      <w:szCs w:val="21"/>
                      <w:u w:val="single"/>
                    </w:rPr>
                  </w:pPr>
                  <w:r>
                    <w:rPr>
                      <w:rFonts w:ascii="Times New Roman" w:hAnsi="Times New Roman"/>
                      <w:b/>
                      <w:sz w:val="21"/>
                      <w:szCs w:val="21"/>
                      <w:u w:val="single"/>
                    </w:rPr>
                    <w:t>工程内容</w:t>
                  </w:r>
                </w:p>
              </w:tc>
            </w:tr>
            <w:tr w14:paraId="0E8CF0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2" w:type="pct"/>
                  <w:vMerge w:val="restart"/>
                  <w:tcBorders>
                    <w:top w:val="single" w:color="auto" w:sz="6" w:space="0"/>
                    <w:left w:val="single" w:color="auto" w:sz="12" w:space="0"/>
                    <w:bottom w:val="single" w:color="auto" w:sz="6" w:space="0"/>
                    <w:right w:val="single" w:color="auto" w:sz="6" w:space="0"/>
                  </w:tcBorders>
                  <w:shd w:val="clear" w:color="auto" w:fill="auto"/>
                  <w:vAlign w:val="center"/>
                </w:tcPr>
                <w:p w14:paraId="00F632F7">
                  <w:pPr>
                    <w:pStyle w:val="21"/>
                    <w:snapToGrid w:val="0"/>
                    <w:spacing w:before="0" w:after="0"/>
                    <w:jc w:val="center"/>
                    <w:rPr>
                      <w:rFonts w:ascii="Times New Roman" w:hAnsi="Times New Roman"/>
                      <w:sz w:val="21"/>
                      <w:szCs w:val="21"/>
                      <w:u w:val="single"/>
                    </w:rPr>
                  </w:pPr>
                  <w:r>
                    <w:rPr>
                      <w:rFonts w:ascii="Times New Roman" w:hAnsi="Times New Roman"/>
                      <w:sz w:val="21"/>
                      <w:szCs w:val="21"/>
                      <w:u w:val="single"/>
                    </w:rPr>
                    <w:t>主体工程</w:t>
                  </w:r>
                </w:p>
              </w:tc>
              <w:tc>
                <w:tcPr>
                  <w:tcW w:w="1062" w:type="pct"/>
                  <w:vMerge w:val="restart"/>
                  <w:tcBorders>
                    <w:top w:val="single" w:color="auto" w:sz="6" w:space="0"/>
                    <w:left w:val="single" w:color="auto" w:sz="6" w:space="0"/>
                    <w:bottom w:val="single" w:color="auto" w:sz="6" w:space="0"/>
                    <w:right w:val="single" w:color="auto" w:sz="6" w:space="0"/>
                  </w:tcBorders>
                  <w:shd w:val="clear" w:color="auto" w:fill="auto"/>
                  <w:vAlign w:val="center"/>
                </w:tcPr>
                <w:p w14:paraId="48C4E257">
                  <w:pPr>
                    <w:pStyle w:val="21"/>
                    <w:snapToGrid w:val="0"/>
                    <w:spacing w:before="0" w:after="0"/>
                    <w:jc w:val="center"/>
                    <w:rPr>
                      <w:rFonts w:ascii="Times New Roman" w:hAnsi="Times New Roman"/>
                      <w:sz w:val="21"/>
                      <w:szCs w:val="21"/>
                      <w:u w:val="single"/>
                    </w:rPr>
                  </w:pPr>
                  <w:r>
                    <w:rPr>
                      <w:rFonts w:ascii="Times New Roman" w:hAnsi="Times New Roman"/>
                      <w:sz w:val="21"/>
                      <w:szCs w:val="21"/>
                      <w:u w:val="single"/>
                    </w:rPr>
                    <w:t>生产车间（13#栋）</w:t>
                  </w:r>
                </w:p>
              </w:tc>
              <w:tc>
                <w:tcPr>
                  <w:tcW w:w="3484" w:type="pct"/>
                  <w:tcBorders>
                    <w:top w:val="single" w:color="auto" w:sz="6" w:space="0"/>
                    <w:left w:val="single" w:color="auto" w:sz="6" w:space="0"/>
                    <w:bottom w:val="single" w:color="auto" w:sz="6" w:space="0"/>
                    <w:right w:val="single" w:color="auto" w:sz="12" w:space="0"/>
                  </w:tcBorders>
                  <w:shd w:val="clear" w:color="auto" w:fill="auto"/>
                  <w:vAlign w:val="center"/>
                </w:tcPr>
                <w:p w14:paraId="7608BBD2">
                  <w:pPr>
                    <w:pStyle w:val="21"/>
                    <w:snapToGrid w:val="0"/>
                    <w:spacing w:before="0" w:after="0"/>
                    <w:jc w:val="center"/>
                    <w:rPr>
                      <w:rFonts w:ascii="Times New Roman" w:hAnsi="Times New Roman"/>
                      <w:sz w:val="21"/>
                      <w:szCs w:val="21"/>
                      <w:u w:val="single"/>
                    </w:rPr>
                  </w:pPr>
                  <w:r>
                    <w:rPr>
                      <w:rFonts w:ascii="Times New Roman" w:hAnsi="Times New Roman"/>
                      <w:sz w:val="21"/>
                      <w:szCs w:val="21"/>
                      <w:u w:val="single"/>
                    </w:rPr>
                    <w:t>总占地面积17083.06 m</w:t>
                  </w:r>
                  <w:r>
                    <w:rPr>
                      <w:rFonts w:ascii="Times New Roman" w:hAnsi="Times New Roman"/>
                      <w:sz w:val="21"/>
                      <w:szCs w:val="21"/>
                      <w:u w:val="single"/>
                      <w:vertAlign w:val="superscript"/>
                    </w:rPr>
                    <w:t>2</w:t>
                  </w:r>
                  <w:r>
                    <w:rPr>
                      <w:rFonts w:ascii="Times New Roman" w:hAnsi="Times New Roman"/>
                      <w:sz w:val="21"/>
                      <w:szCs w:val="21"/>
                      <w:u w:val="single"/>
                    </w:rPr>
                    <w:t>，1F，预留部分车间；主要设置有急冻库、洁净周转区、黄豆浸泡区、拆包解冻区、腌制区、配料间、水产品加工区、锅炉车间等</w:t>
                  </w:r>
                </w:p>
              </w:tc>
            </w:tr>
            <w:tr w14:paraId="6C901A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2" w:type="pct"/>
                  <w:vMerge w:val="continue"/>
                  <w:tcBorders>
                    <w:top w:val="single" w:color="auto" w:sz="6" w:space="0"/>
                    <w:left w:val="single" w:color="auto" w:sz="12" w:space="0"/>
                    <w:bottom w:val="single" w:color="auto" w:sz="6" w:space="0"/>
                    <w:right w:val="single" w:color="auto" w:sz="6" w:space="0"/>
                  </w:tcBorders>
                  <w:shd w:val="clear" w:color="auto" w:fill="auto"/>
                  <w:vAlign w:val="center"/>
                </w:tcPr>
                <w:p w14:paraId="3EE09542">
                  <w:pPr>
                    <w:rPr>
                      <w:szCs w:val="21"/>
                      <w:u w:val="single"/>
                    </w:rPr>
                  </w:pPr>
                </w:p>
              </w:tc>
              <w:tc>
                <w:tcPr>
                  <w:tcW w:w="1062"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78EB3AA4">
                  <w:pPr>
                    <w:rPr>
                      <w:szCs w:val="21"/>
                      <w:u w:val="single"/>
                    </w:rPr>
                  </w:pPr>
                </w:p>
              </w:tc>
              <w:tc>
                <w:tcPr>
                  <w:tcW w:w="3484" w:type="pct"/>
                  <w:tcBorders>
                    <w:top w:val="single" w:color="auto" w:sz="6" w:space="0"/>
                    <w:left w:val="single" w:color="auto" w:sz="6" w:space="0"/>
                    <w:bottom w:val="single" w:color="auto" w:sz="6" w:space="0"/>
                    <w:right w:val="single" w:color="auto" w:sz="12" w:space="0"/>
                  </w:tcBorders>
                  <w:shd w:val="clear" w:color="auto" w:fill="auto"/>
                  <w:vAlign w:val="center"/>
                </w:tcPr>
                <w:p w14:paraId="217D2A9E">
                  <w:pPr>
                    <w:pStyle w:val="21"/>
                    <w:snapToGrid w:val="0"/>
                    <w:spacing w:before="0" w:after="0"/>
                    <w:jc w:val="center"/>
                    <w:rPr>
                      <w:rFonts w:ascii="Times New Roman" w:hAnsi="Times New Roman"/>
                      <w:sz w:val="21"/>
                      <w:szCs w:val="21"/>
                      <w:u w:val="single"/>
                    </w:rPr>
                  </w:pPr>
                  <w:r>
                    <w:rPr>
                      <w:rFonts w:ascii="Times New Roman" w:hAnsi="Times New Roman"/>
                      <w:sz w:val="21"/>
                      <w:szCs w:val="21"/>
                      <w:u w:val="single"/>
                    </w:rPr>
                    <w:t>2F，主要设置一条产品生产加工线，主要包括腌制区、焯水区、卤制区、拌料区、摊凉区、配料间、选包区、内包区等</w:t>
                  </w:r>
                </w:p>
              </w:tc>
            </w:tr>
            <w:tr w14:paraId="2F95FC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2" w:type="pct"/>
                  <w:vMerge w:val="continue"/>
                  <w:tcBorders>
                    <w:top w:val="single" w:color="auto" w:sz="6" w:space="0"/>
                    <w:left w:val="single" w:color="auto" w:sz="12" w:space="0"/>
                    <w:bottom w:val="single" w:color="auto" w:sz="6" w:space="0"/>
                    <w:right w:val="single" w:color="auto" w:sz="6" w:space="0"/>
                  </w:tcBorders>
                  <w:shd w:val="clear" w:color="auto" w:fill="auto"/>
                  <w:vAlign w:val="center"/>
                </w:tcPr>
                <w:p w14:paraId="12B1F963">
                  <w:pPr>
                    <w:rPr>
                      <w:szCs w:val="21"/>
                      <w:u w:val="single"/>
                    </w:rPr>
                  </w:pPr>
                </w:p>
              </w:tc>
              <w:tc>
                <w:tcPr>
                  <w:tcW w:w="1062"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58B5C538">
                  <w:pPr>
                    <w:rPr>
                      <w:szCs w:val="21"/>
                      <w:u w:val="single"/>
                    </w:rPr>
                  </w:pPr>
                </w:p>
              </w:tc>
              <w:tc>
                <w:tcPr>
                  <w:tcW w:w="3484" w:type="pct"/>
                  <w:tcBorders>
                    <w:top w:val="single" w:color="auto" w:sz="6" w:space="0"/>
                    <w:left w:val="single" w:color="auto" w:sz="6" w:space="0"/>
                    <w:bottom w:val="single" w:color="auto" w:sz="6" w:space="0"/>
                    <w:right w:val="single" w:color="auto" w:sz="12" w:space="0"/>
                  </w:tcBorders>
                  <w:shd w:val="clear" w:color="auto" w:fill="auto"/>
                  <w:vAlign w:val="center"/>
                </w:tcPr>
                <w:p w14:paraId="1710512D">
                  <w:pPr>
                    <w:pStyle w:val="21"/>
                    <w:snapToGrid w:val="0"/>
                    <w:spacing w:before="0" w:after="0"/>
                    <w:jc w:val="center"/>
                    <w:rPr>
                      <w:rFonts w:ascii="Times New Roman" w:hAnsi="Times New Roman"/>
                      <w:sz w:val="21"/>
                      <w:szCs w:val="21"/>
                      <w:u w:val="single"/>
                    </w:rPr>
                  </w:pPr>
                  <w:r>
                    <w:rPr>
                      <w:rFonts w:ascii="Times New Roman" w:hAnsi="Times New Roman"/>
                      <w:sz w:val="21"/>
                      <w:szCs w:val="21"/>
                      <w:u w:val="single"/>
                    </w:rPr>
                    <w:t>3F，主要设置调味料生产加工区、清洗烘干流水线、人工包装区、外包区、内包区、静置区、成品仓库等</w:t>
                  </w:r>
                </w:p>
              </w:tc>
            </w:tr>
            <w:tr w14:paraId="0C851B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2" w:type="pct"/>
                  <w:vMerge w:val="continue"/>
                  <w:tcBorders>
                    <w:top w:val="single" w:color="auto" w:sz="6" w:space="0"/>
                    <w:left w:val="single" w:color="auto" w:sz="12" w:space="0"/>
                    <w:bottom w:val="single" w:color="auto" w:sz="6" w:space="0"/>
                    <w:right w:val="single" w:color="auto" w:sz="6" w:space="0"/>
                  </w:tcBorders>
                  <w:shd w:val="clear" w:color="auto" w:fill="auto"/>
                  <w:vAlign w:val="center"/>
                </w:tcPr>
                <w:p w14:paraId="5FB2A4B9">
                  <w:pPr>
                    <w:rPr>
                      <w:szCs w:val="21"/>
                      <w:u w:val="single"/>
                    </w:rPr>
                  </w:pPr>
                </w:p>
              </w:tc>
              <w:tc>
                <w:tcPr>
                  <w:tcW w:w="1062"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3BA684B4">
                  <w:pPr>
                    <w:rPr>
                      <w:szCs w:val="21"/>
                      <w:u w:val="single"/>
                    </w:rPr>
                  </w:pPr>
                </w:p>
              </w:tc>
              <w:tc>
                <w:tcPr>
                  <w:tcW w:w="3484" w:type="pct"/>
                  <w:tcBorders>
                    <w:top w:val="single" w:color="auto" w:sz="6" w:space="0"/>
                    <w:left w:val="single" w:color="auto" w:sz="6" w:space="0"/>
                    <w:bottom w:val="single" w:color="auto" w:sz="6" w:space="0"/>
                    <w:right w:val="single" w:color="auto" w:sz="12" w:space="0"/>
                  </w:tcBorders>
                  <w:shd w:val="clear" w:color="auto" w:fill="auto"/>
                  <w:vAlign w:val="center"/>
                </w:tcPr>
                <w:p w14:paraId="6880EBBF">
                  <w:pPr>
                    <w:pStyle w:val="21"/>
                    <w:snapToGrid w:val="0"/>
                    <w:spacing w:before="0" w:after="0"/>
                    <w:jc w:val="center"/>
                    <w:rPr>
                      <w:rFonts w:ascii="Times New Roman" w:hAnsi="Times New Roman"/>
                      <w:sz w:val="21"/>
                      <w:szCs w:val="21"/>
                      <w:u w:val="single"/>
                    </w:rPr>
                  </w:pPr>
                  <w:r>
                    <w:rPr>
                      <w:rFonts w:ascii="Times New Roman" w:hAnsi="Times New Roman"/>
                      <w:sz w:val="21"/>
                      <w:szCs w:val="21"/>
                      <w:u w:val="single"/>
                    </w:rPr>
                    <w:t>4F，预留部分车间；现阶段主要设置有辅料仓库、劳保用品仓库、</w:t>
                  </w:r>
                  <w:r>
                    <w:rPr>
                      <w:rFonts w:hint="eastAsia" w:ascii="Times New Roman" w:hAnsi="Times New Roman"/>
                      <w:sz w:val="21"/>
                      <w:szCs w:val="21"/>
                      <w:u w:val="single"/>
                    </w:rPr>
                    <w:t>添加剂仓库</w:t>
                  </w:r>
                  <w:r>
                    <w:rPr>
                      <w:rFonts w:ascii="Times New Roman" w:hAnsi="Times New Roman"/>
                      <w:sz w:val="21"/>
                      <w:szCs w:val="21"/>
                      <w:u w:val="single"/>
                    </w:rPr>
                    <w:t>等</w:t>
                  </w:r>
                </w:p>
              </w:tc>
            </w:tr>
            <w:tr w14:paraId="366A0E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2" w:type="pct"/>
                  <w:vMerge w:val="restart"/>
                  <w:tcBorders>
                    <w:top w:val="single" w:color="auto" w:sz="6" w:space="0"/>
                    <w:left w:val="single" w:color="auto" w:sz="12" w:space="0"/>
                    <w:right w:val="single" w:color="auto" w:sz="6" w:space="0"/>
                  </w:tcBorders>
                  <w:shd w:val="clear" w:color="auto" w:fill="auto"/>
                  <w:vAlign w:val="center"/>
                </w:tcPr>
                <w:p w14:paraId="333331A2">
                  <w:pPr>
                    <w:pStyle w:val="21"/>
                    <w:snapToGrid w:val="0"/>
                    <w:spacing w:before="0" w:after="0"/>
                    <w:jc w:val="center"/>
                    <w:rPr>
                      <w:rFonts w:ascii="Times New Roman" w:hAnsi="Times New Roman"/>
                      <w:sz w:val="21"/>
                      <w:szCs w:val="21"/>
                      <w:u w:val="single"/>
                    </w:rPr>
                  </w:pPr>
                  <w:r>
                    <w:rPr>
                      <w:rFonts w:ascii="Times New Roman" w:hAnsi="Times New Roman"/>
                      <w:sz w:val="21"/>
                      <w:szCs w:val="21"/>
                      <w:u w:val="single"/>
                    </w:rPr>
                    <w:t>辅助工程</w:t>
                  </w:r>
                </w:p>
              </w:tc>
              <w:tc>
                <w:tcPr>
                  <w:tcW w:w="1062" w:type="pct"/>
                  <w:tcBorders>
                    <w:top w:val="single" w:color="auto" w:sz="6" w:space="0"/>
                    <w:left w:val="single" w:color="auto" w:sz="6" w:space="0"/>
                    <w:bottom w:val="single" w:color="auto" w:sz="6" w:space="0"/>
                    <w:right w:val="single" w:color="auto" w:sz="6" w:space="0"/>
                  </w:tcBorders>
                  <w:shd w:val="clear" w:color="auto" w:fill="auto"/>
                  <w:vAlign w:val="center"/>
                </w:tcPr>
                <w:p w14:paraId="7DC99143">
                  <w:pPr>
                    <w:pStyle w:val="21"/>
                    <w:snapToGrid w:val="0"/>
                    <w:spacing w:before="0" w:after="0"/>
                    <w:jc w:val="center"/>
                    <w:rPr>
                      <w:rFonts w:ascii="Times New Roman" w:hAnsi="Times New Roman"/>
                      <w:sz w:val="21"/>
                      <w:szCs w:val="21"/>
                      <w:u w:val="single"/>
                    </w:rPr>
                  </w:pPr>
                  <w:r>
                    <w:rPr>
                      <w:rFonts w:ascii="Times New Roman" w:hAnsi="Times New Roman"/>
                      <w:sz w:val="21"/>
                      <w:szCs w:val="21"/>
                      <w:u w:val="single"/>
                    </w:rPr>
                    <w:t>办公区</w:t>
                  </w:r>
                </w:p>
              </w:tc>
              <w:tc>
                <w:tcPr>
                  <w:tcW w:w="3484" w:type="pct"/>
                  <w:tcBorders>
                    <w:top w:val="single" w:color="auto" w:sz="6" w:space="0"/>
                    <w:left w:val="single" w:color="auto" w:sz="6" w:space="0"/>
                    <w:bottom w:val="single" w:color="auto" w:sz="6" w:space="0"/>
                    <w:right w:val="single" w:color="auto" w:sz="12" w:space="0"/>
                  </w:tcBorders>
                  <w:shd w:val="clear" w:color="auto" w:fill="auto"/>
                  <w:vAlign w:val="center"/>
                </w:tcPr>
                <w:p w14:paraId="2EFAE639">
                  <w:pPr>
                    <w:pStyle w:val="21"/>
                    <w:snapToGrid w:val="0"/>
                    <w:spacing w:before="0" w:after="0"/>
                    <w:jc w:val="center"/>
                    <w:rPr>
                      <w:rFonts w:ascii="Times New Roman" w:hAnsi="Times New Roman"/>
                      <w:b/>
                      <w:bCs/>
                      <w:sz w:val="21"/>
                      <w:szCs w:val="21"/>
                      <w:u w:val="single"/>
                    </w:rPr>
                  </w:pPr>
                  <w:r>
                    <w:rPr>
                      <w:rFonts w:ascii="Times New Roman" w:hAnsi="Times New Roman"/>
                      <w:sz w:val="21"/>
                      <w:szCs w:val="21"/>
                      <w:u w:val="single"/>
                    </w:rPr>
                    <w:t>设置在车间3F东侧，设置有办公室、休息区</w:t>
                  </w:r>
                </w:p>
              </w:tc>
            </w:tr>
            <w:tr w14:paraId="476CC7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2" w:type="pct"/>
                  <w:vMerge w:val="continue"/>
                  <w:tcBorders>
                    <w:left w:val="single" w:color="auto" w:sz="12" w:space="0"/>
                    <w:bottom w:val="single" w:color="auto" w:sz="6" w:space="0"/>
                    <w:right w:val="single" w:color="auto" w:sz="6" w:space="0"/>
                  </w:tcBorders>
                  <w:shd w:val="clear" w:color="auto" w:fill="auto"/>
                  <w:vAlign w:val="center"/>
                </w:tcPr>
                <w:p w14:paraId="7B77321C">
                  <w:pPr>
                    <w:pStyle w:val="21"/>
                    <w:snapToGrid w:val="0"/>
                    <w:spacing w:before="0" w:after="0"/>
                    <w:jc w:val="center"/>
                    <w:rPr>
                      <w:rFonts w:ascii="Times New Roman" w:hAnsi="Times New Roman"/>
                      <w:sz w:val="21"/>
                      <w:szCs w:val="21"/>
                      <w:u w:val="single"/>
                    </w:rPr>
                  </w:pPr>
                </w:p>
              </w:tc>
              <w:tc>
                <w:tcPr>
                  <w:tcW w:w="1062" w:type="pct"/>
                  <w:tcBorders>
                    <w:top w:val="single" w:color="auto" w:sz="6" w:space="0"/>
                    <w:left w:val="single" w:color="auto" w:sz="6" w:space="0"/>
                    <w:bottom w:val="single" w:color="auto" w:sz="6" w:space="0"/>
                    <w:right w:val="single" w:color="auto" w:sz="6" w:space="0"/>
                  </w:tcBorders>
                  <w:shd w:val="clear" w:color="auto" w:fill="auto"/>
                  <w:vAlign w:val="center"/>
                </w:tcPr>
                <w:p w14:paraId="4E379B17">
                  <w:pPr>
                    <w:pStyle w:val="21"/>
                    <w:snapToGrid w:val="0"/>
                    <w:spacing w:before="0" w:after="0"/>
                    <w:jc w:val="center"/>
                    <w:rPr>
                      <w:rFonts w:ascii="Times New Roman" w:hAnsi="Times New Roman"/>
                      <w:sz w:val="21"/>
                      <w:szCs w:val="21"/>
                      <w:u w:val="single"/>
                    </w:rPr>
                  </w:pPr>
                  <w:r>
                    <w:rPr>
                      <w:rFonts w:hint="eastAsia" w:ascii="Times New Roman" w:hAnsi="Times New Roman"/>
                      <w:sz w:val="21"/>
                      <w:szCs w:val="21"/>
                      <w:u w:val="single"/>
                    </w:rPr>
                    <w:t>检验室</w:t>
                  </w:r>
                </w:p>
              </w:tc>
              <w:tc>
                <w:tcPr>
                  <w:tcW w:w="3484" w:type="pct"/>
                  <w:tcBorders>
                    <w:top w:val="single" w:color="auto" w:sz="6" w:space="0"/>
                    <w:left w:val="single" w:color="auto" w:sz="6" w:space="0"/>
                    <w:bottom w:val="single" w:color="auto" w:sz="6" w:space="0"/>
                    <w:right w:val="single" w:color="auto" w:sz="12" w:space="0"/>
                  </w:tcBorders>
                  <w:shd w:val="clear" w:color="auto" w:fill="auto"/>
                  <w:vAlign w:val="center"/>
                </w:tcPr>
                <w:p w14:paraId="22E7F1B6">
                  <w:pPr>
                    <w:pStyle w:val="21"/>
                    <w:snapToGrid w:val="0"/>
                    <w:spacing w:before="0" w:beforeAutospacing="0" w:after="0" w:afterAutospacing="0"/>
                    <w:jc w:val="center"/>
                    <w:rPr>
                      <w:rFonts w:ascii="Times New Roman" w:hAnsi="Times New Roman"/>
                      <w:sz w:val="21"/>
                      <w:szCs w:val="21"/>
                      <w:u w:val="single"/>
                    </w:rPr>
                  </w:pPr>
                  <w:r>
                    <w:rPr>
                      <w:rFonts w:hint="eastAsia" w:ascii="Times New Roman" w:hAnsi="Times New Roman"/>
                      <w:sz w:val="21"/>
                      <w:szCs w:val="21"/>
                      <w:u w:val="single"/>
                    </w:rPr>
                    <w:t>车间4F；</w:t>
                  </w:r>
                  <w:r>
                    <w:rPr>
                      <w:rFonts w:ascii="Times New Roman" w:hAnsi="Times New Roman"/>
                      <w:sz w:val="21"/>
                      <w:szCs w:val="21"/>
                      <w:u w:val="single"/>
                    </w:rPr>
                    <w:t>用于产品检测，其检测项目主要为水分、感官净含量、菌落总数、大肠菌群等，不涉及化学药剂的使用。</w:t>
                  </w:r>
                </w:p>
              </w:tc>
            </w:tr>
            <w:tr w14:paraId="2AE89C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2" w:type="pct"/>
                  <w:vMerge w:val="restart"/>
                  <w:tcBorders>
                    <w:top w:val="single" w:color="auto" w:sz="6" w:space="0"/>
                    <w:left w:val="single" w:color="auto" w:sz="12" w:space="0"/>
                    <w:bottom w:val="single" w:color="auto" w:sz="6" w:space="0"/>
                    <w:right w:val="single" w:color="auto" w:sz="6" w:space="0"/>
                  </w:tcBorders>
                  <w:shd w:val="clear" w:color="auto" w:fill="auto"/>
                  <w:vAlign w:val="center"/>
                </w:tcPr>
                <w:p w14:paraId="74D9B98C">
                  <w:pPr>
                    <w:pStyle w:val="21"/>
                    <w:snapToGrid w:val="0"/>
                    <w:spacing w:before="0" w:after="0"/>
                    <w:jc w:val="center"/>
                    <w:rPr>
                      <w:rFonts w:ascii="Times New Roman" w:hAnsi="Times New Roman"/>
                      <w:sz w:val="21"/>
                      <w:szCs w:val="21"/>
                      <w:u w:val="single"/>
                    </w:rPr>
                  </w:pPr>
                  <w:r>
                    <w:rPr>
                      <w:rFonts w:ascii="Times New Roman" w:hAnsi="Times New Roman"/>
                      <w:sz w:val="21"/>
                      <w:szCs w:val="21"/>
                      <w:u w:val="single"/>
                    </w:rPr>
                    <w:t>储运工程</w:t>
                  </w:r>
                </w:p>
              </w:tc>
              <w:tc>
                <w:tcPr>
                  <w:tcW w:w="1062" w:type="pct"/>
                  <w:tcBorders>
                    <w:top w:val="single" w:color="auto" w:sz="6" w:space="0"/>
                    <w:left w:val="single" w:color="auto" w:sz="6" w:space="0"/>
                    <w:bottom w:val="single" w:color="auto" w:sz="6" w:space="0"/>
                    <w:right w:val="single" w:color="auto" w:sz="6" w:space="0"/>
                  </w:tcBorders>
                  <w:shd w:val="clear" w:color="auto" w:fill="auto"/>
                  <w:vAlign w:val="center"/>
                </w:tcPr>
                <w:p w14:paraId="25BD482D">
                  <w:pPr>
                    <w:pStyle w:val="21"/>
                    <w:snapToGrid w:val="0"/>
                    <w:spacing w:before="0" w:after="0"/>
                    <w:jc w:val="center"/>
                    <w:rPr>
                      <w:rFonts w:ascii="Times New Roman" w:hAnsi="Times New Roman"/>
                      <w:sz w:val="21"/>
                      <w:szCs w:val="21"/>
                      <w:u w:val="single"/>
                    </w:rPr>
                  </w:pPr>
                  <w:r>
                    <w:rPr>
                      <w:rFonts w:ascii="Times New Roman" w:hAnsi="Times New Roman"/>
                      <w:sz w:val="21"/>
                      <w:szCs w:val="21"/>
                      <w:u w:val="single"/>
                    </w:rPr>
                    <w:t>成品仓库</w:t>
                  </w:r>
                </w:p>
              </w:tc>
              <w:tc>
                <w:tcPr>
                  <w:tcW w:w="3484" w:type="pct"/>
                  <w:tcBorders>
                    <w:top w:val="single" w:color="auto" w:sz="6" w:space="0"/>
                    <w:left w:val="single" w:color="auto" w:sz="6" w:space="0"/>
                    <w:bottom w:val="single" w:color="auto" w:sz="6" w:space="0"/>
                    <w:right w:val="single" w:color="auto" w:sz="12" w:space="0"/>
                  </w:tcBorders>
                  <w:shd w:val="clear" w:color="auto" w:fill="auto"/>
                  <w:vAlign w:val="center"/>
                </w:tcPr>
                <w:p w14:paraId="1068451C">
                  <w:pPr>
                    <w:pStyle w:val="21"/>
                    <w:snapToGrid w:val="0"/>
                    <w:spacing w:before="0" w:after="0"/>
                    <w:jc w:val="center"/>
                    <w:rPr>
                      <w:rFonts w:ascii="Times New Roman" w:hAnsi="Times New Roman"/>
                      <w:sz w:val="21"/>
                      <w:szCs w:val="21"/>
                      <w:u w:val="single"/>
                    </w:rPr>
                  </w:pPr>
                  <w:r>
                    <w:rPr>
                      <w:rFonts w:ascii="Times New Roman" w:hAnsi="Times New Roman"/>
                      <w:sz w:val="21"/>
                      <w:szCs w:val="21"/>
                      <w:u w:val="single"/>
                    </w:rPr>
                    <w:t>设置在生产车间3F南侧，面积约为1700m</w:t>
                  </w:r>
                  <w:r>
                    <w:rPr>
                      <w:rFonts w:ascii="Times New Roman" w:hAnsi="Times New Roman"/>
                      <w:sz w:val="21"/>
                      <w:szCs w:val="21"/>
                      <w:u w:val="single"/>
                      <w:vertAlign w:val="superscript"/>
                    </w:rPr>
                    <w:t>2</w:t>
                  </w:r>
                  <w:r>
                    <w:rPr>
                      <w:rFonts w:ascii="Times New Roman" w:hAnsi="Times New Roman"/>
                      <w:sz w:val="21"/>
                      <w:szCs w:val="21"/>
                      <w:u w:val="single"/>
                    </w:rPr>
                    <w:t>；</w:t>
                  </w:r>
                </w:p>
              </w:tc>
            </w:tr>
            <w:tr w14:paraId="12FE7B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2" w:type="pct"/>
                  <w:vMerge w:val="continue"/>
                  <w:tcBorders>
                    <w:top w:val="single" w:color="auto" w:sz="6" w:space="0"/>
                    <w:left w:val="single" w:color="auto" w:sz="12" w:space="0"/>
                    <w:bottom w:val="single" w:color="auto" w:sz="6" w:space="0"/>
                    <w:right w:val="single" w:color="auto" w:sz="6" w:space="0"/>
                  </w:tcBorders>
                  <w:shd w:val="clear" w:color="auto" w:fill="auto"/>
                  <w:vAlign w:val="center"/>
                </w:tcPr>
                <w:p w14:paraId="2B719F79">
                  <w:pPr>
                    <w:rPr>
                      <w:szCs w:val="21"/>
                      <w:u w:val="single"/>
                    </w:rPr>
                  </w:pPr>
                </w:p>
              </w:tc>
              <w:tc>
                <w:tcPr>
                  <w:tcW w:w="1062" w:type="pct"/>
                  <w:tcBorders>
                    <w:top w:val="single" w:color="auto" w:sz="6" w:space="0"/>
                    <w:left w:val="single" w:color="auto" w:sz="6" w:space="0"/>
                    <w:bottom w:val="single" w:color="auto" w:sz="6" w:space="0"/>
                    <w:right w:val="single" w:color="auto" w:sz="6" w:space="0"/>
                  </w:tcBorders>
                  <w:shd w:val="clear" w:color="auto" w:fill="auto"/>
                  <w:vAlign w:val="center"/>
                </w:tcPr>
                <w:p w14:paraId="5EE002E7">
                  <w:pPr>
                    <w:pStyle w:val="21"/>
                    <w:snapToGrid w:val="0"/>
                    <w:spacing w:before="0" w:after="0"/>
                    <w:jc w:val="center"/>
                    <w:rPr>
                      <w:rFonts w:ascii="Times New Roman" w:hAnsi="Times New Roman"/>
                      <w:sz w:val="21"/>
                      <w:szCs w:val="21"/>
                      <w:u w:val="single"/>
                    </w:rPr>
                  </w:pPr>
                  <w:r>
                    <w:rPr>
                      <w:rFonts w:ascii="Times New Roman" w:hAnsi="Times New Roman"/>
                      <w:sz w:val="21"/>
                      <w:szCs w:val="21"/>
                      <w:u w:val="single"/>
                    </w:rPr>
                    <w:t>辅料仓库</w:t>
                  </w:r>
                </w:p>
              </w:tc>
              <w:tc>
                <w:tcPr>
                  <w:tcW w:w="3484" w:type="pct"/>
                  <w:tcBorders>
                    <w:top w:val="single" w:color="auto" w:sz="6" w:space="0"/>
                    <w:left w:val="single" w:color="auto" w:sz="6" w:space="0"/>
                    <w:bottom w:val="single" w:color="auto" w:sz="6" w:space="0"/>
                    <w:right w:val="single" w:color="auto" w:sz="12" w:space="0"/>
                  </w:tcBorders>
                  <w:shd w:val="clear" w:color="auto" w:fill="auto"/>
                  <w:vAlign w:val="center"/>
                </w:tcPr>
                <w:p w14:paraId="782B915E">
                  <w:pPr>
                    <w:pStyle w:val="21"/>
                    <w:snapToGrid w:val="0"/>
                    <w:spacing w:before="0" w:after="0"/>
                    <w:jc w:val="center"/>
                    <w:rPr>
                      <w:rFonts w:ascii="Times New Roman" w:hAnsi="Times New Roman"/>
                      <w:sz w:val="21"/>
                      <w:szCs w:val="21"/>
                      <w:u w:val="single"/>
                    </w:rPr>
                  </w:pPr>
                  <w:r>
                    <w:rPr>
                      <w:rFonts w:ascii="Times New Roman" w:hAnsi="Times New Roman"/>
                      <w:sz w:val="21"/>
                      <w:szCs w:val="21"/>
                      <w:u w:val="single"/>
                    </w:rPr>
                    <w:t>设置在生产车间4F南侧，面积约为2000m</w:t>
                  </w:r>
                  <w:r>
                    <w:rPr>
                      <w:rFonts w:ascii="Times New Roman" w:hAnsi="Times New Roman"/>
                      <w:sz w:val="21"/>
                      <w:szCs w:val="21"/>
                      <w:u w:val="single"/>
                      <w:vertAlign w:val="superscript"/>
                    </w:rPr>
                    <w:t>2</w:t>
                  </w:r>
                  <w:r>
                    <w:rPr>
                      <w:rFonts w:ascii="Times New Roman" w:hAnsi="Times New Roman"/>
                      <w:sz w:val="21"/>
                      <w:szCs w:val="21"/>
                      <w:u w:val="single"/>
                    </w:rPr>
                    <w:t>；</w:t>
                  </w:r>
                </w:p>
              </w:tc>
            </w:tr>
            <w:tr w14:paraId="352DDC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2" w:type="pct"/>
                  <w:vMerge w:val="continue"/>
                  <w:tcBorders>
                    <w:top w:val="single" w:color="auto" w:sz="6" w:space="0"/>
                    <w:left w:val="single" w:color="auto" w:sz="12" w:space="0"/>
                    <w:bottom w:val="single" w:color="auto" w:sz="6" w:space="0"/>
                    <w:right w:val="single" w:color="auto" w:sz="6" w:space="0"/>
                  </w:tcBorders>
                  <w:shd w:val="clear" w:color="auto" w:fill="auto"/>
                  <w:vAlign w:val="center"/>
                </w:tcPr>
                <w:p w14:paraId="34B1BCEA">
                  <w:pPr>
                    <w:rPr>
                      <w:szCs w:val="21"/>
                      <w:u w:val="single"/>
                    </w:rPr>
                  </w:pPr>
                </w:p>
              </w:tc>
              <w:tc>
                <w:tcPr>
                  <w:tcW w:w="1062" w:type="pct"/>
                  <w:tcBorders>
                    <w:top w:val="single" w:color="auto" w:sz="6" w:space="0"/>
                    <w:left w:val="single" w:color="auto" w:sz="6" w:space="0"/>
                    <w:bottom w:val="single" w:color="auto" w:sz="6" w:space="0"/>
                    <w:right w:val="single" w:color="auto" w:sz="6" w:space="0"/>
                  </w:tcBorders>
                  <w:shd w:val="clear" w:color="auto" w:fill="auto"/>
                  <w:vAlign w:val="center"/>
                </w:tcPr>
                <w:p w14:paraId="2B389ADC">
                  <w:pPr>
                    <w:pStyle w:val="21"/>
                    <w:snapToGrid w:val="0"/>
                    <w:spacing w:before="0" w:after="0"/>
                    <w:jc w:val="center"/>
                    <w:rPr>
                      <w:rFonts w:ascii="Times New Roman" w:hAnsi="Times New Roman"/>
                      <w:sz w:val="21"/>
                      <w:szCs w:val="21"/>
                      <w:u w:val="single"/>
                    </w:rPr>
                  </w:pPr>
                  <w:r>
                    <w:rPr>
                      <w:rFonts w:ascii="Times New Roman" w:hAnsi="Times New Roman"/>
                      <w:sz w:val="21"/>
                      <w:szCs w:val="21"/>
                      <w:u w:val="single"/>
                    </w:rPr>
                    <w:t>添加剂仓库</w:t>
                  </w:r>
                </w:p>
              </w:tc>
              <w:tc>
                <w:tcPr>
                  <w:tcW w:w="3484" w:type="pct"/>
                  <w:tcBorders>
                    <w:top w:val="single" w:color="auto" w:sz="6" w:space="0"/>
                    <w:left w:val="single" w:color="auto" w:sz="6" w:space="0"/>
                    <w:bottom w:val="single" w:color="auto" w:sz="6" w:space="0"/>
                    <w:right w:val="single" w:color="auto" w:sz="12" w:space="0"/>
                  </w:tcBorders>
                  <w:shd w:val="clear" w:color="auto" w:fill="auto"/>
                  <w:vAlign w:val="center"/>
                </w:tcPr>
                <w:p w14:paraId="30B3DFBB">
                  <w:pPr>
                    <w:pStyle w:val="21"/>
                    <w:snapToGrid w:val="0"/>
                    <w:spacing w:before="0" w:after="0"/>
                    <w:jc w:val="center"/>
                    <w:rPr>
                      <w:rFonts w:ascii="Times New Roman" w:hAnsi="Times New Roman"/>
                      <w:sz w:val="21"/>
                      <w:szCs w:val="21"/>
                      <w:u w:val="single"/>
                    </w:rPr>
                  </w:pPr>
                  <w:r>
                    <w:rPr>
                      <w:rFonts w:ascii="Times New Roman" w:hAnsi="Times New Roman"/>
                      <w:sz w:val="21"/>
                      <w:szCs w:val="21"/>
                      <w:u w:val="single"/>
                    </w:rPr>
                    <w:t>设置在生产车间4F西侧，主要用于产品食用添加剂的存储</w:t>
                  </w:r>
                </w:p>
              </w:tc>
            </w:tr>
            <w:tr w14:paraId="4B38C7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2" w:type="pct"/>
                  <w:vMerge w:val="continue"/>
                  <w:tcBorders>
                    <w:top w:val="single" w:color="auto" w:sz="6" w:space="0"/>
                    <w:left w:val="single" w:color="auto" w:sz="12" w:space="0"/>
                    <w:bottom w:val="single" w:color="auto" w:sz="6" w:space="0"/>
                    <w:right w:val="single" w:color="auto" w:sz="6" w:space="0"/>
                  </w:tcBorders>
                  <w:shd w:val="clear" w:color="auto" w:fill="auto"/>
                  <w:vAlign w:val="center"/>
                </w:tcPr>
                <w:p w14:paraId="3895CEE2">
                  <w:pPr>
                    <w:rPr>
                      <w:szCs w:val="21"/>
                      <w:u w:val="single"/>
                    </w:rPr>
                  </w:pPr>
                </w:p>
              </w:tc>
              <w:tc>
                <w:tcPr>
                  <w:tcW w:w="1062" w:type="pct"/>
                  <w:tcBorders>
                    <w:top w:val="single" w:color="auto" w:sz="6" w:space="0"/>
                    <w:left w:val="single" w:color="auto" w:sz="6" w:space="0"/>
                    <w:bottom w:val="single" w:color="auto" w:sz="6" w:space="0"/>
                    <w:right w:val="single" w:color="auto" w:sz="6" w:space="0"/>
                  </w:tcBorders>
                  <w:shd w:val="clear" w:color="auto" w:fill="auto"/>
                  <w:vAlign w:val="center"/>
                </w:tcPr>
                <w:p w14:paraId="1B5045B2">
                  <w:pPr>
                    <w:pStyle w:val="21"/>
                    <w:snapToGrid w:val="0"/>
                    <w:spacing w:before="0" w:after="0"/>
                    <w:jc w:val="center"/>
                    <w:rPr>
                      <w:rFonts w:ascii="Times New Roman" w:hAnsi="Times New Roman"/>
                      <w:sz w:val="21"/>
                      <w:szCs w:val="21"/>
                      <w:u w:val="single"/>
                    </w:rPr>
                  </w:pPr>
                  <w:r>
                    <w:rPr>
                      <w:rFonts w:ascii="Times New Roman" w:hAnsi="Times New Roman"/>
                      <w:sz w:val="21"/>
                      <w:szCs w:val="21"/>
                      <w:u w:val="single"/>
                    </w:rPr>
                    <w:t>化学品仓库</w:t>
                  </w:r>
                </w:p>
              </w:tc>
              <w:tc>
                <w:tcPr>
                  <w:tcW w:w="3484" w:type="pct"/>
                  <w:tcBorders>
                    <w:top w:val="single" w:color="auto" w:sz="6" w:space="0"/>
                    <w:left w:val="single" w:color="auto" w:sz="6" w:space="0"/>
                    <w:bottom w:val="single" w:color="auto" w:sz="6" w:space="0"/>
                    <w:right w:val="single" w:color="auto" w:sz="12" w:space="0"/>
                  </w:tcBorders>
                  <w:shd w:val="clear" w:color="auto" w:fill="auto"/>
                  <w:vAlign w:val="center"/>
                </w:tcPr>
                <w:p w14:paraId="20E31EBA">
                  <w:pPr>
                    <w:pStyle w:val="21"/>
                    <w:snapToGrid w:val="0"/>
                    <w:spacing w:before="0" w:after="0"/>
                    <w:jc w:val="center"/>
                    <w:rPr>
                      <w:rFonts w:ascii="Times New Roman" w:hAnsi="Times New Roman"/>
                      <w:sz w:val="21"/>
                      <w:szCs w:val="21"/>
                      <w:u w:val="single"/>
                    </w:rPr>
                  </w:pPr>
                  <w:r>
                    <w:rPr>
                      <w:rFonts w:ascii="Times New Roman" w:hAnsi="Times New Roman"/>
                      <w:sz w:val="21"/>
                      <w:szCs w:val="21"/>
                      <w:u w:val="single"/>
                    </w:rPr>
                    <w:t>设置在生产车间4F西侧，主要用于存放酒精擦拭剂</w:t>
                  </w:r>
                </w:p>
              </w:tc>
            </w:tr>
            <w:tr w14:paraId="0A6972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2" w:type="pct"/>
                  <w:vMerge w:val="continue"/>
                  <w:tcBorders>
                    <w:top w:val="single" w:color="auto" w:sz="6" w:space="0"/>
                    <w:left w:val="single" w:color="auto" w:sz="12" w:space="0"/>
                    <w:bottom w:val="single" w:color="auto" w:sz="6" w:space="0"/>
                    <w:right w:val="single" w:color="auto" w:sz="6" w:space="0"/>
                  </w:tcBorders>
                  <w:shd w:val="clear" w:color="auto" w:fill="auto"/>
                  <w:vAlign w:val="center"/>
                </w:tcPr>
                <w:p w14:paraId="3BCD4590">
                  <w:pPr>
                    <w:rPr>
                      <w:szCs w:val="21"/>
                      <w:u w:val="single"/>
                    </w:rPr>
                  </w:pPr>
                </w:p>
              </w:tc>
              <w:tc>
                <w:tcPr>
                  <w:tcW w:w="1062" w:type="pct"/>
                  <w:tcBorders>
                    <w:top w:val="single" w:color="auto" w:sz="6" w:space="0"/>
                    <w:left w:val="single" w:color="auto" w:sz="6" w:space="0"/>
                    <w:bottom w:val="single" w:color="auto" w:sz="6" w:space="0"/>
                    <w:right w:val="single" w:color="auto" w:sz="6" w:space="0"/>
                  </w:tcBorders>
                  <w:shd w:val="clear" w:color="auto" w:fill="auto"/>
                  <w:vAlign w:val="center"/>
                </w:tcPr>
                <w:p w14:paraId="70B7BBF1">
                  <w:pPr>
                    <w:pStyle w:val="21"/>
                    <w:snapToGrid w:val="0"/>
                    <w:spacing w:before="0" w:after="0"/>
                    <w:jc w:val="center"/>
                    <w:rPr>
                      <w:rFonts w:ascii="Times New Roman" w:hAnsi="Times New Roman"/>
                      <w:sz w:val="21"/>
                      <w:szCs w:val="21"/>
                      <w:u w:val="single"/>
                    </w:rPr>
                  </w:pPr>
                  <w:r>
                    <w:rPr>
                      <w:rFonts w:ascii="Times New Roman" w:hAnsi="Times New Roman"/>
                      <w:sz w:val="21"/>
                      <w:szCs w:val="21"/>
                      <w:u w:val="single"/>
                    </w:rPr>
                    <w:t>急冻库</w:t>
                  </w:r>
                </w:p>
              </w:tc>
              <w:tc>
                <w:tcPr>
                  <w:tcW w:w="3484" w:type="pct"/>
                  <w:tcBorders>
                    <w:top w:val="single" w:color="auto" w:sz="6" w:space="0"/>
                    <w:left w:val="single" w:color="auto" w:sz="6" w:space="0"/>
                    <w:bottom w:val="single" w:color="auto" w:sz="6" w:space="0"/>
                    <w:right w:val="single" w:color="auto" w:sz="12" w:space="0"/>
                  </w:tcBorders>
                  <w:shd w:val="clear" w:color="auto" w:fill="auto"/>
                  <w:vAlign w:val="center"/>
                </w:tcPr>
                <w:p w14:paraId="10653144">
                  <w:pPr>
                    <w:pStyle w:val="21"/>
                    <w:snapToGrid w:val="0"/>
                    <w:spacing w:before="0" w:after="0"/>
                    <w:jc w:val="center"/>
                    <w:rPr>
                      <w:rFonts w:ascii="Times New Roman" w:hAnsi="Times New Roman"/>
                      <w:sz w:val="21"/>
                      <w:szCs w:val="21"/>
                      <w:u w:val="single"/>
                    </w:rPr>
                  </w:pPr>
                  <w:r>
                    <w:rPr>
                      <w:rFonts w:ascii="Times New Roman" w:hAnsi="Times New Roman"/>
                      <w:sz w:val="21"/>
                      <w:szCs w:val="21"/>
                      <w:u w:val="single"/>
                    </w:rPr>
                    <w:t>设置在车间1F西侧，面积约为300m</w:t>
                  </w:r>
                  <w:r>
                    <w:rPr>
                      <w:rFonts w:ascii="Times New Roman" w:hAnsi="Times New Roman"/>
                      <w:sz w:val="21"/>
                      <w:szCs w:val="21"/>
                      <w:u w:val="single"/>
                      <w:vertAlign w:val="superscript"/>
                    </w:rPr>
                    <w:t>2</w:t>
                  </w:r>
                  <w:r>
                    <w:rPr>
                      <w:rFonts w:ascii="Times New Roman" w:hAnsi="Times New Roman"/>
                      <w:sz w:val="21"/>
                      <w:szCs w:val="21"/>
                      <w:u w:val="single"/>
                    </w:rPr>
                    <w:t>。制冷剂为</w:t>
                  </w:r>
                  <w:r>
                    <w:rPr>
                      <w:rFonts w:ascii="Times New Roman" w:hAnsi="Times New Roman"/>
                      <w:bCs/>
                      <w:sz w:val="21"/>
                      <w:szCs w:val="21"/>
                      <w:u w:val="single"/>
                    </w:rPr>
                    <w:t>R507a。</w:t>
                  </w:r>
                </w:p>
              </w:tc>
            </w:tr>
            <w:tr w14:paraId="060129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2" w:type="pct"/>
                  <w:vMerge w:val="restart"/>
                  <w:tcBorders>
                    <w:top w:val="single" w:color="auto" w:sz="6" w:space="0"/>
                    <w:left w:val="single" w:color="auto" w:sz="12" w:space="0"/>
                    <w:bottom w:val="single" w:color="auto" w:sz="6" w:space="0"/>
                    <w:right w:val="single" w:color="auto" w:sz="6" w:space="0"/>
                  </w:tcBorders>
                  <w:shd w:val="clear" w:color="auto" w:fill="auto"/>
                  <w:vAlign w:val="center"/>
                </w:tcPr>
                <w:p w14:paraId="11918559">
                  <w:pPr>
                    <w:pStyle w:val="21"/>
                    <w:snapToGrid w:val="0"/>
                    <w:spacing w:before="0" w:after="0"/>
                    <w:jc w:val="center"/>
                    <w:rPr>
                      <w:rFonts w:ascii="Times New Roman" w:hAnsi="Times New Roman"/>
                      <w:sz w:val="21"/>
                      <w:szCs w:val="21"/>
                      <w:u w:val="single"/>
                    </w:rPr>
                  </w:pPr>
                  <w:r>
                    <w:rPr>
                      <w:rFonts w:ascii="Times New Roman" w:hAnsi="Times New Roman"/>
                      <w:sz w:val="21"/>
                      <w:szCs w:val="21"/>
                      <w:u w:val="single"/>
                    </w:rPr>
                    <w:t>公用工程</w:t>
                  </w:r>
                </w:p>
              </w:tc>
              <w:tc>
                <w:tcPr>
                  <w:tcW w:w="1062" w:type="pct"/>
                  <w:tcBorders>
                    <w:top w:val="single" w:color="auto" w:sz="6" w:space="0"/>
                    <w:left w:val="single" w:color="auto" w:sz="6" w:space="0"/>
                    <w:bottom w:val="single" w:color="auto" w:sz="6" w:space="0"/>
                    <w:right w:val="single" w:color="auto" w:sz="6" w:space="0"/>
                  </w:tcBorders>
                  <w:shd w:val="clear" w:color="auto" w:fill="auto"/>
                  <w:vAlign w:val="center"/>
                </w:tcPr>
                <w:p w14:paraId="1FCB2771">
                  <w:pPr>
                    <w:pStyle w:val="21"/>
                    <w:snapToGrid w:val="0"/>
                    <w:spacing w:before="0" w:after="0"/>
                    <w:jc w:val="center"/>
                    <w:rPr>
                      <w:rFonts w:ascii="Times New Roman" w:hAnsi="Times New Roman"/>
                      <w:sz w:val="21"/>
                      <w:szCs w:val="21"/>
                      <w:u w:val="single"/>
                    </w:rPr>
                  </w:pPr>
                  <w:r>
                    <w:rPr>
                      <w:rFonts w:ascii="Times New Roman" w:hAnsi="Times New Roman"/>
                      <w:sz w:val="21"/>
                      <w:szCs w:val="21"/>
                      <w:u w:val="single"/>
                    </w:rPr>
                    <w:t>供水</w:t>
                  </w:r>
                </w:p>
              </w:tc>
              <w:tc>
                <w:tcPr>
                  <w:tcW w:w="3484" w:type="pct"/>
                  <w:tcBorders>
                    <w:top w:val="single" w:color="auto" w:sz="6" w:space="0"/>
                    <w:left w:val="single" w:color="auto" w:sz="6" w:space="0"/>
                    <w:bottom w:val="single" w:color="auto" w:sz="6" w:space="0"/>
                    <w:right w:val="single" w:color="auto" w:sz="12" w:space="0"/>
                  </w:tcBorders>
                  <w:shd w:val="clear" w:color="auto" w:fill="auto"/>
                  <w:vAlign w:val="center"/>
                </w:tcPr>
                <w:p w14:paraId="2B908089">
                  <w:pPr>
                    <w:pStyle w:val="21"/>
                    <w:snapToGrid w:val="0"/>
                    <w:spacing w:before="0" w:after="0"/>
                    <w:jc w:val="center"/>
                    <w:rPr>
                      <w:rFonts w:ascii="Times New Roman" w:hAnsi="Times New Roman"/>
                      <w:sz w:val="21"/>
                      <w:szCs w:val="21"/>
                      <w:u w:val="single"/>
                    </w:rPr>
                  </w:pPr>
                  <w:r>
                    <w:rPr>
                      <w:rFonts w:ascii="Times New Roman" w:hAnsi="Times New Roman"/>
                      <w:sz w:val="21"/>
                      <w:szCs w:val="21"/>
                      <w:u w:val="single"/>
                    </w:rPr>
                    <w:t>现有河水供水，配套设置净水装置。</w:t>
                  </w:r>
                </w:p>
              </w:tc>
            </w:tr>
            <w:tr w14:paraId="15BE31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2" w:type="pct"/>
                  <w:vMerge w:val="continue"/>
                  <w:tcBorders>
                    <w:top w:val="single" w:color="auto" w:sz="6" w:space="0"/>
                    <w:left w:val="single" w:color="auto" w:sz="12" w:space="0"/>
                    <w:bottom w:val="single" w:color="auto" w:sz="6" w:space="0"/>
                    <w:right w:val="single" w:color="auto" w:sz="6" w:space="0"/>
                  </w:tcBorders>
                  <w:shd w:val="clear" w:color="auto" w:fill="auto"/>
                  <w:vAlign w:val="center"/>
                </w:tcPr>
                <w:p w14:paraId="61C68F1B">
                  <w:pPr>
                    <w:rPr>
                      <w:szCs w:val="21"/>
                      <w:u w:val="single"/>
                    </w:rPr>
                  </w:pPr>
                </w:p>
              </w:tc>
              <w:tc>
                <w:tcPr>
                  <w:tcW w:w="1062" w:type="pct"/>
                  <w:tcBorders>
                    <w:top w:val="single" w:color="auto" w:sz="6" w:space="0"/>
                    <w:left w:val="single" w:color="auto" w:sz="6" w:space="0"/>
                    <w:bottom w:val="single" w:color="auto" w:sz="6" w:space="0"/>
                    <w:right w:val="single" w:color="auto" w:sz="6" w:space="0"/>
                  </w:tcBorders>
                  <w:shd w:val="clear" w:color="auto" w:fill="auto"/>
                  <w:vAlign w:val="center"/>
                </w:tcPr>
                <w:p w14:paraId="1EFCDC12">
                  <w:pPr>
                    <w:pStyle w:val="21"/>
                    <w:snapToGrid w:val="0"/>
                    <w:spacing w:before="0" w:after="0"/>
                    <w:jc w:val="center"/>
                    <w:rPr>
                      <w:rFonts w:ascii="Times New Roman" w:hAnsi="Times New Roman"/>
                      <w:sz w:val="21"/>
                      <w:szCs w:val="21"/>
                      <w:u w:val="single"/>
                    </w:rPr>
                  </w:pPr>
                  <w:r>
                    <w:rPr>
                      <w:rFonts w:ascii="Times New Roman" w:hAnsi="Times New Roman"/>
                      <w:sz w:val="21"/>
                      <w:szCs w:val="21"/>
                      <w:u w:val="single"/>
                    </w:rPr>
                    <w:t>排水</w:t>
                  </w:r>
                </w:p>
              </w:tc>
              <w:tc>
                <w:tcPr>
                  <w:tcW w:w="3484" w:type="pct"/>
                  <w:tcBorders>
                    <w:top w:val="single" w:color="auto" w:sz="6" w:space="0"/>
                    <w:left w:val="single" w:color="auto" w:sz="6" w:space="0"/>
                    <w:bottom w:val="single" w:color="auto" w:sz="6" w:space="0"/>
                    <w:right w:val="single" w:color="auto" w:sz="12" w:space="0"/>
                  </w:tcBorders>
                  <w:shd w:val="clear" w:color="auto" w:fill="auto"/>
                  <w:vAlign w:val="center"/>
                </w:tcPr>
                <w:p w14:paraId="1180BA7F">
                  <w:pPr>
                    <w:adjustRightInd w:val="0"/>
                    <w:snapToGrid w:val="0"/>
                    <w:jc w:val="center"/>
                    <w:rPr>
                      <w:szCs w:val="21"/>
                      <w:u w:val="single"/>
                    </w:rPr>
                  </w:pPr>
                  <w:r>
                    <w:rPr>
                      <w:szCs w:val="21"/>
                      <w:u w:val="single"/>
                      <w:lang w:bidi="ar"/>
                    </w:rPr>
                    <w:t>生</w:t>
                  </w:r>
                  <w:r>
                    <w:rPr>
                      <w:bCs/>
                      <w:szCs w:val="21"/>
                      <w:u w:val="single"/>
                      <w:lang w:bidi="ar"/>
                    </w:rPr>
                    <w:t>活污水经隔油池、化粪池处理后，进入市政污水管网，排入安化县污水处理厂处理达标后排入资江；</w:t>
                  </w:r>
                  <w:r>
                    <w:rPr>
                      <w:szCs w:val="21"/>
                      <w:u w:val="single"/>
                      <w:lang w:bidi="ar"/>
                    </w:rPr>
                    <w:t>生产废水依托</w:t>
                  </w:r>
                  <w:r>
                    <w:rPr>
                      <w:spacing w:val="8"/>
                      <w:szCs w:val="21"/>
                      <w:u w:val="single"/>
                      <w:lang w:bidi="ar"/>
                    </w:rPr>
                    <w:t>湖南华益科技发展有限公司（原名湖南华益食品有限公司）</w:t>
                  </w:r>
                  <w:r>
                    <w:rPr>
                      <w:szCs w:val="21"/>
                      <w:u w:val="single"/>
                      <w:lang w:bidi="ar"/>
                    </w:rPr>
                    <w:t>自建污水处理设施处理（“</w:t>
                  </w:r>
                  <w:r>
                    <w:rPr>
                      <w:color w:val="000000"/>
                      <w:szCs w:val="21"/>
                      <w:u w:val="single"/>
                      <w:lang w:bidi="ar"/>
                    </w:rPr>
                    <w:t>格栅井+调节池+加药沉淀+两级水解酸化+两级接触氧化+竖流沉淀</w:t>
                  </w:r>
                  <w:r>
                    <w:rPr>
                      <w:szCs w:val="21"/>
                      <w:u w:val="single"/>
                      <w:lang w:bidi="ar"/>
                    </w:rPr>
                    <w:t>”）</w:t>
                  </w:r>
                  <w:r>
                    <w:rPr>
                      <w:rFonts w:hint="eastAsia"/>
                      <w:szCs w:val="21"/>
                      <w:u w:val="single"/>
                      <w:lang w:bidi="ar"/>
                    </w:rPr>
                    <w:t>，pH、COD、BOD、SS、动植物油达到《污水综合排放标准》（GB8978-1996）表4中三级排放标准限值，氨氮、总磷、总氮、氯化物达到《污水排入城镇下水道水质标准》(GBT31962-2015)表1中B级标准限值；</w:t>
                  </w:r>
                  <w:r>
                    <w:rPr>
                      <w:szCs w:val="21"/>
                      <w:u w:val="single"/>
                      <w:lang w:bidi="ar"/>
                    </w:rPr>
                    <w:t>排入市政污水管网，由安化县污水处理厂深度处理后，尾水排入资江。</w:t>
                  </w:r>
                </w:p>
              </w:tc>
            </w:tr>
            <w:tr w14:paraId="28CB7B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2" w:type="pct"/>
                  <w:vMerge w:val="continue"/>
                  <w:tcBorders>
                    <w:top w:val="single" w:color="auto" w:sz="6" w:space="0"/>
                    <w:left w:val="single" w:color="auto" w:sz="12" w:space="0"/>
                    <w:bottom w:val="single" w:color="auto" w:sz="6" w:space="0"/>
                    <w:right w:val="single" w:color="auto" w:sz="6" w:space="0"/>
                  </w:tcBorders>
                  <w:shd w:val="clear" w:color="auto" w:fill="auto"/>
                  <w:vAlign w:val="center"/>
                </w:tcPr>
                <w:p w14:paraId="56153BD1">
                  <w:pPr>
                    <w:rPr>
                      <w:szCs w:val="21"/>
                      <w:u w:val="single"/>
                    </w:rPr>
                  </w:pPr>
                </w:p>
              </w:tc>
              <w:tc>
                <w:tcPr>
                  <w:tcW w:w="1062" w:type="pct"/>
                  <w:tcBorders>
                    <w:top w:val="single" w:color="auto" w:sz="6" w:space="0"/>
                    <w:left w:val="single" w:color="auto" w:sz="6" w:space="0"/>
                    <w:bottom w:val="single" w:color="auto" w:sz="6" w:space="0"/>
                    <w:right w:val="single" w:color="auto" w:sz="6" w:space="0"/>
                  </w:tcBorders>
                  <w:shd w:val="clear" w:color="auto" w:fill="auto"/>
                  <w:vAlign w:val="center"/>
                </w:tcPr>
                <w:p w14:paraId="21DF59C1">
                  <w:pPr>
                    <w:pStyle w:val="21"/>
                    <w:snapToGrid w:val="0"/>
                    <w:spacing w:before="0" w:after="0"/>
                    <w:jc w:val="center"/>
                    <w:rPr>
                      <w:rFonts w:ascii="Times New Roman" w:hAnsi="Times New Roman"/>
                      <w:sz w:val="21"/>
                      <w:szCs w:val="21"/>
                      <w:u w:val="single"/>
                    </w:rPr>
                  </w:pPr>
                  <w:r>
                    <w:rPr>
                      <w:rFonts w:ascii="Times New Roman" w:hAnsi="Times New Roman"/>
                      <w:sz w:val="21"/>
                      <w:szCs w:val="21"/>
                      <w:u w:val="single"/>
                    </w:rPr>
                    <w:t>供电</w:t>
                  </w:r>
                </w:p>
              </w:tc>
              <w:tc>
                <w:tcPr>
                  <w:tcW w:w="3484" w:type="pct"/>
                  <w:tcBorders>
                    <w:top w:val="single" w:color="auto" w:sz="6" w:space="0"/>
                    <w:left w:val="single" w:color="auto" w:sz="6" w:space="0"/>
                    <w:bottom w:val="single" w:color="auto" w:sz="6" w:space="0"/>
                    <w:right w:val="single" w:color="auto" w:sz="12" w:space="0"/>
                  </w:tcBorders>
                  <w:shd w:val="clear" w:color="auto" w:fill="auto"/>
                  <w:vAlign w:val="center"/>
                </w:tcPr>
                <w:p w14:paraId="760578F0">
                  <w:pPr>
                    <w:pStyle w:val="21"/>
                    <w:snapToGrid w:val="0"/>
                    <w:spacing w:before="0" w:after="0"/>
                    <w:jc w:val="center"/>
                    <w:rPr>
                      <w:rFonts w:ascii="Times New Roman" w:hAnsi="Times New Roman"/>
                      <w:bCs/>
                      <w:sz w:val="21"/>
                      <w:szCs w:val="21"/>
                      <w:u w:val="single"/>
                    </w:rPr>
                  </w:pPr>
                  <w:r>
                    <w:rPr>
                      <w:rFonts w:ascii="Times New Roman" w:hAnsi="Times New Roman"/>
                      <w:bCs/>
                      <w:sz w:val="21"/>
                      <w:szCs w:val="21"/>
                      <w:u w:val="single"/>
                    </w:rPr>
                    <w:t>由乡镇电网供电</w:t>
                  </w:r>
                </w:p>
              </w:tc>
            </w:tr>
            <w:tr w14:paraId="06C19B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2" w:type="pct"/>
                  <w:vMerge w:val="continue"/>
                  <w:tcBorders>
                    <w:top w:val="single" w:color="auto" w:sz="6" w:space="0"/>
                    <w:left w:val="single" w:color="auto" w:sz="12" w:space="0"/>
                    <w:bottom w:val="single" w:color="auto" w:sz="6" w:space="0"/>
                    <w:right w:val="single" w:color="auto" w:sz="6" w:space="0"/>
                  </w:tcBorders>
                  <w:shd w:val="clear" w:color="auto" w:fill="auto"/>
                  <w:vAlign w:val="center"/>
                </w:tcPr>
                <w:p w14:paraId="1B961ECF">
                  <w:pPr>
                    <w:rPr>
                      <w:szCs w:val="21"/>
                      <w:u w:val="single"/>
                    </w:rPr>
                  </w:pPr>
                </w:p>
              </w:tc>
              <w:tc>
                <w:tcPr>
                  <w:tcW w:w="1062" w:type="pct"/>
                  <w:tcBorders>
                    <w:top w:val="single" w:color="auto" w:sz="6" w:space="0"/>
                    <w:left w:val="single" w:color="auto" w:sz="6" w:space="0"/>
                    <w:bottom w:val="single" w:color="auto" w:sz="6" w:space="0"/>
                    <w:right w:val="single" w:color="auto" w:sz="6" w:space="0"/>
                  </w:tcBorders>
                  <w:shd w:val="clear" w:color="auto" w:fill="auto"/>
                  <w:vAlign w:val="center"/>
                </w:tcPr>
                <w:p w14:paraId="092461C2">
                  <w:pPr>
                    <w:pStyle w:val="21"/>
                    <w:snapToGrid w:val="0"/>
                    <w:spacing w:before="0" w:after="0"/>
                    <w:jc w:val="center"/>
                    <w:rPr>
                      <w:rFonts w:ascii="Times New Roman" w:hAnsi="Times New Roman"/>
                      <w:sz w:val="21"/>
                      <w:szCs w:val="21"/>
                      <w:u w:val="single"/>
                    </w:rPr>
                  </w:pPr>
                  <w:r>
                    <w:rPr>
                      <w:rFonts w:ascii="Times New Roman" w:hAnsi="Times New Roman"/>
                      <w:sz w:val="21"/>
                      <w:szCs w:val="21"/>
                      <w:u w:val="single"/>
                    </w:rPr>
                    <w:t>供热</w:t>
                  </w:r>
                </w:p>
              </w:tc>
              <w:tc>
                <w:tcPr>
                  <w:tcW w:w="3484" w:type="pct"/>
                  <w:tcBorders>
                    <w:top w:val="single" w:color="auto" w:sz="6" w:space="0"/>
                    <w:left w:val="single" w:color="auto" w:sz="6" w:space="0"/>
                    <w:bottom w:val="single" w:color="auto" w:sz="6" w:space="0"/>
                    <w:right w:val="single" w:color="auto" w:sz="12" w:space="0"/>
                  </w:tcBorders>
                  <w:shd w:val="clear" w:color="auto" w:fill="auto"/>
                  <w:vAlign w:val="center"/>
                </w:tcPr>
                <w:p w14:paraId="38915A4C">
                  <w:pPr>
                    <w:jc w:val="center"/>
                    <w:rPr>
                      <w:kern w:val="0"/>
                      <w:szCs w:val="21"/>
                      <w:u w:val="single"/>
                    </w:rPr>
                  </w:pPr>
                  <w:r>
                    <w:rPr>
                      <w:bCs/>
                      <w:szCs w:val="21"/>
                      <w:u w:val="single"/>
                      <w:lang w:bidi="ar"/>
                    </w:rPr>
                    <w:t>新建1台6t/h的生物质气化锅炉供热</w:t>
                  </w:r>
                </w:p>
              </w:tc>
            </w:tr>
            <w:tr w14:paraId="54C4F9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2" w:type="pct"/>
                  <w:vMerge w:val="restart"/>
                  <w:tcBorders>
                    <w:top w:val="single" w:color="auto" w:sz="6" w:space="0"/>
                    <w:left w:val="single" w:color="auto" w:sz="12" w:space="0"/>
                    <w:bottom w:val="single" w:color="auto" w:sz="6" w:space="0"/>
                    <w:right w:val="single" w:color="auto" w:sz="6" w:space="0"/>
                  </w:tcBorders>
                  <w:shd w:val="clear" w:color="auto" w:fill="auto"/>
                  <w:vAlign w:val="center"/>
                </w:tcPr>
                <w:p w14:paraId="3CEBCD0F">
                  <w:pPr>
                    <w:pStyle w:val="21"/>
                    <w:snapToGrid w:val="0"/>
                    <w:spacing w:before="0" w:after="0"/>
                    <w:jc w:val="center"/>
                    <w:rPr>
                      <w:rFonts w:ascii="Times New Roman" w:hAnsi="Times New Roman"/>
                      <w:sz w:val="21"/>
                      <w:szCs w:val="21"/>
                      <w:u w:val="single"/>
                    </w:rPr>
                  </w:pPr>
                  <w:r>
                    <w:rPr>
                      <w:rFonts w:ascii="Times New Roman" w:hAnsi="Times New Roman"/>
                      <w:sz w:val="21"/>
                      <w:szCs w:val="21"/>
                      <w:u w:val="single"/>
                    </w:rPr>
                    <w:t>环保工程</w:t>
                  </w:r>
                </w:p>
              </w:tc>
              <w:tc>
                <w:tcPr>
                  <w:tcW w:w="1062" w:type="pct"/>
                  <w:tcBorders>
                    <w:top w:val="single" w:color="auto" w:sz="6" w:space="0"/>
                    <w:left w:val="single" w:color="auto" w:sz="6" w:space="0"/>
                    <w:bottom w:val="single" w:color="auto" w:sz="6" w:space="0"/>
                    <w:right w:val="single" w:color="auto" w:sz="6" w:space="0"/>
                  </w:tcBorders>
                  <w:shd w:val="clear" w:color="auto" w:fill="auto"/>
                  <w:vAlign w:val="center"/>
                </w:tcPr>
                <w:p w14:paraId="503105E2">
                  <w:pPr>
                    <w:pStyle w:val="21"/>
                    <w:snapToGrid w:val="0"/>
                    <w:spacing w:before="0" w:after="0"/>
                    <w:jc w:val="center"/>
                    <w:rPr>
                      <w:rFonts w:ascii="Times New Roman" w:hAnsi="Times New Roman"/>
                      <w:sz w:val="21"/>
                      <w:szCs w:val="21"/>
                      <w:highlight w:val="yellow"/>
                      <w:u w:val="single"/>
                    </w:rPr>
                  </w:pPr>
                  <w:r>
                    <w:rPr>
                      <w:rFonts w:ascii="Times New Roman" w:hAnsi="Times New Roman"/>
                      <w:sz w:val="21"/>
                      <w:szCs w:val="21"/>
                      <w:u w:val="single"/>
                    </w:rPr>
                    <w:t>废水治理</w:t>
                  </w:r>
                </w:p>
              </w:tc>
              <w:tc>
                <w:tcPr>
                  <w:tcW w:w="3484" w:type="pct"/>
                  <w:tcBorders>
                    <w:top w:val="single" w:color="auto" w:sz="6" w:space="0"/>
                    <w:left w:val="single" w:color="auto" w:sz="6" w:space="0"/>
                    <w:bottom w:val="single" w:color="auto" w:sz="6" w:space="0"/>
                    <w:right w:val="single" w:color="auto" w:sz="12" w:space="0"/>
                  </w:tcBorders>
                  <w:shd w:val="clear" w:color="auto" w:fill="auto"/>
                  <w:vAlign w:val="center"/>
                </w:tcPr>
                <w:p w14:paraId="17D322EC">
                  <w:pPr>
                    <w:pStyle w:val="21"/>
                    <w:widowControl w:val="0"/>
                    <w:snapToGrid w:val="0"/>
                    <w:spacing w:before="0" w:beforeAutospacing="0" w:after="0" w:afterAutospacing="0"/>
                    <w:jc w:val="center"/>
                    <w:rPr>
                      <w:rFonts w:ascii="Times New Roman" w:hAnsi="Times New Roman"/>
                      <w:sz w:val="21"/>
                      <w:szCs w:val="21"/>
                      <w:u w:val="single"/>
                    </w:rPr>
                  </w:pPr>
                  <w:r>
                    <w:rPr>
                      <w:rFonts w:ascii="Times New Roman" w:hAnsi="Times New Roman"/>
                      <w:kern w:val="0"/>
                      <w:sz w:val="21"/>
                      <w:szCs w:val="21"/>
                      <w:u w:val="single"/>
                      <w:lang w:bidi="ar"/>
                    </w:rPr>
                    <w:t>生</w:t>
                  </w:r>
                  <w:r>
                    <w:rPr>
                      <w:rFonts w:ascii="Times New Roman" w:hAnsi="Times New Roman"/>
                      <w:bCs/>
                      <w:kern w:val="0"/>
                      <w:sz w:val="21"/>
                      <w:szCs w:val="21"/>
                      <w:u w:val="single"/>
                      <w:lang w:bidi="ar"/>
                    </w:rPr>
                    <w:t>活污水经隔油池、化粪池处理后，进入市政污水管网，排入安化县污水处理厂处理达标后排入资江；</w:t>
                  </w:r>
                  <w:r>
                    <w:rPr>
                      <w:rFonts w:ascii="Times New Roman" w:hAnsi="Times New Roman"/>
                      <w:kern w:val="0"/>
                      <w:sz w:val="21"/>
                      <w:szCs w:val="21"/>
                      <w:u w:val="single"/>
                      <w:lang w:bidi="ar"/>
                    </w:rPr>
                    <w:t>生产废水依托</w:t>
                  </w:r>
                  <w:r>
                    <w:rPr>
                      <w:rFonts w:ascii="Times New Roman" w:hAnsi="Times New Roman"/>
                      <w:spacing w:val="8"/>
                      <w:kern w:val="0"/>
                      <w:sz w:val="21"/>
                      <w:szCs w:val="21"/>
                      <w:u w:val="single"/>
                      <w:lang w:bidi="ar"/>
                    </w:rPr>
                    <w:t>湖南华益科技发展有限公司（原名湖南华益食品有限公司）</w:t>
                  </w:r>
                  <w:r>
                    <w:rPr>
                      <w:rFonts w:ascii="Times New Roman" w:hAnsi="Times New Roman"/>
                      <w:kern w:val="0"/>
                      <w:sz w:val="21"/>
                      <w:szCs w:val="21"/>
                      <w:u w:val="single"/>
                      <w:lang w:bidi="ar"/>
                    </w:rPr>
                    <w:t>自建污水处理设施处理（“</w:t>
                  </w:r>
                  <w:r>
                    <w:rPr>
                      <w:rFonts w:ascii="Times New Roman" w:hAnsi="Times New Roman"/>
                      <w:color w:val="000000"/>
                      <w:kern w:val="0"/>
                      <w:sz w:val="21"/>
                      <w:szCs w:val="21"/>
                      <w:u w:val="single"/>
                      <w:lang w:bidi="ar"/>
                    </w:rPr>
                    <w:t>格栅井+调节池+加药沉淀+两级水解酸化+两级接触氧化+竖流沉淀</w:t>
                  </w:r>
                  <w:r>
                    <w:rPr>
                      <w:rFonts w:ascii="Times New Roman" w:hAnsi="Times New Roman"/>
                      <w:kern w:val="0"/>
                      <w:sz w:val="21"/>
                      <w:szCs w:val="21"/>
                      <w:u w:val="single"/>
                      <w:lang w:bidi="ar"/>
                    </w:rPr>
                    <w:t>”）</w:t>
                  </w:r>
                  <w:r>
                    <w:rPr>
                      <w:rFonts w:hint="eastAsia" w:ascii="Times New Roman" w:hAnsi="Times New Roman"/>
                      <w:kern w:val="0"/>
                      <w:sz w:val="21"/>
                      <w:szCs w:val="21"/>
                      <w:u w:val="single"/>
                      <w:lang w:bidi="ar"/>
                    </w:rPr>
                    <w:t>，pH、COD、BOD、SS、动植物油达到《污水综合排放标准》（GB8978-1996）表4中三级排放标准限值，氨氮、总磷、总氮、氯化物达到《污水排入城镇下水道水质标准》(GBT31962-2015)表1中B级标准限值；</w:t>
                  </w:r>
                  <w:r>
                    <w:rPr>
                      <w:rFonts w:ascii="Times New Roman" w:hAnsi="Times New Roman"/>
                      <w:kern w:val="0"/>
                      <w:sz w:val="21"/>
                      <w:szCs w:val="21"/>
                      <w:u w:val="single"/>
                      <w:lang w:bidi="ar"/>
                    </w:rPr>
                    <w:t>排入市政污水管网，由安化县污水处理厂深度处理后，尾水排入资江。</w:t>
                  </w:r>
                </w:p>
              </w:tc>
            </w:tr>
            <w:tr w14:paraId="164C2D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2" w:type="pct"/>
                  <w:vMerge w:val="continue"/>
                  <w:tcBorders>
                    <w:top w:val="single" w:color="auto" w:sz="6" w:space="0"/>
                    <w:left w:val="single" w:color="auto" w:sz="12" w:space="0"/>
                    <w:bottom w:val="single" w:color="auto" w:sz="6" w:space="0"/>
                    <w:right w:val="single" w:color="auto" w:sz="6" w:space="0"/>
                  </w:tcBorders>
                  <w:shd w:val="clear" w:color="auto" w:fill="auto"/>
                  <w:vAlign w:val="center"/>
                </w:tcPr>
                <w:p w14:paraId="7162857F">
                  <w:pPr>
                    <w:rPr>
                      <w:szCs w:val="21"/>
                      <w:u w:val="single"/>
                    </w:rPr>
                  </w:pPr>
                </w:p>
              </w:tc>
              <w:tc>
                <w:tcPr>
                  <w:tcW w:w="1062" w:type="pct"/>
                  <w:vMerge w:val="restart"/>
                  <w:tcBorders>
                    <w:top w:val="single" w:color="auto" w:sz="6" w:space="0"/>
                    <w:left w:val="single" w:color="auto" w:sz="6" w:space="0"/>
                    <w:bottom w:val="single" w:color="auto" w:sz="6" w:space="0"/>
                    <w:right w:val="single" w:color="auto" w:sz="6" w:space="0"/>
                  </w:tcBorders>
                  <w:shd w:val="clear" w:color="auto" w:fill="auto"/>
                  <w:vAlign w:val="center"/>
                </w:tcPr>
                <w:p w14:paraId="2843051F">
                  <w:pPr>
                    <w:pStyle w:val="21"/>
                    <w:snapToGrid w:val="0"/>
                    <w:spacing w:before="0" w:after="0"/>
                    <w:jc w:val="center"/>
                    <w:rPr>
                      <w:rFonts w:ascii="Times New Roman" w:hAnsi="Times New Roman"/>
                      <w:sz w:val="21"/>
                      <w:szCs w:val="21"/>
                      <w:u w:val="single"/>
                    </w:rPr>
                  </w:pPr>
                  <w:r>
                    <w:rPr>
                      <w:rFonts w:ascii="Times New Roman" w:hAnsi="Times New Roman"/>
                      <w:sz w:val="21"/>
                      <w:szCs w:val="21"/>
                      <w:u w:val="single"/>
                    </w:rPr>
                    <w:t>废气治理</w:t>
                  </w:r>
                </w:p>
              </w:tc>
              <w:tc>
                <w:tcPr>
                  <w:tcW w:w="3484" w:type="pct"/>
                  <w:tcBorders>
                    <w:top w:val="single" w:color="auto" w:sz="6" w:space="0"/>
                    <w:left w:val="single" w:color="auto" w:sz="6" w:space="0"/>
                    <w:bottom w:val="single" w:color="auto" w:sz="6" w:space="0"/>
                    <w:right w:val="single" w:color="auto" w:sz="12" w:space="0"/>
                  </w:tcBorders>
                  <w:shd w:val="clear" w:color="auto" w:fill="auto"/>
                  <w:vAlign w:val="center"/>
                </w:tcPr>
                <w:p w14:paraId="3482C631">
                  <w:pPr>
                    <w:widowControl/>
                    <w:jc w:val="center"/>
                    <w:rPr>
                      <w:szCs w:val="21"/>
                      <w:u w:val="single"/>
                    </w:rPr>
                  </w:pPr>
                  <w:r>
                    <w:rPr>
                      <w:szCs w:val="21"/>
                      <w:u w:val="single"/>
                      <w:lang w:bidi="ar"/>
                    </w:rPr>
                    <w:t>车间异味：</w:t>
                  </w:r>
                  <w:r>
                    <w:rPr>
                      <w:kern w:val="0"/>
                      <w:szCs w:val="21"/>
                      <w:u w:val="single"/>
                      <w:lang w:bidi="ar"/>
                    </w:rPr>
                    <w:t>车间异味通过机械通风，无组织排放。</w:t>
                  </w:r>
                </w:p>
              </w:tc>
            </w:tr>
            <w:tr w14:paraId="5A4C90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2" w:type="pct"/>
                  <w:vMerge w:val="continue"/>
                  <w:tcBorders>
                    <w:top w:val="single" w:color="auto" w:sz="6" w:space="0"/>
                    <w:left w:val="single" w:color="auto" w:sz="12" w:space="0"/>
                    <w:bottom w:val="single" w:color="auto" w:sz="6" w:space="0"/>
                    <w:right w:val="single" w:color="auto" w:sz="6" w:space="0"/>
                  </w:tcBorders>
                  <w:shd w:val="clear" w:color="auto" w:fill="auto"/>
                  <w:vAlign w:val="center"/>
                </w:tcPr>
                <w:p w14:paraId="5F0AF5F9">
                  <w:pPr>
                    <w:rPr>
                      <w:szCs w:val="21"/>
                      <w:u w:val="single"/>
                    </w:rPr>
                  </w:pPr>
                </w:p>
              </w:tc>
              <w:tc>
                <w:tcPr>
                  <w:tcW w:w="1062"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533B69FC">
                  <w:pPr>
                    <w:rPr>
                      <w:szCs w:val="21"/>
                      <w:u w:val="single"/>
                    </w:rPr>
                  </w:pPr>
                </w:p>
              </w:tc>
              <w:tc>
                <w:tcPr>
                  <w:tcW w:w="3484" w:type="pct"/>
                  <w:tcBorders>
                    <w:top w:val="single" w:color="auto" w:sz="6" w:space="0"/>
                    <w:left w:val="single" w:color="auto" w:sz="6" w:space="0"/>
                    <w:bottom w:val="single" w:color="auto" w:sz="6" w:space="0"/>
                    <w:right w:val="single" w:color="auto" w:sz="12" w:space="0"/>
                  </w:tcBorders>
                  <w:shd w:val="clear" w:color="auto" w:fill="auto"/>
                  <w:vAlign w:val="center"/>
                </w:tcPr>
                <w:p w14:paraId="270D112B">
                  <w:pPr>
                    <w:widowControl/>
                    <w:jc w:val="center"/>
                    <w:rPr>
                      <w:szCs w:val="21"/>
                      <w:u w:val="single"/>
                    </w:rPr>
                  </w:pPr>
                  <w:r>
                    <w:rPr>
                      <w:szCs w:val="21"/>
                      <w:u w:val="single"/>
                      <w:lang w:bidi="ar"/>
                    </w:rPr>
                    <w:t>天然气燃烧废气：加强车间通风，厂内无组织排放</w:t>
                  </w:r>
                </w:p>
              </w:tc>
            </w:tr>
            <w:tr w14:paraId="5ADA81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2" w:type="pct"/>
                  <w:vMerge w:val="continue"/>
                  <w:tcBorders>
                    <w:top w:val="single" w:color="auto" w:sz="6" w:space="0"/>
                    <w:left w:val="single" w:color="auto" w:sz="12" w:space="0"/>
                    <w:bottom w:val="single" w:color="auto" w:sz="6" w:space="0"/>
                    <w:right w:val="single" w:color="auto" w:sz="6" w:space="0"/>
                  </w:tcBorders>
                  <w:shd w:val="clear" w:color="auto" w:fill="auto"/>
                  <w:vAlign w:val="center"/>
                </w:tcPr>
                <w:p w14:paraId="60A64B6A">
                  <w:pPr>
                    <w:rPr>
                      <w:szCs w:val="21"/>
                      <w:u w:val="single"/>
                    </w:rPr>
                  </w:pPr>
                </w:p>
              </w:tc>
              <w:tc>
                <w:tcPr>
                  <w:tcW w:w="1062"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404C43B8">
                  <w:pPr>
                    <w:rPr>
                      <w:szCs w:val="21"/>
                      <w:u w:val="single"/>
                    </w:rPr>
                  </w:pPr>
                </w:p>
              </w:tc>
              <w:tc>
                <w:tcPr>
                  <w:tcW w:w="3484" w:type="pct"/>
                  <w:tcBorders>
                    <w:top w:val="single" w:color="auto" w:sz="6" w:space="0"/>
                    <w:left w:val="single" w:color="auto" w:sz="6" w:space="0"/>
                    <w:bottom w:val="single" w:color="auto" w:sz="6" w:space="0"/>
                    <w:right w:val="single" w:color="auto" w:sz="12" w:space="0"/>
                  </w:tcBorders>
                  <w:shd w:val="clear" w:color="auto" w:fill="auto"/>
                  <w:vAlign w:val="center"/>
                </w:tcPr>
                <w:p w14:paraId="2547D250">
                  <w:pPr>
                    <w:widowControl/>
                    <w:jc w:val="center"/>
                    <w:rPr>
                      <w:szCs w:val="21"/>
                      <w:u w:val="single"/>
                    </w:rPr>
                  </w:pPr>
                  <w:r>
                    <w:rPr>
                      <w:bCs/>
                      <w:color w:val="000000"/>
                      <w:szCs w:val="21"/>
                      <w:u w:val="single"/>
                      <w:lang w:bidi="ar"/>
                    </w:rPr>
                    <w:t>熬制油烟：油烟净化器处理后高于屋顶高空排放</w:t>
                  </w:r>
                </w:p>
              </w:tc>
            </w:tr>
            <w:tr w14:paraId="03F7B1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2" w:type="pct"/>
                  <w:vMerge w:val="continue"/>
                  <w:tcBorders>
                    <w:top w:val="single" w:color="auto" w:sz="6" w:space="0"/>
                    <w:left w:val="single" w:color="auto" w:sz="12" w:space="0"/>
                    <w:bottom w:val="single" w:color="auto" w:sz="6" w:space="0"/>
                    <w:right w:val="single" w:color="auto" w:sz="6" w:space="0"/>
                  </w:tcBorders>
                  <w:shd w:val="clear" w:color="auto" w:fill="auto"/>
                  <w:vAlign w:val="center"/>
                </w:tcPr>
                <w:p w14:paraId="1BB62DB1">
                  <w:pPr>
                    <w:rPr>
                      <w:szCs w:val="21"/>
                      <w:u w:val="single"/>
                    </w:rPr>
                  </w:pPr>
                </w:p>
              </w:tc>
              <w:tc>
                <w:tcPr>
                  <w:tcW w:w="1062" w:type="pct"/>
                  <w:tcBorders>
                    <w:top w:val="single" w:color="auto" w:sz="6" w:space="0"/>
                    <w:left w:val="single" w:color="auto" w:sz="6" w:space="0"/>
                    <w:bottom w:val="single" w:color="auto" w:sz="6" w:space="0"/>
                    <w:right w:val="single" w:color="auto" w:sz="6" w:space="0"/>
                  </w:tcBorders>
                  <w:shd w:val="clear" w:color="auto" w:fill="auto"/>
                  <w:vAlign w:val="center"/>
                </w:tcPr>
                <w:p w14:paraId="0C95677F">
                  <w:pPr>
                    <w:pStyle w:val="21"/>
                    <w:snapToGrid w:val="0"/>
                    <w:spacing w:before="0" w:after="0"/>
                    <w:jc w:val="center"/>
                    <w:rPr>
                      <w:rFonts w:ascii="Times New Roman" w:hAnsi="Times New Roman"/>
                      <w:sz w:val="21"/>
                      <w:szCs w:val="21"/>
                      <w:u w:val="single"/>
                    </w:rPr>
                  </w:pPr>
                  <w:r>
                    <w:rPr>
                      <w:rFonts w:ascii="Times New Roman" w:hAnsi="Times New Roman"/>
                      <w:sz w:val="21"/>
                      <w:szCs w:val="21"/>
                      <w:u w:val="single"/>
                    </w:rPr>
                    <w:t>噪声治理</w:t>
                  </w:r>
                </w:p>
              </w:tc>
              <w:tc>
                <w:tcPr>
                  <w:tcW w:w="3484" w:type="pct"/>
                  <w:tcBorders>
                    <w:top w:val="single" w:color="auto" w:sz="6" w:space="0"/>
                    <w:left w:val="single" w:color="auto" w:sz="6" w:space="0"/>
                    <w:bottom w:val="single" w:color="auto" w:sz="6" w:space="0"/>
                    <w:right w:val="single" w:color="auto" w:sz="12" w:space="0"/>
                  </w:tcBorders>
                  <w:shd w:val="clear" w:color="auto" w:fill="auto"/>
                  <w:vAlign w:val="center"/>
                </w:tcPr>
                <w:p w14:paraId="32893083">
                  <w:pPr>
                    <w:widowControl/>
                    <w:jc w:val="left"/>
                    <w:rPr>
                      <w:kern w:val="0"/>
                      <w:szCs w:val="21"/>
                      <w:u w:val="single"/>
                    </w:rPr>
                  </w:pPr>
                  <w:r>
                    <w:rPr>
                      <w:color w:val="000000"/>
                      <w:kern w:val="0"/>
                      <w:szCs w:val="21"/>
                      <w:u w:val="single"/>
                      <w:lang w:bidi="ar"/>
                    </w:rPr>
                    <w:t>选用低噪声设备，并采取减振、隔声等降噪措施声</w:t>
                  </w:r>
                </w:p>
              </w:tc>
            </w:tr>
            <w:tr w14:paraId="660848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43" w:hRule="atLeast"/>
                <w:jc w:val="center"/>
              </w:trPr>
              <w:tc>
                <w:tcPr>
                  <w:tcW w:w="452" w:type="pct"/>
                  <w:vMerge w:val="continue"/>
                  <w:tcBorders>
                    <w:top w:val="single" w:color="auto" w:sz="6" w:space="0"/>
                    <w:left w:val="single" w:color="auto" w:sz="12" w:space="0"/>
                    <w:bottom w:val="single" w:color="auto" w:sz="6" w:space="0"/>
                    <w:right w:val="single" w:color="auto" w:sz="6" w:space="0"/>
                  </w:tcBorders>
                  <w:shd w:val="clear" w:color="auto" w:fill="auto"/>
                  <w:vAlign w:val="center"/>
                </w:tcPr>
                <w:p w14:paraId="6EC11D43">
                  <w:pPr>
                    <w:rPr>
                      <w:szCs w:val="21"/>
                      <w:u w:val="single"/>
                    </w:rPr>
                  </w:pPr>
                </w:p>
              </w:tc>
              <w:tc>
                <w:tcPr>
                  <w:tcW w:w="1062" w:type="pct"/>
                  <w:vMerge w:val="restart"/>
                  <w:tcBorders>
                    <w:top w:val="single" w:color="auto" w:sz="6" w:space="0"/>
                    <w:left w:val="single" w:color="auto" w:sz="6" w:space="0"/>
                    <w:bottom w:val="single" w:color="auto" w:sz="6" w:space="0"/>
                    <w:right w:val="single" w:color="auto" w:sz="6" w:space="0"/>
                  </w:tcBorders>
                  <w:shd w:val="clear" w:color="auto" w:fill="auto"/>
                  <w:vAlign w:val="center"/>
                </w:tcPr>
                <w:p w14:paraId="4140CB1D">
                  <w:pPr>
                    <w:pStyle w:val="21"/>
                    <w:snapToGrid w:val="0"/>
                    <w:spacing w:before="0" w:after="0"/>
                    <w:jc w:val="center"/>
                    <w:rPr>
                      <w:rFonts w:ascii="Times New Roman" w:hAnsi="Times New Roman"/>
                      <w:sz w:val="21"/>
                      <w:szCs w:val="21"/>
                      <w:u w:val="single"/>
                    </w:rPr>
                  </w:pPr>
                  <w:r>
                    <w:rPr>
                      <w:rFonts w:ascii="Times New Roman" w:hAnsi="Times New Roman"/>
                      <w:sz w:val="21"/>
                      <w:szCs w:val="21"/>
                      <w:u w:val="single"/>
                    </w:rPr>
                    <w:t>固废处置</w:t>
                  </w:r>
                </w:p>
              </w:tc>
              <w:tc>
                <w:tcPr>
                  <w:tcW w:w="3484" w:type="pct"/>
                  <w:tcBorders>
                    <w:top w:val="single" w:color="auto" w:sz="6" w:space="0"/>
                    <w:left w:val="single" w:color="auto" w:sz="6" w:space="0"/>
                    <w:bottom w:val="single" w:color="auto" w:sz="6" w:space="0"/>
                    <w:right w:val="single" w:color="auto" w:sz="12" w:space="0"/>
                  </w:tcBorders>
                  <w:shd w:val="clear" w:color="auto" w:fill="auto"/>
                  <w:vAlign w:val="center"/>
                </w:tcPr>
                <w:p w14:paraId="0EBE7AC5">
                  <w:pPr>
                    <w:rPr>
                      <w:b/>
                      <w:bCs/>
                      <w:kern w:val="0"/>
                      <w:szCs w:val="21"/>
                      <w:u w:val="single"/>
                    </w:rPr>
                  </w:pPr>
                  <w:r>
                    <w:rPr>
                      <w:szCs w:val="21"/>
                      <w:u w:val="single"/>
                      <w:lang w:bidi="ar"/>
                    </w:rPr>
                    <w:t>废边角料和不合格产品、锅炉炉渣分类集中收集后暂存一般固废暂存间，外售综合利用。</w:t>
                  </w:r>
                </w:p>
              </w:tc>
            </w:tr>
            <w:tr w14:paraId="6EE269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7" w:hRule="atLeast"/>
                <w:jc w:val="center"/>
              </w:trPr>
              <w:tc>
                <w:tcPr>
                  <w:tcW w:w="452" w:type="pct"/>
                  <w:vMerge w:val="continue"/>
                  <w:tcBorders>
                    <w:top w:val="single" w:color="auto" w:sz="6" w:space="0"/>
                    <w:left w:val="single" w:color="auto" w:sz="12" w:space="0"/>
                    <w:bottom w:val="single" w:color="auto" w:sz="6" w:space="0"/>
                    <w:right w:val="single" w:color="auto" w:sz="6" w:space="0"/>
                  </w:tcBorders>
                  <w:shd w:val="clear" w:color="auto" w:fill="auto"/>
                  <w:vAlign w:val="center"/>
                </w:tcPr>
                <w:p w14:paraId="345590BC">
                  <w:pPr>
                    <w:rPr>
                      <w:szCs w:val="21"/>
                      <w:u w:val="single"/>
                    </w:rPr>
                  </w:pPr>
                </w:p>
              </w:tc>
              <w:tc>
                <w:tcPr>
                  <w:tcW w:w="1062"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2BB1A7FD">
                  <w:pPr>
                    <w:rPr>
                      <w:szCs w:val="21"/>
                      <w:u w:val="single"/>
                    </w:rPr>
                  </w:pPr>
                </w:p>
              </w:tc>
              <w:tc>
                <w:tcPr>
                  <w:tcW w:w="3484" w:type="pct"/>
                  <w:tcBorders>
                    <w:top w:val="single" w:color="auto" w:sz="6" w:space="0"/>
                    <w:left w:val="single" w:color="auto" w:sz="6" w:space="0"/>
                    <w:bottom w:val="single" w:color="auto" w:sz="6" w:space="0"/>
                    <w:right w:val="single" w:color="auto" w:sz="12" w:space="0"/>
                  </w:tcBorders>
                  <w:shd w:val="clear" w:color="auto" w:fill="auto"/>
                  <w:vAlign w:val="center"/>
                </w:tcPr>
                <w:p w14:paraId="461B966C">
                  <w:pPr>
                    <w:rPr>
                      <w:szCs w:val="21"/>
                      <w:u w:val="single"/>
                    </w:rPr>
                  </w:pPr>
                  <w:r>
                    <w:rPr>
                      <w:szCs w:val="21"/>
                      <w:u w:val="single"/>
                      <w:lang w:bidi="ar"/>
                    </w:rPr>
                    <w:t>河水净化产生的废滤料及废RO膜由厂家更换回收，不在厂区内暂存</w:t>
                  </w:r>
                </w:p>
              </w:tc>
            </w:tr>
            <w:tr w14:paraId="31E4E5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7" w:hRule="atLeast"/>
                <w:jc w:val="center"/>
              </w:trPr>
              <w:tc>
                <w:tcPr>
                  <w:tcW w:w="452" w:type="pct"/>
                  <w:vMerge w:val="continue"/>
                  <w:tcBorders>
                    <w:top w:val="single" w:color="auto" w:sz="6" w:space="0"/>
                    <w:left w:val="single" w:color="auto" w:sz="12" w:space="0"/>
                    <w:bottom w:val="single" w:color="auto" w:sz="6" w:space="0"/>
                    <w:right w:val="single" w:color="auto" w:sz="6" w:space="0"/>
                  </w:tcBorders>
                  <w:shd w:val="clear" w:color="auto" w:fill="auto"/>
                  <w:vAlign w:val="center"/>
                </w:tcPr>
                <w:p w14:paraId="0D335775">
                  <w:pPr>
                    <w:rPr>
                      <w:szCs w:val="21"/>
                      <w:u w:val="single"/>
                    </w:rPr>
                  </w:pPr>
                </w:p>
              </w:tc>
              <w:tc>
                <w:tcPr>
                  <w:tcW w:w="1062"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3A4B28F2">
                  <w:pPr>
                    <w:rPr>
                      <w:szCs w:val="21"/>
                      <w:u w:val="single"/>
                    </w:rPr>
                  </w:pPr>
                </w:p>
              </w:tc>
              <w:tc>
                <w:tcPr>
                  <w:tcW w:w="3484" w:type="pct"/>
                  <w:tcBorders>
                    <w:top w:val="single" w:color="auto" w:sz="6" w:space="0"/>
                    <w:left w:val="single" w:color="auto" w:sz="6" w:space="0"/>
                    <w:bottom w:val="single" w:color="auto" w:sz="6" w:space="0"/>
                    <w:right w:val="single" w:color="auto" w:sz="12" w:space="0"/>
                  </w:tcBorders>
                  <w:shd w:val="clear" w:color="auto" w:fill="auto"/>
                  <w:vAlign w:val="center"/>
                </w:tcPr>
                <w:p w14:paraId="70F3FB9B">
                  <w:pPr>
                    <w:rPr>
                      <w:szCs w:val="21"/>
                      <w:u w:val="single"/>
                    </w:rPr>
                  </w:pPr>
                  <w:r>
                    <w:rPr>
                      <w:szCs w:val="21"/>
                      <w:u w:val="single"/>
                      <w:lang w:bidi="ar"/>
                    </w:rPr>
                    <w:t>废离子交换树脂定期由设备厂家更换</w:t>
                  </w:r>
                </w:p>
              </w:tc>
            </w:tr>
            <w:tr w14:paraId="629C98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2" w:type="pct"/>
                  <w:vMerge w:val="continue"/>
                  <w:tcBorders>
                    <w:top w:val="single" w:color="auto" w:sz="6" w:space="0"/>
                    <w:left w:val="single" w:color="auto" w:sz="12" w:space="0"/>
                    <w:bottom w:val="single" w:color="auto" w:sz="6" w:space="0"/>
                    <w:right w:val="single" w:color="auto" w:sz="6" w:space="0"/>
                  </w:tcBorders>
                  <w:shd w:val="clear" w:color="auto" w:fill="auto"/>
                  <w:vAlign w:val="center"/>
                </w:tcPr>
                <w:p w14:paraId="51BFCDD7">
                  <w:pPr>
                    <w:rPr>
                      <w:szCs w:val="21"/>
                      <w:u w:val="single"/>
                    </w:rPr>
                  </w:pPr>
                </w:p>
              </w:tc>
              <w:tc>
                <w:tcPr>
                  <w:tcW w:w="1062"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325D6577">
                  <w:pPr>
                    <w:rPr>
                      <w:szCs w:val="21"/>
                      <w:u w:val="single"/>
                    </w:rPr>
                  </w:pPr>
                </w:p>
              </w:tc>
              <w:tc>
                <w:tcPr>
                  <w:tcW w:w="3484" w:type="pct"/>
                  <w:tcBorders>
                    <w:top w:val="single" w:color="auto" w:sz="6" w:space="0"/>
                    <w:left w:val="single" w:color="auto" w:sz="6" w:space="0"/>
                    <w:bottom w:val="single" w:color="auto" w:sz="6" w:space="0"/>
                    <w:right w:val="single" w:color="auto" w:sz="12" w:space="0"/>
                  </w:tcBorders>
                  <w:shd w:val="clear" w:color="auto" w:fill="auto"/>
                  <w:vAlign w:val="center"/>
                </w:tcPr>
                <w:p w14:paraId="098A93F5">
                  <w:pPr>
                    <w:rPr>
                      <w:szCs w:val="21"/>
                      <w:u w:val="single"/>
                    </w:rPr>
                  </w:pPr>
                  <w:r>
                    <w:rPr>
                      <w:szCs w:val="21"/>
                      <w:u w:val="single"/>
                      <w:lang w:bidi="ar"/>
                    </w:rPr>
                    <w:t>废包装材料、卤渣、生活垃圾收集后委托环卫部门统一清运。</w:t>
                  </w:r>
                </w:p>
              </w:tc>
            </w:tr>
            <w:tr w14:paraId="765366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2" w:type="pct"/>
                  <w:vMerge w:val="restart"/>
                  <w:tcBorders>
                    <w:top w:val="single" w:color="auto" w:sz="6" w:space="0"/>
                    <w:left w:val="single" w:color="auto" w:sz="12" w:space="0"/>
                    <w:bottom w:val="single" w:color="auto" w:sz="12" w:space="0"/>
                    <w:right w:val="single" w:color="auto" w:sz="6" w:space="0"/>
                  </w:tcBorders>
                  <w:shd w:val="clear" w:color="auto" w:fill="auto"/>
                  <w:vAlign w:val="center"/>
                </w:tcPr>
                <w:p w14:paraId="2A9D43B0">
                  <w:pPr>
                    <w:pStyle w:val="21"/>
                    <w:snapToGrid w:val="0"/>
                    <w:spacing w:before="0" w:after="0"/>
                    <w:jc w:val="center"/>
                    <w:rPr>
                      <w:rFonts w:ascii="Times New Roman" w:hAnsi="Times New Roman"/>
                      <w:sz w:val="21"/>
                      <w:szCs w:val="21"/>
                      <w:u w:val="single"/>
                    </w:rPr>
                  </w:pPr>
                  <w:r>
                    <w:rPr>
                      <w:rFonts w:ascii="Times New Roman" w:hAnsi="Times New Roman"/>
                      <w:sz w:val="21"/>
                      <w:szCs w:val="21"/>
                      <w:u w:val="single"/>
                    </w:rPr>
                    <w:t>依托工程</w:t>
                  </w:r>
                </w:p>
              </w:tc>
              <w:tc>
                <w:tcPr>
                  <w:tcW w:w="1062" w:type="pct"/>
                  <w:tcBorders>
                    <w:top w:val="single" w:color="auto" w:sz="6" w:space="0"/>
                    <w:left w:val="single" w:color="auto" w:sz="6" w:space="0"/>
                    <w:bottom w:val="single" w:color="auto" w:sz="6" w:space="0"/>
                    <w:right w:val="single" w:color="auto" w:sz="6" w:space="0"/>
                  </w:tcBorders>
                  <w:shd w:val="clear" w:color="auto" w:fill="auto"/>
                  <w:vAlign w:val="center"/>
                </w:tcPr>
                <w:p w14:paraId="19259026">
                  <w:pPr>
                    <w:overflowPunct w:val="0"/>
                    <w:jc w:val="center"/>
                    <w:textAlignment w:val="baseline"/>
                    <w:rPr>
                      <w:szCs w:val="21"/>
                      <w:u w:val="single"/>
                    </w:rPr>
                  </w:pPr>
                  <w:r>
                    <w:rPr>
                      <w:szCs w:val="21"/>
                      <w:u w:val="single"/>
                      <w:lang w:bidi="ar"/>
                    </w:rPr>
                    <w:t>安化县污水处理厂</w:t>
                  </w:r>
                </w:p>
              </w:tc>
              <w:tc>
                <w:tcPr>
                  <w:tcW w:w="3484" w:type="pct"/>
                  <w:tcBorders>
                    <w:top w:val="single" w:color="auto" w:sz="6" w:space="0"/>
                    <w:left w:val="single" w:color="auto" w:sz="6" w:space="0"/>
                    <w:bottom w:val="single" w:color="auto" w:sz="6" w:space="0"/>
                    <w:right w:val="single" w:color="auto" w:sz="12" w:space="0"/>
                  </w:tcBorders>
                  <w:shd w:val="clear" w:color="auto" w:fill="auto"/>
                  <w:vAlign w:val="center"/>
                </w:tcPr>
                <w:p w14:paraId="754D687F">
                  <w:pPr>
                    <w:rPr>
                      <w:szCs w:val="21"/>
                      <w:u w:val="single"/>
                    </w:rPr>
                  </w:pPr>
                  <w:r>
                    <w:rPr>
                      <w:szCs w:val="21"/>
                      <w:u w:val="single"/>
                      <w:lang w:bidi="ar"/>
                    </w:rPr>
                    <w:t>位于安化县田庄乡茶家村，一期2万吨已建成投入运行，二期（2025年）2万吨，共4万吨，配套污水收集管网45.7km及尾水排放口。服务范围为安化县城内的生活污水和工业废水；出水水质该达到《城镇污水处理厂污染物排放标准（GB18918-2002）》一级A标准后排放至资江。</w:t>
                  </w:r>
                </w:p>
              </w:tc>
            </w:tr>
            <w:tr w14:paraId="6EAB00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2" w:type="pct"/>
                  <w:vMerge w:val="continue"/>
                  <w:tcBorders>
                    <w:top w:val="single" w:color="auto" w:sz="6" w:space="0"/>
                    <w:left w:val="single" w:color="auto" w:sz="12" w:space="0"/>
                    <w:bottom w:val="single" w:color="auto" w:sz="12" w:space="0"/>
                    <w:right w:val="single" w:color="auto" w:sz="6" w:space="0"/>
                  </w:tcBorders>
                  <w:shd w:val="clear" w:color="auto" w:fill="auto"/>
                  <w:vAlign w:val="center"/>
                </w:tcPr>
                <w:p w14:paraId="64BF395D">
                  <w:pPr>
                    <w:rPr>
                      <w:szCs w:val="21"/>
                      <w:u w:val="single"/>
                    </w:rPr>
                  </w:pPr>
                </w:p>
              </w:tc>
              <w:tc>
                <w:tcPr>
                  <w:tcW w:w="1062" w:type="pct"/>
                  <w:tcBorders>
                    <w:top w:val="single" w:color="auto" w:sz="6" w:space="0"/>
                    <w:left w:val="single" w:color="auto" w:sz="6" w:space="0"/>
                    <w:bottom w:val="single" w:color="auto" w:sz="12" w:space="0"/>
                    <w:right w:val="single" w:color="auto" w:sz="6" w:space="0"/>
                  </w:tcBorders>
                  <w:shd w:val="clear" w:color="auto" w:fill="auto"/>
                  <w:vAlign w:val="center"/>
                </w:tcPr>
                <w:p w14:paraId="127D586E">
                  <w:pPr>
                    <w:overflowPunct w:val="0"/>
                    <w:jc w:val="center"/>
                    <w:textAlignment w:val="baseline"/>
                    <w:rPr>
                      <w:szCs w:val="21"/>
                      <w:u w:val="single"/>
                    </w:rPr>
                  </w:pPr>
                  <w:r>
                    <w:rPr>
                      <w:spacing w:val="8"/>
                      <w:szCs w:val="21"/>
                      <w:u w:val="single"/>
                      <w:lang w:bidi="ar"/>
                    </w:rPr>
                    <w:t>湖南华益科技发展有限公司</w:t>
                  </w:r>
                  <w:r>
                    <w:rPr>
                      <w:szCs w:val="21"/>
                      <w:u w:val="single"/>
                    </w:rPr>
                    <w:t>自建污水处理站</w:t>
                  </w:r>
                </w:p>
              </w:tc>
              <w:tc>
                <w:tcPr>
                  <w:tcW w:w="3484" w:type="pct"/>
                  <w:tcBorders>
                    <w:top w:val="single" w:color="auto" w:sz="6" w:space="0"/>
                    <w:left w:val="single" w:color="auto" w:sz="6" w:space="0"/>
                    <w:bottom w:val="single" w:color="auto" w:sz="12" w:space="0"/>
                    <w:right w:val="single" w:color="auto" w:sz="12" w:space="0"/>
                  </w:tcBorders>
                  <w:shd w:val="clear" w:color="auto" w:fill="auto"/>
                  <w:vAlign w:val="center"/>
                </w:tcPr>
                <w:p w14:paraId="79180956">
                  <w:pPr>
                    <w:widowControl/>
                    <w:rPr>
                      <w:bCs/>
                      <w:szCs w:val="21"/>
                      <w:u w:val="single"/>
                      <w:lang w:bidi="ar"/>
                    </w:rPr>
                  </w:pPr>
                  <w:r>
                    <w:rPr>
                      <w:bCs/>
                      <w:szCs w:val="21"/>
                      <w:u w:val="single"/>
                      <w:lang w:bidi="ar"/>
                    </w:rPr>
                    <w:t>设计规模500m</w:t>
                  </w:r>
                  <w:r>
                    <w:rPr>
                      <w:bCs/>
                      <w:szCs w:val="21"/>
                      <w:u w:val="single"/>
                      <w:vertAlign w:val="superscript"/>
                      <w:lang w:bidi="ar"/>
                    </w:rPr>
                    <w:t>3</w:t>
                  </w:r>
                  <w:r>
                    <w:rPr>
                      <w:bCs/>
                      <w:szCs w:val="21"/>
                      <w:u w:val="single"/>
                      <w:lang w:bidi="ar"/>
                    </w:rPr>
                    <w:t>/d，目前湖南华益科技发展有限公司（原名湖南华益食品有限公司）废水处理站日常废水处理量在200m</w:t>
                  </w:r>
                  <w:r>
                    <w:rPr>
                      <w:bCs/>
                      <w:szCs w:val="21"/>
                      <w:u w:val="single"/>
                      <w:vertAlign w:val="superscript"/>
                      <w:lang w:bidi="ar"/>
                    </w:rPr>
                    <w:t>3</w:t>
                  </w:r>
                  <w:r>
                    <w:rPr>
                      <w:bCs/>
                      <w:szCs w:val="21"/>
                      <w:u w:val="single"/>
                      <w:lang w:bidi="ar"/>
                    </w:rPr>
                    <w:t>/d范围内，本项目总废水排放量约为</w:t>
                  </w:r>
                  <w:r>
                    <w:rPr>
                      <w:rFonts w:hint="eastAsia"/>
                      <w:bCs/>
                      <w:szCs w:val="21"/>
                      <w:u w:val="single"/>
                      <w:lang w:bidi="ar"/>
                    </w:rPr>
                    <w:t>259.558</w:t>
                  </w:r>
                  <w:r>
                    <w:rPr>
                      <w:bCs/>
                      <w:szCs w:val="21"/>
                      <w:u w:val="single"/>
                      <w:lang w:bidi="ar"/>
                    </w:rPr>
                    <w:t>m³/d，不会超过其处理规模。</w:t>
                  </w:r>
                  <w:r>
                    <w:rPr>
                      <w:rFonts w:hint="eastAsia"/>
                      <w:bCs/>
                      <w:szCs w:val="21"/>
                      <w:u w:val="single"/>
                      <w:lang w:bidi="ar"/>
                    </w:rPr>
                    <w:t>企业于2020年6月11日获得</w:t>
                  </w:r>
                  <w:r>
                    <w:rPr>
                      <w:bCs/>
                      <w:szCs w:val="21"/>
                      <w:u w:val="single"/>
                      <w:lang w:bidi="ar"/>
                    </w:rPr>
                    <w:t>关于《湖南华益食品有限公司年加工1万吨槟榔建设项目环境影响报告表》的批复</w:t>
                  </w:r>
                  <w:r>
                    <w:rPr>
                      <w:rFonts w:hint="eastAsia"/>
                      <w:bCs/>
                      <w:szCs w:val="21"/>
                      <w:u w:val="single"/>
                      <w:lang w:bidi="ar"/>
                    </w:rPr>
                    <w:t>（</w:t>
                  </w:r>
                  <w:r>
                    <w:rPr>
                      <w:bCs/>
                      <w:szCs w:val="21"/>
                      <w:u w:val="single"/>
                      <w:lang w:bidi="ar"/>
                    </w:rPr>
                    <w:t>安环审(表)[2020]027号</w:t>
                  </w:r>
                  <w:r>
                    <w:rPr>
                      <w:rFonts w:hint="eastAsia"/>
                      <w:bCs/>
                      <w:szCs w:val="21"/>
                      <w:u w:val="single"/>
                      <w:lang w:bidi="ar"/>
                    </w:rPr>
                    <w:t>）。</w:t>
                  </w:r>
                </w:p>
                <w:p w14:paraId="46B9DEDB">
                  <w:pPr>
                    <w:widowControl/>
                    <w:rPr>
                      <w:bCs/>
                      <w:szCs w:val="21"/>
                      <w:u w:val="single"/>
                    </w:rPr>
                  </w:pPr>
                  <w:r>
                    <w:rPr>
                      <w:spacing w:val="8"/>
                      <w:szCs w:val="21"/>
                      <w:u w:val="single"/>
                      <w:lang w:bidi="ar"/>
                    </w:rPr>
                    <w:t>湖南华益科技发展有限公司（原名湖南华益食品有限公司）</w:t>
                  </w:r>
                  <w:r>
                    <w:rPr>
                      <w:szCs w:val="21"/>
                      <w:u w:val="single"/>
                      <w:lang w:bidi="ar"/>
                    </w:rPr>
                    <w:t>自建污水处理站处理（</w:t>
                  </w:r>
                  <w:r>
                    <w:rPr>
                      <w:rFonts w:hint="eastAsia" w:asciiTheme="minorEastAsia" w:hAnsiTheme="minorEastAsia" w:eastAsiaTheme="minorEastAsia" w:cstheme="minorEastAsia"/>
                      <w:szCs w:val="21"/>
                      <w:u w:val="single"/>
                      <w:lang w:bidi="ar"/>
                    </w:rPr>
                    <w:t>“</w:t>
                  </w:r>
                  <w:r>
                    <w:rPr>
                      <w:rFonts w:hint="eastAsia" w:asciiTheme="minorEastAsia" w:hAnsiTheme="minorEastAsia" w:eastAsiaTheme="minorEastAsia" w:cstheme="minorEastAsia"/>
                      <w:color w:val="000000"/>
                      <w:szCs w:val="21"/>
                      <w:u w:val="single"/>
                      <w:lang w:bidi="ar"/>
                    </w:rPr>
                    <w:t>格栅井+调节池+加药沉淀+两级水解酸化+两级接触氧化+竖流沉淀</w:t>
                  </w:r>
                  <w:r>
                    <w:rPr>
                      <w:rFonts w:hint="eastAsia" w:asciiTheme="minorEastAsia" w:hAnsiTheme="minorEastAsia" w:eastAsiaTheme="minorEastAsia" w:cstheme="minorEastAsia"/>
                      <w:szCs w:val="21"/>
                      <w:u w:val="single"/>
                      <w:lang w:bidi="ar"/>
                    </w:rPr>
                    <w:t>”），pH、COD、BOD、SS、动植物油达到《污水综合排放标准》（GB8978-1996）表4中三级排放标准限值，氨氮、总磷、总氮、氯化物达到《污水排入城镇下水道水质标准》(GBT31962-2015)表1中B级标准限值；</w:t>
                  </w:r>
                  <w:r>
                    <w:rPr>
                      <w:szCs w:val="21"/>
                      <w:u w:val="single"/>
                      <w:lang w:bidi="ar"/>
                    </w:rPr>
                    <w:t>排入污水管网，由安化县污水处理厂深度处理后，尾水排入资江。</w:t>
                  </w:r>
                </w:p>
              </w:tc>
            </w:tr>
            <w:bookmarkEnd w:id="12"/>
          </w:tbl>
          <w:p w14:paraId="1D5A6EDD">
            <w:pPr>
              <w:spacing w:line="360" w:lineRule="auto"/>
              <w:rPr>
                <w:b/>
                <w:bCs/>
                <w:kern w:val="0"/>
                <w:sz w:val="24"/>
                <w:szCs w:val="24"/>
                <w:u w:val="single"/>
              </w:rPr>
            </w:pPr>
            <w:r>
              <w:rPr>
                <w:b/>
                <w:bCs/>
                <w:kern w:val="0"/>
                <w:sz w:val="24"/>
                <w:szCs w:val="24"/>
                <w:u w:val="single"/>
              </w:rPr>
              <w:t>湖南华益科技发展有限公司</w:t>
            </w:r>
            <w:r>
              <w:rPr>
                <w:rFonts w:hint="eastAsia"/>
                <w:b/>
                <w:bCs/>
                <w:kern w:val="0"/>
                <w:sz w:val="24"/>
                <w:szCs w:val="24"/>
                <w:u w:val="single"/>
              </w:rPr>
              <w:t>主体情况说明</w:t>
            </w:r>
          </w:p>
          <w:p w14:paraId="55866D52">
            <w:pPr>
              <w:adjustRightInd w:val="0"/>
              <w:snapToGrid w:val="0"/>
              <w:spacing w:line="360" w:lineRule="auto"/>
              <w:jc w:val="center"/>
              <w:rPr>
                <w:b/>
                <w:sz w:val="24"/>
                <w:szCs w:val="24"/>
                <w:u w:val="single"/>
              </w:rPr>
            </w:pPr>
            <w:r>
              <w:rPr>
                <w:rFonts w:hint="eastAsia"/>
                <w:b/>
                <w:bCs/>
                <w:kern w:val="0"/>
                <w:sz w:val="24"/>
                <w:szCs w:val="24"/>
                <w:u w:val="single"/>
              </w:rPr>
              <w:t xml:space="preserve">表2-2  </w:t>
            </w:r>
            <w:r>
              <w:rPr>
                <w:b/>
                <w:bCs/>
                <w:kern w:val="0"/>
                <w:sz w:val="24"/>
                <w:szCs w:val="24"/>
                <w:u w:val="single"/>
              </w:rPr>
              <w:t>湖南华益科技发展有限公司主要建设内容一览表</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79"/>
              <w:gridCol w:w="3880"/>
              <w:gridCol w:w="3902"/>
            </w:tblGrid>
            <w:tr w14:paraId="42CEB7D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4" w:hRule="atLeast"/>
                <w:jc w:val="center"/>
              </w:trPr>
              <w:tc>
                <w:tcPr>
                  <w:tcW w:w="616" w:type="dxa"/>
                  <w:tcBorders>
                    <w:bottom w:val="single" w:color="auto" w:sz="2" w:space="0"/>
                    <w:right w:val="single" w:color="auto" w:sz="2" w:space="0"/>
                  </w:tcBorders>
                  <w:shd w:val="clear" w:color="auto" w:fill="auto"/>
                  <w:vAlign w:val="center"/>
                </w:tcPr>
                <w:p w14:paraId="03152D39">
                  <w:pPr>
                    <w:jc w:val="center"/>
                    <w:rPr>
                      <w:b/>
                      <w:color w:val="000000"/>
                      <w:szCs w:val="21"/>
                      <w:u w:val="single"/>
                    </w:rPr>
                  </w:pPr>
                  <w:r>
                    <w:rPr>
                      <w:b/>
                      <w:color w:val="000000"/>
                      <w:szCs w:val="21"/>
                      <w:u w:val="single"/>
                      <w:lang w:bidi="ar"/>
                    </w:rPr>
                    <w:t>名称</w:t>
                  </w:r>
                </w:p>
              </w:tc>
              <w:tc>
                <w:tcPr>
                  <w:tcW w:w="3523" w:type="dxa"/>
                  <w:tcBorders>
                    <w:left w:val="single" w:color="auto" w:sz="2" w:space="0"/>
                    <w:bottom w:val="single" w:color="auto" w:sz="2" w:space="0"/>
                    <w:right w:val="single" w:color="auto" w:sz="2" w:space="0"/>
                  </w:tcBorders>
                  <w:shd w:val="clear" w:color="auto" w:fill="auto"/>
                  <w:vAlign w:val="center"/>
                </w:tcPr>
                <w:p w14:paraId="76E29526">
                  <w:pPr>
                    <w:jc w:val="center"/>
                    <w:rPr>
                      <w:b/>
                      <w:color w:val="000000"/>
                      <w:szCs w:val="21"/>
                      <w:u w:val="single"/>
                    </w:rPr>
                  </w:pPr>
                  <w:r>
                    <w:rPr>
                      <w:b/>
                      <w:color w:val="000000"/>
                      <w:szCs w:val="21"/>
                      <w:u w:val="single"/>
                      <w:lang w:bidi="ar"/>
                    </w:rPr>
                    <w:t>环评建设内容</w:t>
                  </w:r>
                </w:p>
              </w:tc>
              <w:tc>
                <w:tcPr>
                  <w:tcW w:w="3543" w:type="dxa"/>
                  <w:tcBorders>
                    <w:left w:val="single" w:color="auto" w:sz="2" w:space="0"/>
                    <w:bottom w:val="single" w:color="auto" w:sz="2" w:space="0"/>
                    <w:right w:val="single" w:color="auto" w:sz="12" w:space="0"/>
                  </w:tcBorders>
                  <w:shd w:val="clear" w:color="auto" w:fill="auto"/>
                  <w:vAlign w:val="center"/>
                </w:tcPr>
                <w:p w14:paraId="12039745">
                  <w:pPr>
                    <w:jc w:val="center"/>
                    <w:rPr>
                      <w:b/>
                      <w:color w:val="000000"/>
                      <w:szCs w:val="21"/>
                      <w:u w:val="single"/>
                    </w:rPr>
                  </w:pPr>
                  <w:r>
                    <w:rPr>
                      <w:b/>
                      <w:color w:val="000000"/>
                      <w:szCs w:val="21"/>
                      <w:u w:val="single"/>
                      <w:lang w:bidi="ar"/>
                    </w:rPr>
                    <w:t>实际建设内容</w:t>
                  </w:r>
                </w:p>
              </w:tc>
            </w:tr>
            <w:tr w14:paraId="1A61AA4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68" w:hRule="atLeast"/>
                <w:jc w:val="center"/>
              </w:trPr>
              <w:tc>
                <w:tcPr>
                  <w:tcW w:w="616" w:type="dxa"/>
                  <w:vMerge w:val="restart"/>
                  <w:tcBorders>
                    <w:top w:val="single" w:color="auto" w:sz="2" w:space="0"/>
                    <w:right w:val="single" w:color="auto" w:sz="2" w:space="0"/>
                  </w:tcBorders>
                  <w:shd w:val="clear" w:color="auto" w:fill="auto"/>
                  <w:vAlign w:val="center"/>
                </w:tcPr>
                <w:p w14:paraId="341D0BBD">
                  <w:pPr>
                    <w:jc w:val="center"/>
                    <w:rPr>
                      <w:b/>
                      <w:color w:val="000000"/>
                      <w:szCs w:val="21"/>
                      <w:u w:val="single"/>
                    </w:rPr>
                  </w:pPr>
                  <w:r>
                    <w:rPr>
                      <w:b/>
                      <w:color w:val="000000"/>
                      <w:szCs w:val="21"/>
                      <w:u w:val="single"/>
                      <w:lang w:bidi="ar"/>
                    </w:rPr>
                    <w:t>主体工程</w:t>
                  </w:r>
                  <w:r>
                    <w:rPr>
                      <w:rFonts w:hint="eastAsia"/>
                      <w:b/>
                      <w:color w:val="000000"/>
                      <w:szCs w:val="21"/>
                      <w:u w:val="single"/>
                      <w:lang w:bidi="ar"/>
                    </w:rPr>
                    <w:t>及建设情况</w:t>
                  </w:r>
                </w:p>
              </w:tc>
              <w:tc>
                <w:tcPr>
                  <w:tcW w:w="3523" w:type="dxa"/>
                  <w:tcBorders>
                    <w:top w:val="single" w:color="auto" w:sz="2" w:space="0"/>
                    <w:left w:val="single" w:color="auto" w:sz="2" w:space="0"/>
                    <w:bottom w:val="single" w:color="auto" w:sz="12" w:space="0"/>
                    <w:right w:val="single" w:color="auto" w:sz="2" w:space="0"/>
                  </w:tcBorders>
                  <w:shd w:val="clear" w:color="auto" w:fill="auto"/>
                  <w:vAlign w:val="center"/>
                </w:tcPr>
                <w:p w14:paraId="0C04AA6D">
                  <w:pPr>
                    <w:jc w:val="left"/>
                    <w:rPr>
                      <w:b/>
                      <w:color w:val="000000"/>
                      <w:szCs w:val="21"/>
                      <w:u w:val="single"/>
                    </w:rPr>
                  </w:pPr>
                  <w:r>
                    <w:rPr>
                      <w:szCs w:val="21"/>
                      <w:u w:val="single"/>
                      <w:lang w:bidi="ar"/>
                    </w:rPr>
                    <w:t>1#厂房：4层标准厂房；其中一层：面积4596.02m</w:t>
                  </w:r>
                  <w:r>
                    <w:rPr>
                      <w:szCs w:val="21"/>
                      <w:u w:val="single"/>
                      <w:vertAlign w:val="superscript"/>
                      <w:lang w:bidi="ar"/>
                    </w:rPr>
                    <w:t>2</w:t>
                  </w:r>
                  <w:r>
                    <w:rPr>
                      <w:szCs w:val="21"/>
                      <w:u w:val="single"/>
                      <w:lang w:bidi="ar"/>
                    </w:rPr>
                    <w:t>，设有配料区、清洗区、脱包区；二层：面积4596.02m</w:t>
                  </w:r>
                  <w:r>
                    <w:rPr>
                      <w:szCs w:val="21"/>
                      <w:u w:val="single"/>
                      <w:vertAlign w:val="superscript"/>
                      <w:lang w:bidi="ar"/>
                    </w:rPr>
                    <w:t>2</w:t>
                  </w:r>
                  <w:r>
                    <w:rPr>
                      <w:szCs w:val="21"/>
                      <w:u w:val="single"/>
                      <w:lang w:bidi="ar"/>
                    </w:rPr>
                    <w:t>，设有去芯区、入香区、点卤区、晾片区、包装；三层：面积4596.02m</w:t>
                  </w:r>
                  <w:r>
                    <w:rPr>
                      <w:szCs w:val="21"/>
                      <w:u w:val="single"/>
                      <w:vertAlign w:val="superscript"/>
                      <w:lang w:bidi="ar"/>
                    </w:rPr>
                    <w:t>2</w:t>
                  </w:r>
                  <w:r>
                    <w:rPr>
                      <w:szCs w:val="21"/>
                      <w:u w:val="single"/>
                      <w:lang w:bidi="ar"/>
                    </w:rPr>
                    <w:t>，设有去芯区、入香区、点卤区、晾片区、包装区；四层：面积4596.02m</w:t>
                  </w:r>
                  <w:r>
                    <w:rPr>
                      <w:szCs w:val="21"/>
                      <w:u w:val="single"/>
                      <w:vertAlign w:val="superscript"/>
                      <w:lang w:bidi="ar"/>
                    </w:rPr>
                    <w:t>2</w:t>
                  </w:r>
                  <w:r>
                    <w:rPr>
                      <w:szCs w:val="21"/>
                      <w:u w:val="single"/>
                      <w:lang w:bidi="ar"/>
                    </w:rPr>
                    <w:t>，设成品库、包材库。</w:t>
                  </w:r>
                </w:p>
              </w:tc>
              <w:tc>
                <w:tcPr>
                  <w:tcW w:w="3543" w:type="dxa"/>
                  <w:tcBorders>
                    <w:top w:val="single" w:color="auto" w:sz="2" w:space="0"/>
                    <w:left w:val="single" w:color="auto" w:sz="2" w:space="0"/>
                    <w:bottom w:val="single" w:color="auto" w:sz="12" w:space="0"/>
                    <w:right w:val="single" w:color="auto" w:sz="12" w:space="0"/>
                  </w:tcBorders>
                  <w:shd w:val="clear" w:color="auto" w:fill="auto"/>
                  <w:vAlign w:val="center"/>
                </w:tcPr>
                <w:p w14:paraId="33A11C1B">
                  <w:pPr>
                    <w:jc w:val="left"/>
                    <w:rPr>
                      <w:b/>
                      <w:color w:val="000000"/>
                      <w:szCs w:val="21"/>
                      <w:u w:val="single"/>
                    </w:rPr>
                  </w:pPr>
                  <w:r>
                    <w:rPr>
                      <w:szCs w:val="21"/>
                      <w:u w:val="single"/>
                      <w:lang w:bidi="ar"/>
                    </w:rPr>
                    <w:t>1#厂房：4层标准厂房；</w:t>
                  </w:r>
                  <w:r>
                    <w:rPr>
                      <w:rFonts w:hint="eastAsia"/>
                      <w:szCs w:val="21"/>
                      <w:u w:val="single"/>
                      <w:lang w:bidi="ar"/>
                    </w:rPr>
                    <w:t>因实际生产产能减少，</w:t>
                  </w:r>
                  <w:r>
                    <w:rPr>
                      <w:szCs w:val="21"/>
                      <w:u w:val="single"/>
                      <w:lang w:bidi="ar"/>
                    </w:rPr>
                    <w:t>1#厂房</w:t>
                  </w:r>
                  <w:r>
                    <w:rPr>
                      <w:rFonts w:hint="eastAsia"/>
                      <w:szCs w:val="21"/>
                      <w:u w:val="single"/>
                      <w:lang w:bidi="ar"/>
                    </w:rPr>
                    <w:t>停产退租</w:t>
                  </w:r>
                  <w:r>
                    <w:rPr>
                      <w:szCs w:val="21"/>
                      <w:u w:val="single"/>
                      <w:lang w:bidi="ar"/>
                    </w:rPr>
                    <w:t>。</w:t>
                  </w:r>
                </w:p>
              </w:tc>
            </w:tr>
            <w:tr w14:paraId="3FF074A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671" w:hRule="atLeast"/>
                <w:jc w:val="center"/>
              </w:trPr>
              <w:tc>
                <w:tcPr>
                  <w:tcW w:w="616" w:type="dxa"/>
                  <w:vMerge w:val="continue"/>
                  <w:tcBorders>
                    <w:bottom w:val="single" w:color="auto" w:sz="2" w:space="0"/>
                    <w:right w:val="single" w:color="auto" w:sz="2" w:space="0"/>
                  </w:tcBorders>
                  <w:shd w:val="clear" w:color="auto" w:fill="auto"/>
                  <w:vAlign w:val="center"/>
                </w:tcPr>
                <w:p w14:paraId="629968B7">
                  <w:pPr>
                    <w:jc w:val="center"/>
                    <w:rPr>
                      <w:b/>
                      <w:color w:val="000000"/>
                      <w:szCs w:val="21"/>
                      <w:u w:val="single"/>
                    </w:rPr>
                  </w:pPr>
                </w:p>
              </w:tc>
              <w:tc>
                <w:tcPr>
                  <w:tcW w:w="3523" w:type="dxa"/>
                  <w:tcBorders>
                    <w:top w:val="single" w:color="auto" w:sz="2" w:space="0"/>
                    <w:left w:val="single" w:color="auto" w:sz="2" w:space="0"/>
                    <w:bottom w:val="single" w:color="auto" w:sz="2" w:space="0"/>
                    <w:right w:val="single" w:color="auto" w:sz="2" w:space="0"/>
                  </w:tcBorders>
                  <w:shd w:val="clear" w:color="auto" w:fill="auto"/>
                  <w:vAlign w:val="center"/>
                </w:tcPr>
                <w:p w14:paraId="798D4A56">
                  <w:pPr>
                    <w:jc w:val="left"/>
                    <w:rPr>
                      <w:b/>
                      <w:color w:val="000000"/>
                      <w:szCs w:val="21"/>
                      <w:u w:val="single"/>
                    </w:rPr>
                  </w:pPr>
                  <w:r>
                    <w:rPr>
                      <w:szCs w:val="21"/>
                      <w:u w:val="single"/>
                      <w:lang w:bidi="ar"/>
                    </w:rPr>
                    <w:t>2#厂房：4层标准厂房；其中一层：面积4579.71m</w:t>
                  </w:r>
                  <w:r>
                    <w:rPr>
                      <w:szCs w:val="21"/>
                      <w:u w:val="single"/>
                      <w:vertAlign w:val="superscript"/>
                      <w:lang w:bidi="ar"/>
                    </w:rPr>
                    <w:t>2</w:t>
                  </w:r>
                  <w:r>
                    <w:rPr>
                      <w:szCs w:val="21"/>
                      <w:u w:val="single"/>
                      <w:lang w:bidi="ar"/>
                    </w:rPr>
                    <w:t>，设有选籽区、泡籽区、汽爆区、发籽区、洗籽区、烤籽区、压型区、滚胶区、切籽区；二层：面积4579.71m</w:t>
                  </w:r>
                  <w:r>
                    <w:rPr>
                      <w:szCs w:val="21"/>
                      <w:u w:val="single"/>
                      <w:vertAlign w:val="superscript"/>
                      <w:lang w:bidi="ar"/>
                    </w:rPr>
                    <w:t>2</w:t>
                  </w:r>
                  <w:r>
                    <w:rPr>
                      <w:szCs w:val="21"/>
                      <w:u w:val="single"/>
                      <w:lang w:bidi="ar"/>
                    </w:rPr>
                    <w:t>，设有去芯区、入香区、点卤区、晾片区、包装；三层：面积4579.71m</w:t>
                  </w:r>
                  <w:r>
                    <w:rPr>
                      <w:szCs w:val="21"/>
                      <w:u w:val="single"/>
                      <w:vertAlign w:val="superscript"/>
                      <w:lang w:bidi="ar"/>
                    </w:rPr>
                    <w:t>2</w:t>
                  </w:r>
                  <w:r>
                    <w:rPr>
                      <w:szCs w:val="21"/>
                      <w:u w:val="single"/>
                      <w:lang w:bidi="ar"/>
                    </w:rPr>
                    <w:t>，设有去芯区、入香区、点卤区、晾片区、包装区；四层：面积4596.71m</w:t>
                  </w:r>
                  <w:r>
                    <w:rPr>
                      <w:szCs w:val="21"/>
                      <w:u w:val="single"/>
                      <w:vertAlign w:val="superscript"/>
                      <w:lang w:bidi="ar"/>
                    </w:rPr>
                    <w:t>2</w:t>
                  </w:r>
                  <w:r>
                    <w:rPr>
                      <w:szCs w:val="21"/>
                      <w:u w:val="single"/>
                      <w:lang w:bidi="ar"/>
                    </w:rPr>
                    <w:t xml:space="preserve">，设成品库。  </w:t>
                  </w:r>
                </w:p>
              </w:tc>
              <w:tc>
                <w:tcPr>
                  <w:tcW w:w="3543" w:type="dxa"/>
                  <w:tcBorders>
                    <w:top w:val="single" w:color="auto" w:sz="2" w:space="0"/>
                    <w:left w:val="single" w:color="auto" w:sz="2" w:space="0"/>
                    <w:bottom w:val="single" w:color="auto" w:sz="2" w:space="0"/>
                    <w:right w:val="single" w:color="auto" w:sz="12" w:space="0"/>
                  </w:tcBorders>
                  <w:shd w:val="clear" w:color="auto" w:fill="auto"/>
                  <w:vAlign w:val="center"/>
                </w:tcPr>
                <w:p w14:paraId="43D8FFC6">
                  <w:pPr>
                    <w:rPr>
                      <w:b/>
                      <w:color w:val="000000"/>
                      <w:szCs w:val="21"/>
                      <w:u w:val="single"/>
                    </w:rPr>
                  </w:pPr>
                  <w:r>
                    <w:rPr>
                      <w:szCs w:val="21"/>
                      <w:u w:val="single"/>
                      <w:lang w:bidi="ar"/>
                    </w:rPr>
                    <w:t>2#厂房：4层标准厂房；其中一层：面积4579.71m</w:t>
                  </w:r>
                  <w:r>
                    <w:rPr>
                      <w:szCs w:val="21"/>
                      <w:u w:val="single"/>
                      <w:vertAlign w:val="superscript"/>
                      <w:lang w:bidi="ar"/>
                    </w:rPr>
                    <w:t>2</w:t>
                  </w:r>
                  <w:r>
                    <w:rPr>
                      <w:szCs w:val="21"/>
                      <w:u w:val="single"/>
                      <w:lang w:bidi="ar"/>
                    </w:rPr>
                    <w:t>，设有选籽区、泡籽区、汽爆区、发籽区、洗籽区、烤籽区、压型区、滚胶区、切籽区；二层：面积4579.71m</w:t>
                  </w:r>
                  <w:r>
                    <w:rPr>
                      <w:szCs w:val="21"/>
                      <w:u w:val="single"/>
                      <w:vertAlign w:val="superscript"/>
                      <w:lang w:bidi="ar"/>
                    </w:rPr>
                    <w:t>2</w:t>
                  </w:r>
                  <w:r>
                    <w:rPr>
                      <w:szCs w:val="21"/>
                      <w:u w:val="single"/>
                      <w:lang w:bidi="ar"/>
                    </w:rPr>
                    <w:t>，设有去芯区、入香区、点卤区、晾片区、包装；三层：面积4579.71m</w:t>
                  </w:r>
                  <w:r>
                    <w:rPr>
                      <w:szCs w:val="21"/>
                      <w:u w:val="single"/>
                      <w:vertAlign w:val="superscript"/>
                      <w:lang w:bidi="ar"/>
                    </w:rPr>
                    <w:t>2</w:t>
                  </w:r>
                  <w:r>
                    <w:rPr>
                      <w:szCs w:val="21"/>
                      <w:u w:val="single"/>
                      <w:lang w:bidi="ar"/>
                    </w:rPr>
                    <w:t>，设有去芯区、入香区、点卤区、晾片区、包装区；四层：面积4596.71m</w:t>
                  </w:r>
                  <w:r>
                    <w:rPr>
                      <w:szCs w:val="21"/>
                      <w:u w:val="single"/>
                      <w:vertAlign w:val="superscript"/>
                      <w:lang w:bidi="ar"/>
                    </w:rPr>
                    <w:t>2</w:t>
                  </w:r>
                  <w:r>
                    <w:rPr>
                      <w:szCs w:val="21"/>
                      <w:u w:val="single"/>
                      <w:lang w:bidi="ar"/>
                    </w:rPr>
                    <w:t xml:space="preserve">，设成品库。  </w:t>
                  </w:r>
                </w:p>
              </w:tc>
            </w:tr>
            <w:tr w14:paraId="6A283C6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544" w:hRule="atLeast"/>
                <w:jc w:val="center"/>
              </w:trPr>
              <w:tc>
                <w:tcPr>
                  <w:tcW w:w="616" w:type="dxa"/>
                  <w:tcBorders>
                    <w:top w:val="single" w:color="auto" w:sz="2" w:space="0"/>
                    <w:right w:val="single" w:color="auto" w:sz="2" w:space="0"/>
                  </w:tcBorders>
                  <w:shd w:val="clear" w:color="auto" w:fill="auto"/>
                  <w:vAlign w:val="center"/>
                </w:tcPr>
                <w:p w14:paraId="27BF6D47">
                  <w:pPr>
                    <w:jc w:val="center"/>
                    <w:rPr>
                      <w:b/>
                      <w:bCs/>
                      <w:szCs w:val="21"/>
                      <w:u w:val="single"/>
                    </w:rPr>
                  </w:pPr>
                  <w:r>
                    <w:rPr>
                      <w:rFonts w:hint="eastAsia"/>
                      <w:b/>
                      <w:color w:val="000000"/>
                      <w:szCs w:val="21"/>
                      <w:u w:val="single"/>
                      <w:lang w:bidi="ar"/>
                    </w:rPr>
                    <w:t>供热系统</w:t>
                  </w:r>
                </w:p>
              </w:tc>
              <w:tc>
                <w:tcPr>
                  <w:tcW w:w="3523" w:type="dxa"/>
                  <w:tcBorders>
                    <w:top w:val="single" w:color="auto" w:sz="2" w:space="0"/>
                    <w:left w:val="single" w:color="auto" w:sz="2" w:space="0"/>
                    <w:right w:val="single" w:color="auto" w:sz="2" w:space="0"/>
                  </w:tcBorders>
                  <w:shd w:val="clear" w:color="auto" w:fill="auto"/>
                  <w:vAlign w:val="center"/>
                </w:tcPr>
                <w:p w14:paraId="55A8756E">
                  <w:pPr>
                    <w:jc w:val="left"/>
                    <w:rPr>
                      <w:szCs w:val="21"/>
                      <w:u w:val="single"/>
                      <w:lang w:bidi="ar"/>
                    </w:rPr>
                  </w:pPr>
                  <w:r>
                    <w:rPr>
                      <w:b/>
                      <w:bCs/>
                      <w:szCs w:val="21"/>
                      <w:u w:val="single"/>
                      <w:lang w:bidi="ar"/>
                    </w:rPr>
                    <w:t>供热：</w:t>
                  </w:r>
                  <w:r>
                    <w:rPr>
                      <w:rFonts w:hint="eastAsia"/>
                      <w:szCs w:val="21"/>
                      <w:u w:val="single"/>
                      <w:lang w:bidi="ar"/>
                    </w:rPr>
                    <w:t>根据</w:t>
                  </w:r>
                  <w:r>
                    <w:rPr>
                      <w:bCs/>
                      <w:szCs w:val="21"/>
                      <w:u w:val="single"/>
                      <w:lang w:bidi="ar"/>
                    </w:rPr>
                    <w:t>《湖南华益食品有限公司年加工1万吨槟榔建设项目环境影响报告表》</w:t>
                  </w:r>
                  <w:r>
                    <w:rPr>
                      <w:rFonts w:hint="eastAsia"/>
                      <w:bCs/>
                      <w:szCs w:val="21"/>
                      <w:u w:val="single"/>
                      <w:lang w:bidi="ar"/>
                    </w:rPr>
                    <w:t>可知企业拟设置</w:t>
                  </w:r>
                  <w:r>
                    <w:rPr>
                      <w:szCs w:val="21"/>
                      <w:u w:val="single"/>
                      <w:lang w:bidi="ar"/>
                    </w:rPr>
                    <w:t>12台燃气锅炉，均为1.3t/h的蒸汽锅炉，办公区采用立体式空调供热。</w:t>
                  </w:r>
                </w:p>
                <w:p w14:paraId="58D43851">
                  <w:pPr>
                    <w:jc w:val="left"/>
                    <w:rPr>
                      <w:szCs w:val="21"/>
                      <w:u w:val="single"/>
                      <w:lang w:bidi="ar"/>
                    </w:rPr>
                  </w:pPr>
                  <w:r>
                    <w:rPr>
                      <w:rFonts w:hint="eastAsia"/>
                      <w:szCs w:val="21"/>
                      <w:u w:val="single"/>
                      <w:lang w:bidi="ar"/>
                    </w:rPr>
                    <w:t>根据《湖南华益科技发展有限公司备用生物质锅炉建设项目环境影响报告表》的批复益安环评表〔2022〕4号可知，新增2台8t/h的生物质蒸汽锅炉。</w:t>
                  </w:r>
                </w:p>
              </w:tc>
              <w:tc>
                <w:tcPr>
                  <w:tcW w:w="3543" w:type="dxa"/>
                  <w:tcBorders>
                    <w:top w:val="single" w:color="auto" w:sz="2" w:space="0"/>
                    <w:left w:val="single" w:color="auto" w:sz="2" w:space="0"/>
                    <w:right w:val="single" w:color="auto" w:sz="12" w:space="0"/>
                  </w:tcBorders>
                  <w:shd w:val="clear" w:color="auto" w:fill="auto"/>
                  <w:vAlign w:val="center"/>
                </w:tcPr>
                <w:p w14:paraId="38BD6497">
                  <w:pPr>
                    <w:jc w:val="left"/>
                    <w:rPr>
                      <w:szCs w:val="21"/>
                      <w:u w:val="single"/>
                      <w:lang w:bidi="ar"/>
                    </w:rPr>
                  </w:pPr>
                  <w:r>
                    <w:rPr>
                      <w:b/>
                      <w:bCs/>
                      <w:szCs w:val="21"/>
                      <w:u w:val="single"/>
                      <w:lang w:bidi="ar"/>
                    </w:rPr>
                    <w:t>供热：</w:t>
                  </w:r>
                  <w:r>
                    <w:rPr>
                      <w:rFonts w:hint="eastAsia"/>
                      <w:szCs w:val="21"/>
                      <w:u w:val="single"/>
                      <w:lang w:bidi="ar"/>
                    </w:rPr>
                    <w:t>由《</w:t>
                  </w:r>
                  <w:r>
                    <w:rPr>
                      <w:szCs w:val="21"/>
                      <w:u w:val="single"/>
                      <w:lang w:bidi="ar"/>
                    </w:rPr>
                    <w:t>湖南华益食品有限公司年加工1万吨槟榔建设项目竣工环境保护验收监测报告表</w:t>
                  </w:r>
                  <w:r>
                    <w:rPr>
                      <w:rFonts w:hint="eastAsia"/>
                      <w:szCs w:val="21"/>
                      <w:u w:val="single"/>
                      <w:lang w:bidi="ar"/>
                    </w:rPr>
                    <w:t>》可知，企业实际</w:t>
                  </w:r>
                  <w:r>
                    <w:rPr>
                      <w:szCs w:val="21"/>
                      <w:u w:val="single"/>
                      <w:lang w:bidi="ar"/>
                    </w:rPr>
                    <w:t>8台燃气锅炉，均为1.3t/h的蒸汽锅炉，办公区采用立体式空调供热。</w:t>
                  </w:r>
                </w:p>
                <w:p w14:paraId="62BCEA00">
                  <w:pPr>
                    <w:jc w:val="left"/>
                    <w:rPr>
                      <w:szCs w:val="21"/>
                      <w:u w:val="single"/>
                      <w:lang w:bidi="ar"/>
                    </w:rPr>
                  </w:pPr>
                  <w:r>
                    <w:rPr>
                      <w:rFonts w:hint="eastAsia"/>
                      <w:szCs w:val="21"/>
                      <w:u w:val="single"/>
                      <w:lang w:bidi="ar"/>
                    </w:rPr>
                    <w:t>因实际生产产能减少，</w:t>
                  </w:r>
                  <w:r>
                    <w:rPr>
                      <w:szCs w:val="21"/>
                      <w:u w:val="single"/>
                      <w:lang w:bidi="ar"/>
                    </w:rPr>
                    <w:t>1#厂房</w:t>
                  </w:r>
                  <w:r>
                    <w:rPr>
                      <w:rFonts w:hint="eastAsia"/>
                      <w:szCs w:val="21"/>
                      <w:u w:val="single"/>
                      <w:lang w:bidi="ar"/>
                    </w:rPr>
                    <w:t>停产退租；企业实际未新增2台8t/h的生物质蒸汽锅炉。</w:t>
                  </w:r>
                </w:p>
              </w:tc>
            </w:tr>
          </w:tbl>
          <w:p w14:paraId="396A05F9">
            <w:pPr>
              <w:spacing w:line="360" w:lineRule="auto"/>
              <w:ind w:firstLine="480" w:firstLineChars="200"/>
              <w:rPr>
                <w:kern w:val="0"/>
                <w:sz w:val="24"/>
                <w:szCs w:val="24"/>
                <w:u w:val="single"/>
              </w:rPr>
            </w:pPr>
            <w:r>
              <w:rPr>
                <w:rFonts w:hint="eastAsia"/>
                <w:kern w:val="0"/>
                <w:sz w:val="24"/>
                <w:szCs w:val="24"/>
                <w:u w:val="single"/>
              </w:rPr>
              <w:t>综上所述，由于湖南华益科技发展有限公司（原湖南华益科技发展有限公司）生产产能降低，因此湖南华益科技发展有限公司1#厂房停产退租，且企业于2022年4月26日获得</w:t>
            </w:r>
            <w:r>
              <w:rPr>
                <w:rFonts w:hint="eastAsia"/>
                <w:sz w:val="24"/>
                <w:szCs w:val="24"/>
                <w:u w:val="single"/>
                <w:lang w:bidi="ar"/>
              </w:rPr>
              <w:t>《湖南华益科技发展有限公司备用生物质锅炉建设项目环境影响报告表》的批复益安环评表〔2022〕4号，批复新增2台8t/h的生物质蒸汽锅炉；实际并未建设。</w:t>
            </w:r>
          </w:p>
          <w:p w14:paraId="3D2333E6">
            <w:pPr>
              <w:pStyle w:val="6"/>
              <w:ind w:firstLine="480" w:firstLineChars="200"/>
              <w:jc w:val="both"/>
              <w:rPr>
                <w:rFonts w:eastAsia="宋体"/>
                <w:bCs/>
                <w:szCs w:val="24"/>
              </w:rPr>
            </w:pPr>
          </w:p>
          <w:p w14:paraId="2ABE95C2">
            <w:pPr>
              <w:adjustRightInd w:val="0"/>
              <w:snapToGrid w:val="0"/>
              <w:spacing w:line="360" w:lineRule="auto"/>
              <w:rPr>
                <w:b/>
                <w:sz w:val="24"/>
                <w:szCs w:val="24"/>
              </w:rPr>
            </w:pPr>
            <w:r>
              <w:rPr>
                <w:b/>
                <w:sz w:val="24"/>
                <w:szCs w:val="24"/>
              </w:rPr>
              <w:t>3 产品方案</w:t>
            </w:r>
          </w:p>
          <w:p w14:paraId="4C59B5DA">
            <w:pPr>
              <w:adjustRightInd w:val="0"/>
              <w:snapToGrid w:val="0"/>
              <w:spacing w:line="360" w:lineRule="auto"/>
              <w:ind w:firstLine="480" w:firstLineChars="200"/>
              <w:rPr>
                <w:bCs/>
                <w:sz w:val="24"/>
                <w:szCs w:val="24"/>
              </w:rPr>
            </w:pPr>
            <w:r>
              <w:rPr>
                <w:bCs/>
                <w:sz w:val="24"/>
                <w:szCs w:val="24"/>
              </w:rPr>
              <w:t>本项目具体产品方案情况见下表。</w:t>
            </w:r>
          </w:p>
          <w:p w14:paraId="1C1767FA">
            <w:pPr>
              <w:spacing w:line="360" w:lineRule="auto"/>
              <w:jc w:val="center"/>
              <w:rPr>
                <w:b/>
                <w:bCs/>
                <w:kern w:val="0"/>
                <w:sz w:val="24"/>
                <w:szCs w:val="24"/>
              </w:rPr>
            </w:pPr>
            <w:r>
              <w:rPr>
                <w:b/>
                <w:bCs/>
                <w:kern w:val="0"/>
                <w:sz w:val="24"/>
                <w:szCs w:val="24"/>
              </w:rPr>
              <w:t>表2-</w:t>
            </w:r>
            <w:r>
              <w:rPr>
                <w:rFonts w:hint="eastAsia"/>
                <w:b/>
                <w:bCs/>
                <w:kern w:val="0"/>
                <w:sz w:val="24"/>
                <w:szCs w:val="24"/>
              </w:rPr>
              <w:t>3</w:t>
            </w:r>
            <w:r>
              <w:rPr>
                <w:b/>
                <w:bCs/>
                <w:kern w:val="0"/>
                <w:sz w:val="24"/>
                <w:szCs w:val="24"/>
              </w:rPr>
              <w:t xml:space="preserve">  产品方案一览表</w:t>
            </w:r>
          </w:p>
          <w:tbl>
            <w:tblPr>
              <w:tblStyle w:val="24"/>
              <w:tblW w:w="85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96"/>
              <w:gridCol w:w="2064"/>
              <w:gridCol w:w="2033"/>
              <w:gridCol w:w="2449"/>
              <w:gridCol w:w="15"/>
            </w:tblGrid>
            <w:tr w14:paraId="064B2C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gridAfter w:val="1"/>
                <w:wAfter w:w="15" w:type="dxa"/>
                <w:trHeight w:val="397" w:hRule="atLeast"/>
                <w:jc w:val="center"/>
              </w:trPr>
              <w:tc>
                <w:tcPr>
                  <w:tcW w:w="1995" w:type="dxa"/>
                  <w:vAlign w:val="center"/>
                </w:tcPr>
                <w:p w14:paraId="78D680D8">
                  <w:pPr>
                    <w:jc w:val="center"/>
                    <w:rPr>
                      <w:b/>
                      <w:bCs/>
                      <w:color w:val="000000"/>
                      <w:szCs w:val="21"/>
                    </w:rPr>
                  </w:pPr>
                  <w:r>
                    <w:rPr>
                      <w:b/>
                      <w:bCs/>
                      <w:color w:val="000000"/>
                      <w:szCs w:val="21"/>
                    </w:rPr>
                    <w:t>类型</w:t>
                  </w:r>
                </w:p>
              </w:tc>
              <w:tc>
                <w:tcPr>
                  <w:tcW w:w="2063" w:type="dxa"/>
                  <w:vAlign w:val="center"/>
                </w:tcPr>
                <w:p w14:paraId="03268A6F">
                  <w:pPr>
                    <w:jc w:val="center"/>
                    <w:rPr>
                      <w:b/>
                      <w:bCs/>
                      <w:color w:val="000000"/>
                      <w:szCs w:val="21"/>
                    </w:rPr>
                  </w:pPr>
                  <w:r>
                    <w:rPr>
                      <w:b/>
                      <w:bCs/>
                      <w:color w:val="000000"/>
                      <w:szCs w:val="21"/>
                    </w:rPr>
                    <w:t>年工作小时</w:t>
                  </w:r>
                </w:p>
              </w:tc>
              <w:tc>
                <w:tcPr>
                  <w:tcW w:w="2032" w:type="dxa"/>
                  <w:vAlign w:val="center"/>
                </w:tcPr>
                <w:p w14:paraId="7BEE3325">
                  <w:pPr>
                    <w:jc w:val="center"/>
                    <w:rPr>
                      <w:b/>
                      <w:bCs/>
                      <w:color w:val="000000"/>
                      <w:szCs w:val="21"/>
                    </w:rPr>
                  </w:pPr>
                  <w:r>
                    <w:rPr>
                      <w:b/>
                      <w:bCs/>
                      <w:color w:val="000000"/>
                      <w:szCs w:val="21"/>
                    </w:rPr>
                    <w:t>年蒸汽产生量</w:t>
                  </w:r>
                </w:p>
              </w:tc>
              <w:tc>
                <w:tcPr>
                  <w:tcW w:w="2452" w:type="dxa"/>
                  <w:vAlign w:val="center"/>
                </w:tcPr>
                <w:p w14:paraId="438A0C45">
                  <w:pPr>
                    <w:jc w:val="center"/>
                    <w:rPr>
                      <w:b/>
                      <w:bCs/>
                      <w:color w:val="000000"/>
                      <w:szCs w:val="21"/>
                    </w:rPr>
                  </w:pPr>
                  <w:r>
                    <w:rPr>
                      <w:b/>
                      <w:bCs/>
                      <w:color w:val="000000"/>
                      <w:szCs w:val="21"/>
                    </w:rPr>
                    <w:t>规格</w:t>
                  </w:r>
                </w:p>
              </w:tc>
            </w:tr>
            <w:tr w14:paraId="620D52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397" w:hRule="atLeast"/>
                <w:jc w:val="center"/>
              </w:trPr>
              <w:tc>
                <w:tcPr>
                  <w:tcW w:w="1995" w:type="dxa"/>
                  <w:vAlign w:val="center"/>
                </w:tcPr>
                <w:p w14:paraId="2DAD1989">
                  <w:pPr>
                    <w:jc w:val="center"/>
                    <w:rPr>
                      <w:color w:val="000000"/>
                      <w:szCs w:val="21"/>
                    </w:rPr>
                  </w:pPr>
                  <w:r>
                    <w:rPr>
                      <w:color w:val="000000"/>
                      <w:szCs w:val="21"/>
                    </w:rPr>
                    <w:t>蒸汽</w:t>
                  </w:r>
                </w:p>
              </w:tc>
              <w:tc>
                <w:tcPr>
                  <w:tcW w:w="2063" w:type="dxa"/>
                  <w:vAlign w:val="center"/>
                </w:tcPr>
                <w:p w14:paraId="47752909">
                  <w:pPr>
                    <w:jc w:val="center"/>
                    <w:rPr>
                      <w:color w:val="000000"/>
                      <w:szCs w:val="21"/>
                    </w:rPr>
                  </w:pPr>
                  <w:r>
                    <w:rPr>
                      <w:color w:val="000000"/>
                      <w:szCs w:val="21"/>
                    </w:rPr>
                    <w:t>2400</w:t>
                  </w:r>
                </w:p>
              </w:tc>
              <w:tc>
                <w:tcPr>
                  <w:tcW w:w="2032" w:type="dxa"/>
                  <w:vAlign w:val="center"/>
                </w:tcPr>
                <w:p w14:paraId="4908F768">
                  <w:pPr>
                    <w:jc w:val="center"/>
                    <w:rPr>
                      <w:color w:val="000000"/>
                      <w:szCs w:val="21"/>
                    </w:rPr>
                  </w:pPr>
                  <w:r>
                    <w:rPr>
                      <w:color w:val="000000"/>
                      <w:szCs w:val="21"/>
                    </w:rPr>
                    <w:t>14400t</w:t>
                  </w:r>
                </w:p>
              </w:tc>
              <w:tc>
                <w:tcPr>
                  <w:tcW w:w="2452" w:type="dxa"/>
                  <w:vAlign w:val="center"/>
                </w:tcPr>
                <w:p w14:paraId="44B6FA20">
                  <w:pPr>
                    <w:jc w:val="center"/>
                    <w:rPr>
                      <w:color w:val="000000"/>
                      <w:szCs w:val="21"/>
                    </w:rPr>
                  </w:pPr>
                  <w:r>
                    <w:rPr>
                      <w:color w:val="000000"/>
                      <w:szCs w:val="21"/>
                    </w:rPr>
                    <w:t>6t/h</w:t>
                  </w:r>
                </w:p>
              </w:tc>
            </w:tr>
            <w:bookmarkEnd w:id="13"/>
            <w:tr w14:paraId="794761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9" w:type="dxa"/>
                  <w:vAlign w:val="center"/>
                </w:tcPr>
                <w:p w14:paraId="6E5D8749">
                  <w:pPr>
                    <w:jc w:val="center"/>
                    <w:rPr>
                      <w:b/>
                      <w:bCs/>
                      <w:color w:val="000000"/>
                      <w:szCs w:val="21"/>
                    </w:rPr>
                  </w:pPr>
                  <w:bookmarkStart w:id="14" w:name="_Hlk135043924"/>
                  <w:r>
                    <w:rPr>
                      <w:b/>
                      <w:bCs/>
                      <w:color w:val="000000"/>
                      <w:szCs w:val="21"/>
                    </w:rPr>
                    <w:t>类型</w:t>
                  </w:r>
                </w:p>
              </w:tc>
              <w:tc>
                <w:tcPr>
                  <w:tcW w:w="2066" w:type="dxa"/>
                  <w:vAlign w:val="center"/>
                </w:tcPr>
                <w:p w14:paraId="7FD20F2F">
                  <w:pPr>
                    <w:jc w:val="center"/>
                    <w:rPr>
                      <w:b/>
                      <w:bCs/>
                      <w:color w:val="000000"/>
                      <w:szCs w:val="21"/>
                    </w:rPr>
                  </w:pPr>
                  <w:r>
                    <w:rPr>
                      <w:b/>
                      <w:bCs/>
                      <w:color w:val="000000"/>
                      <w:szCs w:val="21"/>
                    </w:rPr>
                    <w:t>产品种类</w:t>
                  </w:r>
                </w:p>
              </w:tc>
              <w:tc>
                <w:tcPr>
                  <w:tcW w:w="2035" w:type="dxa"/>
                  <w:vAlign w:val="center"/>
                </w:tcPr>
                <w:p w14:paraId="485075EA">
                  <w:pPr>
                    <w:jc w:val="center"/>
                    <w:rPr>
                      <w:b/>
                      <w:bCs/>
                      <w:color w:val="000000"/>
                      <w:szCs w:val="21"/>
                    </w:rPr>
                  </w:pPr>
                  <w:r>
                    <w:rPr>
                      <w:b/>
                      <w:bCs/>
                      <w:color w:val="000000"/>
                      <w:szCs w:val="21"/>
                    </w:rPr>
                    <w:t>产量（t/a）</w:t>
                  </w:r>
                </w:p>
              </w:tc>
              <w:tc>
                <w:tcPr>
                  <w:tcW w:w="2457" w:type="dxa"/>
                  <w:gridSpan w:val="2"/>
                  <w:vAlign w:val="center"/>
                </w:tcPr>
                <w:p w14:paraId="0B62B3CB">
                  <w:pPr>
                    <w:jc w:val="center"/>
                    <w:rPr>
                      <w:b/>
                      <w:bCs/>
                      <w:color w:val="000000"/>
                      <w:szCs w:val="21"/>
                    </w:rPr>
                  </w:pPr>
                  <w:r>
                    <w:rPr>
                      <w:b/>
                      <w:bCs/>
                      <w:color w:val="000000"/>
                      <w:szCs w:val="21"/>
                    </w:rPr>
                    <w:t>产品规格</w:t>
                  </w:r>
                </w:p>
              </w:tc>
            </w:tr>
            <w:tr w14:paraId="688ADF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9" w:type="dxa"/>
                  <w:vMerge w:val="restart"/>
                  <w:vAlign w:val="center"/>
                </w:tcPr>
                <w:p w14:paraId="5ABC59FD">
                  <w:pPr>
                    <w:jc w:val="center"/>
                    <w:rPr>
                      <w:color w:val="000000"/>
                      <w:szCs w:val="21"/>
                    </w:rPr>
                  </w:pPr>
                  <w:r>
                    <w:rPr>
                      <w:color w:val="000000"/>
                      <w:szCs w:val="21"/>
                    </w:rPr>
                    <w:t>肉类卤制品</w:t>
                  </w:r>
                </w:p>
              </w:tc>
              <w:tc>
                <w:tcPr>
                  <w:tcW w:w="2066" w:type="dxa"/>
                  <w:vAlign w:val="center"/>
                </w:tcPr>
                <w:p w14:paraId="2AD44C12">
                  <w:pPr>
                    <w:jc w:val="center"/>
                    <w:rPr>
                      <w:color w:val="000000"/>
                      <w:szCs w:val="21"/>
                    </w:rPr>
                  </w:pPr>
                  <w:r>
                    <w:rPr>
                      <w:color w:val="000000"/>
                      <w:szCs w:val="21"/>
                    </w:rPr>
                    <w:t>爆胶猪蹄</w:t>
                  </w:r>
                </w:p>
              </w:tc>
              <w:tc>
                <w:tcPr>
                  <w:tcW w:w="2035" w:type="dxa"/>
                  <w:vMerge w:val="restart"/>
                  <w:vAlign w:val="center"/>
                </w:tcPr>
                <w:p w14:paraId="3BAF4858">
                  <w:pPr>
                    <w:jc w:val="center"/>
                    <w:rPr>
                      <w:color w:val="000000"/>
                      <w:szCs w:val="21"/>
                    </w:rPr>
                  </w:pPr>
                  <w:r>
                    <w:rPr>
                      <w:color w:val="000000"/>
                      <w:szCs w:val="21"/>
                    </w:rPr>
                    <w:t xml:space="preserve">12000 </w:t>
                  </w:r>
                </w:p>
              </w:tc>
              <w:tc>
                <w:tcPr>
                  <w:tcW w:w="2457" w:type="dxa"/>
                  <w:gridSpan w:val="2"/>
                  <w:vAlign w:val="center"/>
                </w:tcPr>
                <w:p w14:paraId="7AB00D16">
                  <w:pPr>
                    <w:jc w:val="center"/>
                    <w:rPr>
                      <w:color w:val="000000"/>
                      <w:szCs w:val="21"/>
                    </w:rPr>
                  </w:pPr>
                  <w:r>
                    <w:rPr>
                      <w:color w:val="000000"/>
                      <w:szCs w:val="21"/>
                    </w:rPr>
                    <w:t>150g/380g</w:t>
                  </w:r>
                </w:p>
              </w:tc>
            </w:tr>
            <w:tr w14:paraId="2CBB90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9" w:type="dxa"/>
                  <w:vMerge w:val="continue"/>
                  <w:vAlign w:val="center"/>
                </w:tcPr>
                <w:p w14:paraId="0CA13E24">
                  <w:pPr>
                    <w:jc w:val="center"/>
                    <w:rPr>
                      <w:color w:val="000000"/>
                      <w:szCs w:val="21"/>
                    </w:rPr>
                  </w:pPr>
                </w:p>
              </w:tc>
              <w:tc>
                <w:tcPr>
                  <w:tcW w:w="2066" w:type="dxa"/>
                  <w:vAlign w:val="center"/>
                </w:tcPr>
                <w:p w14:paraId="502616C2">
                  <w:pPr>
                    <w:jc w:val="center"/>
                    <w:rPr>
                      <w:color w:val="000000"/>
                      <w:szCs w:val="21"/>
                    </w:rPr>
                  </w:pPr>
                  <w:r>
                    <w:rPr>
                      <w:color w:val="000000"/>
                      <w:szCs w:val="21"/>
                    </w:rPr>
                    <w:t>胶汁猪蹄</w:t>
                  </w:r>
                </w:p>
              </w:tc>
              <w:tc>
                <w:tcPr>
                  <w:tcW w:w="2035" w:type="dxa"/>
                  <w:vMerge w:val="continue"/>
                  <w:vAlign w:val="center"/>
                </w:tcPr>
                <w:p w14:paraId="19AE0668">
                  <w:pPr>
                    <w:jc w:val="center"/>
                    <w:rPr>
                      <w:color w:val="000000"/>
                      <w:szCs w:val="21"/>
                    </w:rPr>
                  </w:pPr>
                </w:p>
              </w:tc>
              <w:tc>
                <w:tcPr>
                  <w:tcW w:w="2457" w:type="dxa"/>
                  <w:gridSpan w:val="2"/>
                  <w:vAlign w:val="center"/>
                </w:tcPr>
                <w:p w14:paraId="1F16535D">
                  <w:pPr>
                    <w:jc w:val="center"/>
                    <w:rPr>
                      <w:color w:val="000000"/>
                      <w:szCs w:val="21"/>
                    </w:rPr>
                  </w:pPr>
                  <w:r>
                    <w:rPr>
                      <w:color w:val="000000"/>
                      <w:szCs w:val="21"/>
                    </w:rPr>
                    <w:t>400g</w:t>
                  </w:r>
                </w:p>
              </w:tc>
            </w:tr>
            <w:tr w14:paraId="2C4649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9" w:type="dxa"/>
                  <w:vMerge w:val="continue"/>
                  <w:vAlign w:val="center"/>
                </w:tcPr>
                <w:p w14:paraId="71ECFE71">
                  <w:pPr>
                    <w:jc w:val="center"/>
                    <w:rPr>
                      <w:color w:val="000000"/>
                      <w:szCs w:val="21"/>
                    </w:rPr>
                  </w:pPr>
                </w:p>
              </w:tc>
              <w:tc>
                <w:tcPr>
                  <w:tcW w:w="2066" w:type="dxa"/>
                  <w:vAlign w:val="center"/>
                </w:tcPr>
                <w:p w14:paraId="711B7709">
                  <w:pPr>
                    <w:jc w:val="center"/>
                    <w:rPr>
                      <w:color w:val="000000"/>
                      <w:szCs w:val="21"/>
                    </w:rPr>
                  </w:pPr>
                  <w:r>
                    <w:rPr>
                      <w:color w:val="000000"/>
                      <w:szCs w:val="21"/>
                    </w:rPr>
                    <w:t>猪蹄火锅</w:t>
                  </w:r>
                </w:p>
              </w:tc>
              <w:tc>
                <w:tcPr>
                  <w:tcW w:w="2035" w:type="dxa"/>
                  <w:vMerge w:val="continue"/>
                  <w:vAlign w:val="center"/>
                </w:tcPr>
                <w:p w14:paraId="7806FBBE">
                  <w:pPr>
                    <w:jc w:val="center"/>
                    <w:rPr>
                      <w:color w:val="000000"/>
                      <w:szCs w:val="21"/>
                    </w:rPr>
                  </w:pPr>
                </w:p>
              </w:tc>
              <w:tc>
                <w:tcPr>
                  <w:tcW w:w="2457" w:type="dxa"/>
                  <w:gridSpan w:val="2"/>
                  <w:vAlign w:val="center"/>
                </w:tcPr>
                <w:p w14:paraId="59116098">
                  <w:pPr>
                    <w:jc w:val="center"/>
                    <w:rPr>
                      <w:color w:val="000000"/>
                      <w:szCs w:val="21"/>
                    </w:rPr>
                  </w:pPr>
                  <w:r>
                    <w:rPr>
                      <w:color w:val="000000"/>
                      <w:szCs w:val="21"/>
                    </w:rPr>
                    <w:t>1kg</w:t>
                  </w:r>
                </w:p>
              </w:tc>
            </w:tr>
            <w:tr w14:paraId="62CFA9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9" w:type="dxa"/>
                  <w:vMerge w:val="restart"/>
                  <w:vAlign w:val="center"/>
                </w:tcPr>
                <w:p w14:paraId="47168EF5">
                  <w:pPr>
                    <w:jc w:val="center"/>
                    <w:rPr>
                      <w:color w:val="000000"/>
                      <w:szCs w:val="21"/>
                    </w:rPr>
                  </w:pPr>
                  <w:r>
                    <w:rPr>
                      <w:color w:val="000000"/>
                      <w:szCs w:val="21"/>
                    </w:rPr>
                    <w:t>非即食性生制食品</w:t>
                  </w:r>
                </w:p>
              </w:tc>
              <w:tc>
                <w:tcPr>
                  <w:tcW w:w="2066" w:type="dxa"/>
                  <w:vAlign w:val="center"/>
                </w:tcPr>
                <w:p w14:paraId="6610E29C">
                  <w:pPr>
                    <w:jc w:val="center"/>
                    <w:rPr>
                      <w:color w:val="000000"/>
                      <w:szCs w:val="21"/>
                    </w:rPr>
                  </w:pPr>
                  <w:r>
                    <w:rPr>
                      <w:color w:val="000000"/>
                      <w:szCs w:val="21"/>
                    </w:rPr>
                    <w:t>生猪蹄块</w:t>
                  </w:r>
                </w:p>
              </w:tc>
              <w:tc>
                <w:tcPr>
                  <w:tcW w:w="2035" w:type="dxa"/>
                  <w:vAlign w:val="center"/>
                </w:tcPr>
                <w:p w14:paraId="6A672127">
                  <w:pPr>
                    <w:jc w:val="center"/>
                    <w:rPr>
                      <w:color w:val="000000"/>
                      <w:szCs w:val="21"/>
                    </w:rPr>
                  </w:pPr>
                  <w:r>
                    <w:rPr>
                      <w:color w:val="000000"/>
                      <w:szCs w:val="21"/>
                    </w:rPr>
                    <w:t>3000</w:t>
                  </w:r>
                </w:p>
              </w:tc>
              <w:tc>
                <w:tcPr>
                  <w:tcW w:w="2457" w:type="dxa"/>
                  <w:gridSpan w:val="2"/>
                  <w:vAlign w:val="center"/>
                </w:tcPr>
                <w:p w14:paraId="5C90D2CE">
                  <w:pPr>
                    <w:jc w:val="center"/>
                    <w:rPr>
                      <w:color w:val="000000"/>
                      <w:szCs w:val="21"/>
                    </w:rPr>
                  </w:pPr>
                  <w:r>
                    <w:rPr>
                      <w:color w:val="000000"/>
                      <w:szCs w:val="21"/>
                    </w:rPr>
                    <w:t>/</w:t>
                  </w:r>
                </w:p>
              </w:tc>
            </w:tr>
            <w:tr w14:paraId="3FCACA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9" w:type="dxa"/>
                  <w:vMerge w:val="continue"/>
                  <w:vAlign w:val="center"/>
                </w:tcPr>
                <w:p w14:paraId="04EFDBB3">
                  <w:pPr>
                    <w:jc w:val="center"/>
                    <w:rPr>
                      <w:color w:val="000000"/>
                      <w:szCs w:val="21"/>
                    </w:rPr>
                  </w:pPr>
                </w:p>
              </w:tc>
              <w:tc>
                <w:tcPr>
                  <w:tcW w:w="2066" w:type="dxa"/>
                  <w:vAlign w:val="center"/>
                </w:tcPr>
                <w:p w14:paraId="6DE34794">
                  <w:pPr>
                    <w:jc w:val="center"/>
                    <w:rPr>
                      <w:color w:val="000000"/>
                      <w:szCs w:val="21"/>
                    </w:rPr>
                  </w:pPr>
                  <w:r>
                    <w:rPr>
                      <w:color w:val="000000"/>
                      <w:szCs w:val="21"/>
                    </w:rPr>
                    <w:t>剁椒鱼头</w:t>
                  </w:r>
                </w:p>
              </w:tc>
              <w:tc>
                <w:tcPr>
                  <w:tcW w:w="2035" w:type="dxa"/>
                  <w:vAlign w:val="center"/>
                </w:tcPr>
                <w:p w14:paraId="301C9AFA">
                  <w:pPr>
                    <w:jc w:val="center"/>
                    <w:rPr>
                      <w:color w:val="000000"/>
                      <w:szCs w:val="21"/>
                    </w:rPr>
                  </w:pPr>
                  <w:r>
                    <w:rPr>
                      <w:color w:val="000000"/>
                      <w:szCs w:val="21"/>
                    </w:rPr>
                    <w:t>500</w:t>
                  </w:r>
                </w:p>
              </w:tc>
              <w:tc>
                <w:tcPr>
                  <w:tcW w:w="2457" w:type="dxa"/>
                  <w:gridSpan w:val="2"/>
                  <w:vAlign w:val="center"/>
                </w:tcPr>
                <w:p w14:paraId="3557D035">
                  <w:pPr>
                    <w:jc w:val="center"/>
                    <w:rPr>
                      <w:color w:val="000000"/>
                      <w:szCs w:val="21"/>
                    </w:rPr>
                  </w:pPr>
                  <w:r>
                    <w:rPr>
                      <w:color w:val="000000"/>
                      <w:szCs w:val="21"/>
                    </w:rPr>
                    <w:t>/</w:t>
                  </w:r>
                </w:p>
              </w:tc>
            </w:tr>
          </w:tbl>
          <w:p w14:paraId="48827F76">
            <w:pPr>
              <w:adjustRightInd w:val="0"/>
              <w:snapToGrid w:val="0"/>
              <w:spacing w:line="360" w:lineRule="auto"/>
              <w:rPr>
                <w:b/>
                <w:sz w:val="24"/>
                <w:szCs w:val="24"/>
              </w:rPr>
            </w:pPr>
            <w:r>
              <w:rPr>
                <w:b/>
                <w:bCs/>
                <w:sz w:val="24"/>
                <w:szCs w:val="24"/>
              </w:rPr>
              <w:t>4 主要原辅材料</w:t>
            </w:r>
          </w:p>
          <w:p w14:paraId="7C3935B3">
            <w:pPr>
              <w:adjustRightInd w:val="0"/>
              <w:snapToGrid w:val="0"/>
              <w:spacing w:line="360" w:lineRule="auto"/>
              <w:ind w:firstLine="480" w:firstLineChars="200"/>
              <w:rPr>
                <w:bCs/>
                <w:sz w:val="24"/>
                <w:szCs w:val="24"/>
              </w:rPr>
            </w:pPr>
            <w:r>
              <w:rPr>
                <w:bCs/>
                <w:sz w:val="24"/>
                <w:szCs w:val="24"/>
              </w:rPr>
              <w:t>本项目主要原辅材料使用、消耗情况见下表。</w:t>
            </w:r>
          </w:p>
          <w:bookmarkEnd w:id="14"/>
          <w:p w14:paraId="04D4CED6">
            <w:pPr>
              <w:spacing w:line="360" w:lineRule="auto"/>
              <w:jc w:val="center"/>
              <w:rPr>
                <w:b/>
                <w:bCs/>
                <w:kern w:val="0"/>
                <w:sz w:val="24"/>
                <w:szCs w:val="24"/>
              </w:rPr>
            </w:pPr>
            <w:bookmarkStart w:id="15" w:name="_Hlk135043915"/>
            <w:r>
              <w:rPr>
                <w:b/>
                <w:bCs/>
                <w:kern w:val="0"/>
                <w:sz w:val="24"/>
                <w:szCs w:val="24"/>
              </w:rPr>
              <w:t>表2-</w:t>
            </w:r>
            <w:r>
              <w:rPr>
                <w:rFonts w:hint="eastAsia"/>
                <w:b/>
                <w:bCs/>
                <w:kern w:val="0"/>
                <w:sz w:val="24"/>
                <w:szCs w:val="24"/>
              </w:rPr>
              <w:t>4</w:t>
            </w:r>
            <w:r>
              <w:rPr>
                <w:b/>
                <w:bCs/>
                <w:kern w:val="0"/>
                <w:sz w:val="24"/>
                <w:szCs w:val="24"/>
              </w:rPr>
              <w:t xml:space="preserve">  原辅材料及能源信息表</w:t>
            </w:r>
          </w:p>
          <w:tbl>
            <w:tblPr>
              <w:tblStyle w:val="24"/>
              <w:tblW w:w="8557" w:type="dxa"/>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1823"/>
              <w:gridCol w:w="893"/>
              <w:gridCol w:w="945"/>
              <w:gridCol w:w="1086"/>
              <w:gridCol w:w="1324"/>
              <w:gridCol w:w="1095"/>
              <w:gridCol w:w="1391"/>
            </w:tblGrid>
            <w:tr w14:paraId="5F4572F3">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23" w:type="dxa"/>
                  <w:shd w:val="clear" w:color="auto" w:fill="auto"/>
                  <w:vAlign w:val="center"/>
                </w:tcPr>
                <w:p w14:paraId="0DB5DAD2">
                  <w:pPr>
                    <w:widowControl/>
                    <w:jc w:val="center"/>
                    <w:rPr>
                      <w:b/>
                      <w:bCs/>
                      <w:color w:val="000000"/>
                      <w:kern w:val="0"/>
                      <w:szCs w:val="21"/>
                    </w:rPr>
                  </w:pPr>
                  <w:r>
                    <w:rPr>
                      <w:b/>
                      <w:bCs/>
                      <w:color w:val="000000"/>
                      <w:kern w:val="0"/>
                      <w:szCs w:val="21"/>
                    </w:rPr>
                    <w:t>名称</w:t>
                  </w:r>
                </w:p>
              </w:tc>
              <w:tc>
                <w:tcPr>
                  <w:tcW w:w="893" w:type="dxa"/>
                  <w:shd w:val="clear" w:color="auto" w:fill="auto"/>
                  <w:vAlign w:val="center"/>
                </w:tcPr>
                <w:p w14:paraId="34616621">
                  <w:pPr>
                    <w:widowControl/>
                    <w:jc w:val="center"/>
                    <w:rPr>
                      <w:b/>
                      <w:bCs/>
                      <w:color w:val="000000"/>
                      <w:kern w:val="0"/>
                      <w:szCs w:val="21"/>
                    </w:rPr>
                  </w:pPr>
                  <w:r>
                    <w:rPr>
                      <w:b/>
                      <w:bCs/>
                      <w:color w:val="000000"/>
                      <w:kern w:val="0"/>
                      <w:szCs w:val="21"/>
                    </w:rPr>
                    <w:t>年用量</w:t>
                  </w:r>
                </w:p>
              </w:tc>
              <w:tc>
                <w:tcPr>
                  <w:tcW w:w="945" w:type="dxa"/>
                  <w:shd w:val="clear" w:color="auto" w:fill="auto"/>
                  <w:vAlign w:val="center"/>
                </w:tcPr>
                <w:p w14:paraId="11433446">
                  <w:pPr>
                    <w:widowControl/>
                    <w:jc w:val="center"/>
                    <w:rPr>
                      <w:b/>
                      <w:bCs/>
                      <w:color w:val="000000"/>
                      <w:kern w:val="0"/>
                      <w:szCs w:val="21"/>
                    </w:rPr>
                  </w:pPr>
                  <w:r>
                    <w:rPr>
                      <w:b/>
                      <w:bCs/>
                      <w:color w:val="000000"/>
                      <w:kern w:val="0"/>
                      <w:szCs w:val="21"/>
                    </w:rPr>
                    <w:t>最大储存量</w:t>
                  </w:r>
                </w:p>
              </w:tc>
              <w:tc>
                <w:tcPr>
                  <w:tcW w:w="1086" w:type="dxa"/>
                  <w:shd w:val="clear" w:color="auto" w:fill="auto"/>
                  <w:vAlign w:val="center"/>
                </w:tcPr>
                <w:p w14:paraId="1F33745D">
                  <w:pPr>
                    <w:widowControl/>
                    <w:jc w:val="center"/>
                    <w:rPr>
                      <w:b/>
                      <w:bCs/>
                      <w:color w:val="000000"/>
                      <w:kern w:val="0"/>
                      <w:szCs w:val="21"/>
                    </w:rPr>
                  </w:pPr>
                  <w:r>
                    <w:rPr>
                      <w:b/>
                      <w:bCs/>
                      <w:color w:val="000000"/>
                      <w:kern w:val="0"/>
                      <w:szCs w:val="21"/>
                    </w:rPr>
                    <w:t>计量单位</w:t>
                  </w:r>
                </w:p>
              </w:tc>
              <w:tc>
                <w:tcPr>
                  <w:tcW w:w="1324" w:type="dxa"/>
                  <w:shd w:val="clear" w:color="auto" w:fill="auto"/>
                  <w:vAlign w:val="center"/>
                </w:tcPr>
                <w:p w14:paraId="09FC01AE">
                  <w:pPr>
                    <w:widowControl/>
                    <w:jc w:val="center"/>
                    <w:rPr>
                      <w:b/>
                      <w:bCs/>
                      <w:color w:val="000000"/>
                      <w:kern w:val="0"/>
                      <w:szCs w:val="21"/>
                    </w:rPr>
                  </w:pPr>
                  <w:r>
                    <w:rPr>
                      <w:b/>
                      <w:bCs/>
                      <w:color w:val="000000"/>
                      <w:kern w:val="0"/>
                      <w:szCs w:val="21"/>
                    </w:rPr>
                    <w:t>规格</w:t>
                  </w:r>
                </w:p>
              </w:tc>
              <w:tc>
                <w:tcPr>
                  <w:tcW w:w="1095" w:type="dxa"/>
                  <w:shd w:val="clear" w:color="auto" w:fill="auto"/>
                  <w:vAlign w:val="center"/>
                </w:tcPr>
                <w:p w14:paraId="2C2E3EB2">
                  <w:pPr>
                    <w:widowControl/>
                    <w:jc w:val="center"/>
                    <w:rPr>
                      <w:b/>
                      <w:bCs/>
                      <w:color w:val="000000"/>
                      <w:kern w:val="0"/>
                      <w:szCs w:val="21"/>
                    </w:rPr>
                  </w:pPr>
                  <w:r>
                    <w:rPr>
                      <w:b/>
                      <w:bCs/>
                      <w:color w:val="000000"/>
                      <w:kern w:val="0"/>
                      <w:szCs w:val="21"/>
                    </w:rPr>
                    <w:t>储存位置</w:t>
                  </w:r>
                </w:p>
              </w:tc>
              <w:tc>
                <w:tcPr>
                  <w:tcW w:w="1391" w:type="dxa"/>
                  <w:shd w:val="clear" w:color="auto" w:fill="auto"/>
                  <w:vAlign w:val="center"/>
                </w:tcPr>
                <w:p w14:paraId="536DB14E">
                  <w:pPr>
                    <w:widowControl/>
                    <w:jc w:val="center"/>
                    <w:rPr>
                      <w:b/>
                      <w:bCs/>
                      <w:color w:val="000000"/>
                      <w:kern w:val="0"/>
                      <w:szCs w:val="21"/>
                    </w:rPr>
                  </w:pPr>
                  <w:r>
                    <w:rPr>
                      <w:b/>
                      <w:bCs/>
                      <w:color w:val="000000"/>
                      <w:kern w:val="0"/>
                      <w:szCs w:val="21"/>
                    </w:rPr>
                    <w:t>来源</w:t>
                  </w:r>
                </w:p>
              </w:tc>
            </w:tr>
            <w:tr w14:paraId="325CF0A6">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23" w:type="dxa"/>
                  <w:shd w:val="clear" w:color="auto" w:fill="auto"/>
                  <w:vAlign w:val="center"/>
                </w:tcPr>
                <w:p w14:paraId="66DD75AB">
                  <w:pPr>
                    <w:widowControl/>
                    <w:jc w:val="center"/>
                    <w:rPr>
                      <w:color w:val="000000"/>
                      <w:kern w:val="0"/>
                      <w:szCs w:val="21"/>
                    </w:rPr>
                  </w:pPr>
                  <w:r>
                    <w:rPr>
                      <w:color w:val="000000"/>
                      <w:kern w:val="0"/>
                      <w:szCs w:val="21"/>
                    </w:rPr>
                    <w:t>猪蹄</w:t>
                  </w:r>
                </w:p>
              </w:tc>
              <w:tc>
                <w:tcPr>
                  <w:tcW w:w="893" w:type="dxa"/>
                  <w:shd w:val="clear" w:color="auto" w:fill="auto"/>
                  <w:vAlign w:val="center"/>
                </w:tcPr>
                <w:p w14:paraId="69CF4002">
                  <w:pPr>
                    <w:widowControl/>
                    <w:jc w:val="center"/>
                    <w:rPr>
                      <w:color w:val="000000"/>
                      <w:kern w:val="0"/>
                      <w:szCs w:val="21"/>
                    </w:rPr>
                  </w:pPr>
                  <w:r>
                    <w:rPr>
                      <w:color w:val="000000"/>
                      <w:kern w:val="0"/>
                      <w:szCs w:val="21"/>
                    </w:rPr>
                    <w:t>15000</w:t>
                  </w:r>
                </w:p>
              </w:tc>
              <w:tc>
                <w:tcPr>
                  <w:tcW w:w="945" w:type="dxa"/>
                  <w:shd w:val="clear" w:color="auto" w:fill="auto"/>
                  <w:vAlign w:val="center"/>
                </w:tcPr>
                <w:p w14:paraId="0B951C6B">
                  <w:pPr>
                    <w:widowControl/>
                    <w:jc w:val="center"/>
                    <w:rPr>
                      <w:color w:val="000000"/>
                      <w:kern w:val="0"/>
                      <w:szCs w:val="21"/>
                    </w:rPr>
                  </w:pPr>
                  <w:r>
                    <w:rPr>
                      <w:color w:val="000000"/>
                      <w:kern w:val="0"/>
                      <w:szCs w:val="21"/>
                    </w:rPr>
                    <w:t>250</w:t>
                  </w:r>
                </w:p>
              </w:tc>
              <w:tc>
                <w:tcPr>
                  <w:tcW w:w="1086" w:type="dxa"/>
                  <w:shd w:val="clear" w:color="auto" w:fill="auto"/>
                  <w:vAlign w:val="center"/>
                </w:tcPr>
                <w:p w14:paraId="3AD48155">
                  <w:pPr>
                    <w:widowControl/>
                    <w:jc w:val="center"/>
                    <w:rPr>
                      <w:color w:val="000000"/>
                      <w:kern w:val="0"/>
                      <w:szCs w:val="21"/>
                    </w:rPr>
                  </w:pPr>
                  <w:r>
                    <w:rPr>
                      <w:bCs/>
                      <w:color w:val="000000"/>
                      <w:kern w:val="0"/>
                      <w:szCs w:val="21"/>
                    </w:rPr>
                    <w:t>t/a</w:t>
                  </w:r>
                </w:p>
              </w:tc>
              <w:tc>
                <w:tcPr>
                  <w:tcW w:w="1324" w:type="dxa"/>
                  <w:shd w:val="clear" w:color="auto" w:fill="auto"/>
                  <w:vAlign w:val="center"/>
                </w:tcPr>
                <w:p w14:paraId="224A9684">
                  <w:pPr>
                    <w:widowControl/>
                    <w:jc w:val="center"/>
                    <w:rPr>
                      <w:color w:val="000000"/>
                      <w:kern w:val="0"/>
                      <w:szCs w:val="21"/>
                    </w:rPr>
                  </w:pPr>
                  <w:r>
                    <w:rPr>
                      <w:color w:val="000000"/>
                      <w:kern w:val="0"/>
                      <w:szCs w:val="21"/>
                    </w:rPr>
                    <w:t>/</w:t>
                  </w:r>
                </w:p>
              </w:tc>
              <w:tc>
                <w:tcPr>
                  <w:tcW w:w="1095" w:type="dxa"/>
                  <w:shd w:val="clear" w:color="auto" w:fill="auto"/>
                  <w:vAlign w:val="center"/>
                </w:tcPr>
                <w:p w14:paraId="2E02172A">
                  <w:pPr>
                    <w:widowControl/>
                    <w:jc w:val="center"/>
                    <w:rPr>
                      <w:color w:val="000000"/>
                      <w:kern w:val="0"/>
                      <w:szCs w:val="21"/>
                    </w:rPr>
                  </w:pPr>
                  <w:r>
                    <w:rPr>
                      <w:color w:val="000000"/>
                      <w:kern w:val="0"/>
                      <w:szCs w:val="21"/>
                    </w:rPr>
                    <w:t>冻库</w:t>
                  </w:r>
                </w:p>
              </w:tc>
              <w:tc>
                <w:tcPr>
                  <w:tcW w:w="1391" w:type="dxa"/>
                  <w:shd w:val="clear" w:color="auto" w:fill="auto"/>
                  <w:vAlign w:val="center"/>
                </w:tcPr>
                <w:p w14:paraId="3FA88C87">
                  <w:pPr>
                    <w:widowControl/>
                    <w:jc w:val="center"/>
                    <w:rPr>
                      <w:color w:val="000000"/>
                      <w:kern w:val="0"/>
                      <w:szCs w:val="21"/>
                    </w:rPr>
                  </w:pPr>
                </w:p>
              </w:tc>
            </w:tr>
            <w:tr w14:paraId="3DABEFC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23" w:type="dxa"/>
                  <w:shd w:val="clear" w:color="auto" w:fill="auto"/>
                  <w:vAlign w:val="center"/>
                </w:tcPr>
                <w:p w14:paraId="3371F439">
                  <w:pPr>
                    <w:widowControl/>
                    <w:jc w:val="center"/>
                    <w:rPr>
                      <w:color w:val="000000"/>
                      <w:kern w:val="0"/>
                      <w:szCs w:val="21"/>
                    </w:rPr>
                  </w:pPr>
                  <w:r>
                    <w:rPr>
                      <w:color w:val="000000"/>
                      <w:kern w:val="0"/>
                      <w:szCs w:val="21"/>
                    </w:rPr>
                    <w:t>筒子骨汤</w:t>
                  </w:r>
                </w:p>
              </w:tc>
              <w:tc>
                <w:tcPr>
                  <w:tcW w:w="893" w:type="dxa"/>
                  <w:shd w:val="clear" w:color="auto" w:fill="auto"/>
                  <w:vAlign w:val="center"/>
                </w:tcPr>
                <w:p w14:paraId="2793F6F8">
                  <w:pPr>
                    <w:widowControl/>
                    <w:jc w:val="center"/>
                    <w:rPr>
                      <w:color w:val="000000"/>
                      <w:kern w:val="0"/>
                      <w:szCs w:val="21"/>
                    </w:rPr>
                  </w:pPr>
                  <w:r>
                    <w:rPr>
                      <w:color w:val="000000"/>
                      <w:kern w:val="0"/>
                      <w:szCs w:val="21"/>
                    </w:rPr>
                    <w:t>182</w:t>
                  </w:r>
                </w:p>
              </w:tc>
              <w:tc>
                <w:tcPr>
                  <w:tcW w:w="945" w:type="dxa"/>
                  <w:shd w:val="clear" w:color="auto" w:fill="auto"/>
                  <w:vAlign w:val="center"/>
                </w:tcPr>
                <w:p w14:paraId="68940878">
                  <w:pPr>
                    <w:widowControl/>
                    <w:jc w:val="center"/>
                    <w:rPr>
                      <w:color w:val="000000"/>
                      <w:kern w:val="0"/>
                      <w:szCs w:val="21"/>
                    </w:rPr>
                  </w:pPr>
                  <w:r>
                    <w:rPr>
                      <w:color w:val="000000"/>
                      <w:kern w:val="0"/>
                      <w:szCs w:val="21"/>
                    </w:rPr>
                    <w:t>3</w:t>
                  </w:r>
                </w:p>
              </w:tc>
              <w:tc>
                <w:tcPr>
                  <w:tcW w:w="1086" w:type="dxa"/>
                  <w:shd w:val="clear" w:color="auto" w:fill="auto"/>
                  <w:vAlign w:val="center"/>
                </w:tcPr>
                <w:p w14:paraId="69940797">
                  <w:pPr>
                    <w:widowControl/>
                    <w:jc w:val="center"/>
                    <w:rPr>
                      <w:color w:val="000000"/>
                      <w:kern w:val="0"/>
                      <w:szCs w:val="21"/>
                    </w:rPr>
                  </w:pPr>
                  <w:r>
                    <w:rPr>
                      <w:bCs/>
                      <w:color w:val="000000"/>
                      <w:kern w:val="0"/>
                      <w:szCs w:val="21"/>
                    </w:rPr>
                    <w:t>t/a</w:t>
                  </w:r>
                </w:p>
              </w:tc>
              <w:tc>
                <w:tcPr>
                  <w:tcW w:w="1324" w:type="dxa"/>
                  <w:shd w:val="clear" w:color="auto" w:fill="auto"/>
                  <w:vAlign w:val="center"/>
                </w:tcPr>
                <w:p w14:paraId="13B9F0EA">
                  <w:pPr>
                    <w:widowControl/>
                    <w:jc w:val="center"/>
                    <w:rPr>
                      <w:color w:val="000000"/>
                      <w:kern w:val="0"/>
                      <w:szCs w:val="21"/>
                    </w:rPr>
                  </w:pPr>
                  <w:r>
                    <w:rPr>
                      <w:color w:val="000000"/>
                      <w:kern w:val="0"/>
                      <w:szCs w:val="21"/>
                    </w:rPr>
                    <w:t>2 kg *10瓶</w:t>
                  </w:r>
                </w:p>
              </w:tc>
              <w:tc>
                <w:tcPr>
                  <w:tcW w:w="1095" w:type="dxa"/>
                  <w:shd w:val="clear" w:color="auto" w:fill="auto"/>
                  <w:vAlign w:val="center"/>
                </w:tcPr>
                <w:p w14:paraId="00EBD704">
                  <w:pPr>
                    <w:widowControl/>
                    <w:jc w:val="center"/>
                    <w:rPr>
                      <w:color w:val="000000"/>
                      <w:kern w:val="0"/>
                      <w:szCs w:val="21"/>
                    </w:rPr>
                  </w:pPr>
                  <w:r>
                    <w:rPr>
                      <w:color w:val="000000"/>
                      <w:kern w:val="0"/>
                      <w:szCs w:val="21"/>
                    </w:rPr>
                    <w:t>冻库</w:t>
                  </w:r>
                </w:p>
              </w:tc>
              <w:tc>
                <w:tcPr>
                  <w:tcW w:w="1391" w:type="dxa"/>
                  <w:shd w:val="clear" w:color="auto" w:fill="auto"/>
                  <w:vAlign w:val="center"/>
                </w:tcPr>
                <w:p w14:paraId="19C9931C">
                  <w:pPr>
                    <w:widowControl/>
                    <w:jc w:val="center"/>
                    <w:rPr>
                      <w:color w:val="000000"/>
                      <w:kern w:val="0"/>
                      <w:szCs w:val="21"/>
                    </w:rPr>
                  </w:pPr>
                  <w:r>
                    <w:rPr>
                      <w:color w:val="000000"/>
                      <w:kern w:val="0"/>
                      <w:szCs w:val="21"/>
                    </w:rPr>
                    <w:t>380g规格，爆胶猪蹄</w:t>
                  </w:r>
                </w:p>
              </w:tc>
            </w:tr>
            <w:tr w14:paraId="3B6EB41C">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23" w:type="dxa"/>
                  <w:shd w:val="clear" w:color="auto" w:fill="auto"/>
                  <w:vAlign w:val="center"/>
                </w:tcPr>
                <w:p w14:paraId="0C50566E">
                  <w:pPr>
                    <w:widowControl/>
                    <w:jc w:val="center"/>
                    <w:rPr>
                      <w:color w:val="000000"/>
                      <w:kern w:val="0"/>
                      <w:szCs w:val="21"/>
                    </w:rPr>
                  </w:pPr>
                  <w:r>
                    <w:rPr>
                      <w:color w:val="000000"/>
                      <w:kern w:val="0"/>
                      <w:szCs w:val="21"/>
                    </w:rPr>
                    <w:t>料酒</w:t>
                  </w:r>
                </w:p>
              </w:tc>
              <w:tc>
                <w:tcPr>
                  <w:tcW w:w="893" w:type="dxa"/>
                  <w:shd w:val="clear" w:color="auto" w:fill="auto"/>
                  <w:vAlign w:val="center"/>
                </w:tcPr>
                <w:p w14:paraId="1DDD420E">
                  <w:pPr>
                    <w:widowControl/>
                    <w:jc w:val="center"/>
                    <w:rPr>
                      <w:color w:val="000000"/>
                      <w:kern w:val="0"/>
                      <w:szCs w:val="21"/>
                    </w:rPr>
                  </w:pPr>
                  <w:r>
                    <w:rPr>
                      <w:color w:val="000000"/>
                      <w:kern w:val="0"/>
                      <w:szCs w:val="21"/>
                    </w:rPr>
                    <w:t>52.8</w:t>
                  </w:r>
                </w:p>
              </w:tc>
              <w:tc>
                <w:tcPr>
                  <w:tcW w:w="945" w:type="dxa"/>
                  <w:shd w:val="clear" w:color="auto" w:fill="auto"/>
                  <w:vAlign w:val="center"/>
                </w:tcPr>
                <w:p w14:paraId="53F806FD">
                  <w:pPr>
                    <w:widowControl/>
                    <w:jc w:val="center"/>
                    <w:rPr>
                      <w:color w:val="000000"/>
                      <w:kern w:val="0"/>
                      <w:szCs w:val="21"/>
                    </w:rPr>
                  </w:pPr>
                  <w:r>
                    <w:rPr>
                      <w:color w:val="000000"/>
                      <w:kern w:val="0"/>
                      <w:szCs w:val="21"/>
                    </w:rPr>
                    <w:t>0.88</w:t>
                  </w:r>
                </w:p>
              </w:tc>
              <w:tc>
                <w:tcPr>
                  <w:tcW w:w="1086" w:type="dxa"/>
                  <w:shd w:val="clear" w:color="auto" w:fill="auto"/>
                  <w:vAlign w:val="center"/>
                </w:tcPr>
                <w:p w14:paraId="25568B74">
                  <w:pPr>
                    <w:jc w:val="center"/>
                  </w:pPr>
                  <w:r>
                    <w:rPr>
                      <w:bCs/>
                      <w:color w:val="000000"/>
                      <w:kern w:val="0"/>
                      <w:szCs w:val="21"/>
                    </w:rPr>
                    <w:t>t/a</w:t>
                  </w:r>
                </w:p>
              </w:tc>
              <w:tc>
                <w:tcPr>
                  <w:tcW w:w="1324" w:type="dxa"/>
                  <w:shd w:val="clear" w:color="auto" w:fill="auto"/>
                  <w:vAlign w:val="center"/>
                </w:tcPr>
                <w:p w14:paraId="1CE39CDC">
                  <w:pPr>
                    <w:widowControl/>
                    <w:jc w:val="center"/>
                    <w:rPr>
                      <w:color w:val="000000"/>
                      <w:kern w:val="0"/>
                      <w:szCs w:val="21"/>
                    </w:rPr>
                  </w:pPr>
                  <w:r>
                    <w:rPr>
                      <w:color w:val="000000"/>
                      <w:kern w:val="0"/>
                      <w:szCs w:val="21"/>
                    </w:rPr>
                    <w:t>20kg/桶</w:t>
                  </w:r>
                </w:p>
              </w:tc>
              <w:tc>
                <w:tcPr>
                  <w:tcW w:w="1095" w:type="dxa"/>
                  <w:shd w:val="clear" w:color="auto" w:fill="auto"/>
                  <w:vAlign w:val="center"/>
                </w:tcPr>
                <w:p w14:paraId="2D4AE0CD">
                  <w:pPr>
                    <w:widowControl/>
                    <w:jc w:val="center"/>
                    <w:rPr>
                      <w:color w:val="000000"/>
                      <w:kern w:val="0"/>
                      <w:szCs w:val="21"/>
                    </w:rPr>
                  </w:pPr>
                  <w:r>
                    <w:rPr>
                      <w:color w:val="000000"/>
                      <w:kern w:val="0"/>
                      <w:szCs w:val="21"/>
                    </w:rPr>
                    <w:t>仓库</w:t>
                  </w:r>
                </w:p>
              </w:tc>
              <w:tc>
                <w:tcPr>
                  <w:tcW w:w="1391" w:type="dxa"/>
                  <w:shd w:val="clear" w:color="auto" w:fill="auto"/>
                  <w:vAlign w:val="center"/>
                </w:tcPr>
                <w:p w14:paraId="5CF06388">
                  <w:pPr>
                    <w:widowControl/>
                    <w:jc w:val="center"/>
                    <w:rPr>
                      <w:color w:val="000000"/>
                      <w:kern w:val="0"/>
                      <w:szCs w:val="21"/>
                    </w:rPr>
                  </w:pPr>
                </w:p>
              </w:tc>
            </w:tr>
            <w:tr w14:paraId="7328C7C4">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23" w:type="dxa"/>
                  <w:shd w:val="clear" w:color="auto" w:fill="auto"/>
                  <w:vAlign w:val="center"/>
                </w:tcPr>
                <w:p w14:paraId="1F13300B">
                  <w:pPr>
                    <w:widowControl/>
                    <w:jc w:val="center"/>
                    <w:rPr>
                      <w:color w:val="000000"/>
                      <w:kern w:val="0"/>
                      <w:szCs w:val="21"/>
                    </w:rPr>
                  </w:pPr>
                  <w:r>
                    <w:rPr>
                      <w:color w:val="000000"/>
                      <w:kern w:val="0"/>
                      <w:szCs w:val="21"/>
                    </w:rPr>
                    <w:t>味特鲜</w:t>
                  </w:r>
                </w:p>
              </w:tc>
              <w:tc>
                <w:tcPr>
                  <w:tcW w:w="893" w:type="dxa"/>
                  <w:shd w:val="clear" w:color="auto" w:fill="auto"/>
                  <w:vAlign w:val="center"/>
                </w:tcPr>
                <w:p w14:paraId="47CE1F66">
                  <w:pPr>
                    <w:widowControl/>
                    <w:jc w:val="center"/>
                    <w:rPr>
                      <w:color w:val="000000"/>
                      <w:kern w:val="0"/>
                      <w:szCs w:val="21"/>
                    </w:rPr>
                  </w:pPr>
                  <w:r>
                    <w:rPr>
                      <w:color w:val="000000"/>
                      <w:kern w:val="0"/>
                      <w:szCs w:val="21"/>
                    </w:rPr>
                    <w:t>52.8</w:t>
                  </w:r>
                </w:p>
              </w:tc>
              <w:tc>
                <w:tcPr>
                  <w:tcW w:w="945" w:type="dxa"/>
                  <w:shd w:val="clear" w:color="auto" w:fill="auto"/>
                  <w:vAlign w:val="center"/>
                </w:tcPr>
                <w:p w14:paraId="2B5C7E33">
                  <w:pPr>
                    <w:widowControl/>
                    <w:jc w:val="center"/>
                    <w:rPr>
                      <w:color w:val="000000"/>
                      <w:kern w:val="0"/>
                      <w:szCs w:val="21"/>
                    </w:rPr>
                  </w:pPr>
                  <w:r>
                    <w:rPr>
                      <w:color w:val="000000"/>
                      <w:kern w:val="0"/>
                      <w:szCs w:val="21"/>
                    </w:rPr>
                    <w:t>0.88</w:t>
                  </w:r>
                </w:p>
              </w:tc>
              <w:tc>
                <w:tcPr>
                  <w:tcW w:w="1086" w:type="dxa"/>
                  <w:shd w:val="clear" w:color="auto" w:fill="auto"/>
                  <w:vAlign w:val="center"/>
                </w:tcPr>
                <w:p w14:paraId="2100C38A">
                  <w:pPr>
                    <w:jc w:val="center"/>
                  </w:pPr>
                  <w:r>
                    <w:rPr>
                      <w:bCs/>
                      <w:color w:val="000000"/>
                      <w:kern w:val="0"/>
                      <w:szCs w:val="21"/>
                    </w:rPr>
                    <w:t>t/a</w:t>
                  </w:r>
                </w:p>
              </w:tc>
              <w:tc>
                <w:tcPr>
                  <w:tcW w:w="1324" w:type="dxa"/>
                  <w:shd w:val="clear" w:color="auto" w:fill="auto"/>
                  <w:vAlign w:val="center"/>
                </w:tcPr>
                <w:p w14:paraId="14885114">
                  <w:pPr>
                    <w:widowControl/>
                    <w:jc w:val="center"/>
                    <w:rPr>
                      <w:color w:val="000000"/>
                      <w:kern w:val="0"/>
                      <w:szCs w:val="21"/>
                    </w:rPr>
                  </w:pPr>
                  <w:r>
                    <w:rPr>
                      <w:color w:val="000000"/>
                      <w:kern w:val="0"/>
                      <w:szCs w:val="21"/>
                    </w:rPr>
                    <w:t>4*5 kg</w:t>
                  </w:r>
                </w:p>
              </w:tc>
              <w:tc>
                <w:tcPr>
                  <w:tcW w:w="1095" w:type="dxa"/>
                  <w:shd w:val="clear" w:color="auto" w:fill="auto"/>
                  <w:vAlign w:val="center"/>
                </w:tcPr>
                <w:p w14:paraId="7AD2A3F9">
                  <w:pPr>
                    <w:widowControl/>
                    <w:jc w:val="center"/>
                    <w:rPr>
                      <w:color w:val="000000"/>
                      <w:kern w:val="0"/>
                      <w:szCs w:val="21"/>
                    </w:rPr>
                  </w:pPr>
                  <w:r>
                    <w:rPr>
                      <w:color w:val="000000"/>
                      <w:kern w:val="0"/>
                      <w:szCs w:val="21"/>
                    </w:rPr>
                    <w:t>仓库</w:t>
                  </w:r>
                </w:p>
              </w:tc>
              <w:tc>
                <w:tcPr>
                  <w:tcW w:w="1391" w:type="dxa"/>
                  <w:shd w:val="clear" w:color="auto" w:fill="auto"/>
                  <w:vAlign w:val="center"/>
                </w:tcPr>
                <w:p w14:paraId="75A29C63">
                  <w:pPr>
                    <w:widowControl/>
                    <w:jc w:val="center"/>
                    <w:rPr>
                      <w:color w:val="000000"/>
                      <w:kern w:val="0"/>
                      <w:szCs w:val="21"/>
                    </w:rPr>
                  </w:pPr>
                </w:p>
              </w:tc>
            </w:tr>
            <w:tr w14:paraId="1E9012AC">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23" w:type="dxa"/>
                  <w:shd w:val="clear" w:color="auto" w:fill="auto"/>
                  <w:vAlign w:val="center"/>
                </w:tcPr>
                <w:p w14:paraId="3AC309EF">
                  <w:pPr>
                    <w:widowControl/>
                    <w:jc w:val="center"/>
                    <w:rPr>
                      <w:color w:val="000000"/>
                      <w:kern w:val="0"/>
                      <w:szCs w:val="21"/>
                    </w:rPr>
                  </w:pPr>
                  <w:r>
                    <w:rPr>
                      <w:color w:val="000000"/>
                      <w:kern w:val="0"/>
                      <w:szCs w:val="21"/>
                    </w:rPr>
                    <w:t>60度二锅头白酒</w:t>
                  </w:r>
                </w:p>
              </w:tc>
              <w:tc>
                <w:tcPr>
                  <w:tcW w:w="893" w:type="dxa"/>
                  <w:shd w:val="clear" w:color="auto" w:fill="auto"/>
                  <w:vAlign w:val="center"/>
                </w:tcPr>
                <w:p w14:paraId="111450BE">
                  <w:pPr>
                    <w:widowControl/>
                    <w:jc w:val="center"/>
                    <w:rPr>
                      <w:color w:val="000000"/>
                      <w:kern w:val="0"/>
                      <w:szCs w:val="21"/>
                    </w:rPr>
                  </w:pPr>
                  <w:r>
                    <w:rPr>
                      <w:color w:val="000000"/>
                      <w:kern w:val="0"/>
                      <w:szCs w:val="21"/>
                    </w:rPr>
                    <w:t>52.8</w:t>
                  </w:r>
                </w:p>
              </w:tc>
              <w:tc>
                <w:tcPr>
                  <w:tcW w:w="945" w:type="dxa"/>
                  <w:shd w:val="clear" w:color="auto" w:fill="auto"/>
                  <w:vAlign w:val="center"/>
                </w:tcPr>
                <w:p w14:paraId="3E8F3B1F">
                  <w:pPr>
                    <w:widowControl/>
                    <w:jc w:val="center"/>
                    <w:rPr>
                      <w:color w:val="000000"/>
                      <w:kern w:val="0"/>
                      <w:szCs w:val="21"/>
                    </w:rPr>
                  </w:pPr>
                  <w:r>
                    <w:rPr>
                      <w:color w:val="000000"/>
                      <w:kern w:val="0"/>
                      <w:szCs w:val="21"/>
                    </w:rPr>
                    <w:t>0.88</w:t>
                  </w:r>
                </w:p>
              </w:tc>
              <w:tc>
                <w:tcPr>
                  <w:tcW w:w="1086" w:type="dxa"/>
                  <w:shd w:val="clear" w:color="auto" w:fill="auto"/>
                  <w:vAlign w:val="center"/>
                </w:tcPr>
                <w:p w14:paraId="63E8F56C">
                  <w:pPr>
                    <w:jc w:val="center"/>
                  </w:pPr>
                  <w:r>
                    <w:rPr>
                      <w:bCs/>
                      <w:color w:val="000000"/>
                      <w:kern w:val="0"/>
                      <w:szCs w:val="21"/>
                    </w:rPr>
                    <w:t>t/a</w:t>
                  </w:r>
                </w:p>
              </w:tc>
              <w:tc>
                <w:tcPr>
                  <w:tcW w:w="1324" w:type="dxa"/>
                  <w:shd w:val="clear" w:color="auto" w:fill="auto"/>
                  <w:vAlign w:val="center"/>
                </w:tcPr>
                <w:p w14:paraId="31CB3BEC">
                  <w:pPr>
                    <w:widowControl/>
                    <w:jc w:val="center"/>
                    <w:rPr>
                      <w:color w:val="000000"/>
                      <w:kern w:val="0"/>
                      <w:szCs w:val="21"/>
                    </w:rPr>
                  </w:pPr>
                  <w:r>
                    <w:rPr>
                      <w:color w:val="000000"/>
                      <w:kern w:val="0"/>
                      <w:szCs w:val="21"/>
                    </w:rPr>
                    <w:t>18kg/件</w:t>
                  </w:r>
                </w:p>
              </w:tc>
              <w:tc>
                <w:tcPr>
                  <w:tcW w:w="1095" w:type="dxa"/>
                  <w:shd w:val="clear" w:color="auto" w:fill="auto"/>
                  <w:vAlign w:val="center"/>
                </w:tcPr>
                <w:p w14:paraId="3633F21E">
                  <w:pPr>
                    <w:widowControl/>
                    <w:jc w:val="center"/>
                    <w:rPr>
                      <w:color w:val="000000"/>
                      <w:kern w:val="0"/>
                      <w:szCs w:val="21"/>
                    </w:rPr>
                  </w:pPr>
                  <w:r>
                    <w:rPr>
                      <w:color w:val="000000"/>
                      <w:kern w:val="0"/>
                      <w:szCs w:val="21"/>
                    </w:rPr>
                    <w:t>仓库</w:t>
                  </w:r>
                </w:p>
              </w:tc>
              <w:tc>
                <w:tcPr>
                  <w:tcW w:w="1391" w:type="dxa"/>
                  <w:shd w:val="clear" w:color="auto" w:fill="auto"/>
                  <w:vAlign w:val="center"/>
                </w:tcPr>
                <w:p w14:paraId="133CD819">
                  <w:pPr>
                    <w:widowControl/>
                    <w:jc w:val="center"/>
                    <w:rPr>
                      <w:color w:val="000000"/>
                      <w:kern w:val="0"/>
                      <w:szCs w:val="21"/>
                    </w:rPr>
                  </w:pPr>
                </w:p>
              </w:tc>
            </w:tr>
            <w:tr w14:paraId="7DA482AC">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23" w:type="dxa"/>
                  <w:shd w:val="clear" w:color="auto" w:fill="auto"/>
                  <w:vAlign w:val="center"/>
                </w:tcPr>
                <w:p w14:paraId="1F465F0D">
                  <w:pPr>
                    <w:widowControl/>
                    <w:jc w:val="center"/>
                    <w:rPr>
                      <w:color w:val="000000"/>
                      <w:kern w:val="0"/>
                      <w:szCs w:val="21"/>
                    </w:rPr>
                  </w:pPr>
                  <w:r>
                    <w:rPr>
                      <w:color w:val="000000"/>
                      <w:kern w:val="0"/>
                      <w:szCs w:val="21"/>
                    </w:rPr>
                    <w:t>鲜葱油</w:t>
                  </w:r>
                </w:p>
              </w:tc>
              <w:tc>
                <w:tcPr>
                  <w:tcW w:w="893" w:type="dxa"/>
                  <w:shd w:val="clear" w:color="auto" w:fill="auto"/>
                  <w:vAlign w:val="center"/>
                </w:tcPr>
                <w:p w14:paraId="0365E13D">
                  <w:pPr>
                    <w:widowControl/>
                    <w:jc w:val="center"/>
                    <w:rPr>
                      <w:color w:val="000000"/>
                      <w:kern w:val="0"/>
                      <w:szCs w:val="21"/>
                    </w:rPr>
                  </w:pPr>
                  <w:r>
                    <w:rPr>
                      <w:color w:val="000000"/>
                      <w:kern w:val="0"/>
                      <w:szCs w:val="21"/>
                    </w:rPr>
                    <w:t>16</w:t>
                  </w:r>
                </w:p>
              </w:tc>
              <w:tc>
                <w:tcPr>
                  <w:tcW w:w="945" w:type="dxa"/>
                  <w:shd w:val="clear" w:color="auto" w:fill="auto"/>
                  <w:vAlign w:val="center"/>
                </w:tcPr>
                <w:p w14:paraId="7779D38F">
                  <w:pPr>
                    <w:widowControl/>
                    <w:jc w:val="center"/>
                    <w:rPr>
                      <w:color w:val="000000"/>
                      <w:kern w:val="0"/>
                      <w:szCs w:val="21"/>
                    </w:rPr>
                  </w:pPr>
                  <w:r>
                    <w:rPr>
                      <w:color w:val="000000"/>
                      <w:kern w:val="0"/>
                      <w:szCs w:val="21"/>
                    </w:rPr>
                    <w:t>0.2</w:t>
                  </w:r>
                </w:p>
              </w:tc>
              <w:tc>
                <w:tcPr>
                  <w:tcW w:w="1086" w:type="dxa"/>
                  <w:shd w:val="clear" w:color="auto" w:fill="auto"/>
                  <w:vAlign w:val="center"/>
                </w:tcPr>
                <w:p w14:paraId="342E9495">
                  <w:pPr>
                    <w:jc w:val="center"/>
                  </w:pPr>
                  <w:r>
                    <w:rPr>
                      <w:bCs/>
                      <w:color w:val="000000"/>
                      <w:kern w:val="0"/>
                      <w:szCs w:val="21"/>
                    </w:rPr>
                    <w:t>t/a</w:t>
                  </w:r>
                </w:p>
              </w:tc>
              <w:tc>
                <w:tcPr>
                  <w:tcW w:w="1324" w:type="dxa"/>
                  <w:shd w:val="clear" w:color="auto" w:fill="auto"/>
                  <w:vAlign w:val="center"/>
                </w:tcPr>
                <w:p w14:paraId="56130BBC">
                  <w:pPr>
                    <w:widowControl/>
                    <w:jc w:val="center"/>
                    <w:rPr>
                      <w:color w:val="000000"/>
                      <w:kern w:val="0"/>
                      <w:szCs w:val="21"/>
                    </w:rPr>
                  </w:pPr>
                  <w:r>
                    <w:rPr>
                      <w:color w:val="000000"/>
                      <w:kern w:val="0"/>
                      <w:szCs w:val="21"/>
                    </w:rPr>
                    <w:t>20 kg /桶</w:t>
                  </w:r>
                </w:p>
              </w:tc>
              <w:tc>
                <w:tcPr>
                  <w:tcW w:w="1095" w:type="dxa"/>
                  <w:shd w:val="clear" w:color="auto" w:fill="auto"/>
                  <w:vAlign w:val="center"/>
                </w:tcPr>
                <w:p w14:paraId="6D7F87A3">
                  <w:pPr>
                    <w:widowControl/>
                    <w:jc w:val="center"/>
                    <w:rPr>
                      <w:color w:val="000000"/>
                      <w:kern w:val="0"/>
                      <w:szCs w:val="21"/>
                    </w:rPr>
                  </w:pPr>
                  <w:r>
                    <w:rPr>
                      <w:color w:val="000000"/>
                      <w:kern w:val="0"/>
                      <w:szCs w:val="21"/>
                    </w:rPr>
                    <w:t>仓库</w:t>
                  </w:r>
                </w:p>
              </w:tc>
              <w:tc>
                <w:tcPr>
                  <w:tcW w:w="1391" w:type="dxa"/>
                  <w:shd w:val="clear" w:color="auto" w:fill="auto"/>
                  <w:vAlign w:val="center"/>
                </w:tcPr>
                <w:p w14:paraId="03528AD3">
                  <w:pPr>
                    <w:widowControl/>
                    <w:jc w:val="center"/>
                    <w:rPr>
                      <w:color w:val="000000"/>
                      <w:kern w:val="0"/>
                      <w:szCs w:val="21"/>
                    </w:rPr>
                  </w:pPr>
                </w:p>
              </w:tc>
            </w:tr>
            <w:tr w14:paraId="7272AC4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23" w:type="dxa"/>
                  <w:shd w:val="clear" w:color="auto" w:fill="auto"/>
                  <w:vAlign w:val="center"/>
                </w:tcPr>
                <w:p w14:paraId="42783426">
                  <w:pPr>
                    <w:widowControl/>
                    <w:jc w:val="center"/>
                    <w:rPr>
                      <w:color w:val="000000"/>
                      <w:kern w:val="0"/>
                      <w:szCs w:val="21"/>
                    </w:rPr>
                  </w:pPr>
                  <w:r>
                    <w:rPr>
                      <w:color w:val="000000"/>
                      <w:kern w:val="0"/>
                      <w:szCs w:val="21"/>
                    </w:rPr>
                    <w:t>包装袋</w:t>
                  </w:r>
                </w:p>
              </w:tc>
              <w:tc>
                <w:tcPr>
                  <w:tcW w:w="893" w:type="dxa"/>
                  <w:shd w:val="clear" w:color="auto" w:fill="auto"/>
                  <w:vAlign w:val="center"/>
                </w:tcPr>
                <w:p w14:paraId="70252A9F">
                  <w:pPr>
                    <w:widowControl/>
                    <w:jc w:val="center"/>
                    <w:rPr>
                      <w:color w:val="000000"/>
                      <w:kern w:val="0"/>
                      <w:szCs w:val="21"/>
                    </w:rPr>
                  </w:pPr>
                  <w:r>
                    <w:rPr>
                      <w:color w:val="000000"/>
                      <w:kern w:val="0"/>
                      <w:szCs w:val="21"/>
                    </w:rPr>
                    <w:t>144</w:t>
                  </w:r>
                </w:p>
              </w:tc>
              <w:tc>
                <w:tcPr>
                  <w:tcW w:w="945" w:type="dxa"/>
                  <w:shd w:val="clear" w:color="auto" w:fill="auto"/>
                  <w:vAlign w:val="center"/>
                </w:tcPr>
                <w:p w14:paraId="29DB2BFA">
                  <w:pPr>
                    <w:widowControl/>
                    <w:jc w:val="center"/>
                    <w:rPr>
                      <w:color w:val="000000"/>
                      <w:kern w:val="0"/>
                      <w:szCs w:val="21"/>
                    </w:rPr>
                  </w:pPr>
                  <w:r>
                    <w:rPr>
                      <w:color w:val="000000"/>
                      <w:kern w:val="0"/>
                      <w:szCs w:val="21"/>
                    </w:rPr>
                    <w:t>2.4</w:t>
                  </w:r>
                </w:p>
              </w:tc>
              <w:tc>
                <w:tcPr>
                  <w:tcW w:w="1086" w:type="dxa"/>
                  <w:shd w:val="clear" w:color="auto" w:fill="auto"/>
                  <w:vAlign w:val="center"/>
                </w:tcPr>
                <w:p w14:paraId="3E5E9C09">
                  <w:pPr>
                    <w:jc w:val="center"/>
                  </w:pPr>
                  <w:r>
                    <w:rPr>
                      <w:bCs/>
                      <w:color w:val="000000"/>
                      <w:kern w:val="0"/>
                      <w:szCs w:val="21"/>
                    </w:rPr>
                    <w:t>t/a</w:t>
                  </w:r>
                </w:p>
              </w:tc>
              <w:tc>
                <w:tcPr>
                  <w:tcW w:w="1324" w:type="dxa"/>
                  <w:shd w:val="clear" w:color="auto" w:fill="auto"/>
                  <w:vAlign w:val="center"/>
                </w:tcPr>
                <w:p w14:paraId="3344066C">
                  <w:pPr>
                    <w:widowControl/>
                    <w:jc w:val="center"/>
                    <w:rPr>
                      <w:color w:val="000000"/>
                      <w:kern w:val="0"/>
                      <w:szCs w:val="21"/>
                    </w:rPr>
                  </w:pPr>
                </w:p>
              </w:tc>
              <w:tc>
                <w:tcPr>
                  <w:tcW w:w="1095" w:type="dxa"/>
                  <w:shd w:val="clear" w:color="auto" w:fill="auto"/>
                  <w:vAlign w:val="center"/>
                </w:tcPr>
                <w:p w14:paraId="01982C4F">
                  <w:pPr>
                    <w:widowControl/>
                    <w:jc w:val="center"/>
                    <w:rPr>
                      <w:color w:val="000000"/>
                      <w:kern w:val="0"/>
                      <w:szCs w:val="21"/>
                    </w:rPr>
                  </w:pPr>
                  <w:r>
                    <w:rPr>
                      <w:color w:val="000000"/>
                      <w:kern w:val="0"/>
                      <w:szCs w:val="21"/>
                    </w:rPr>
                    <w:t>仓库</w:t>
                  </w:r>
                </w:p>
              </w:tc>
              <w:tc>
                <w:tcPr>
                  <w:tcW w:w="1391" w:type="dxa"/>
                  <w:shd w:val="clear" w:color="auto" w:fill="auto"/>
                  <w:vAlign w:val="center"/>
                </w:tcPr>
                <w:p w14:paraId="487E5D5A">
                  <w:pPr>
                    <w:widowControl/>
                    <w:jc w:val="center"/>
                    <w:rPr>
                      <w:color w:val="000000"/>
                      <w:kern w:val="0"/>
                      <w:szCs w:val="21"/>
                    </w:rPr>
                  </w:pPr>
                </w:p>
              </w:tc>
            </w:tr>
            <w:tr w14:paraId="00C9961B">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PrEx>
              <w:trPr>
                <w:trHeight w:val="397" w:hRule="atLeast"/>
                <w:jc w:val="center"/>
              </w:trPr>
              <w:tc>
                <w:tcPr>
                  <w:tcW w:w="1823" w:type="dxa"/>
                  <w:shd w:val="clear" w:color="auto" w:fill="auto"/>
                  <w:vAlign w:val="center"/>
                </w:tcPr>
                <w:p w14:paraId="56CCF5FE">
                  <w:pPr>
                    <w:widowControl/>
                    <w:jc w:val="center"/>
                    <w:rPr>
                      <w:color w:val="000000"/>
                      <w:kern w:val="0"/>
                      <w:szCs w:val="21"/>
                    </w:rPr>
                  </w:pPr>
                  <w:r>
                    <w:rPr>
                      <w:color w:val="000000"/>
                      <w:kern w:val="0"/>
                      <w:szCs w:val="21"/>
                    </w:rPr>
                    <w:t>纸箱</w:t>
                  </w:r>
                </w:p>
              </w:tc>
              <w:tc>
                <w:tcPr>
                  <w:tcW w:w="893" w:type="dxa"/>
                  <w:shd w:val="clear" w:color="auto" w:fill="auto"/>
                  <w:vAlign w:val="center"/>
                </w:tcPr>
                <w:p w14:paraId="07AB6A6C">
                  <w:pPr>
                    <w:widowControl/>
                    <w:jc w:val="center"/>
                    <w:rPr>
                      <w:color w:val="000000"/>
                      <w:kern w:val="0"/>
                      <w:szCs w:val="21"/>
                    </w:rPr>
                  </w:pPr>
                  <w:r>
                    <w:rPr>
                      <w:color w:val="000000"/>
                      <w:kern w:val="0"/>
                      <w:szCs w:val="21"/>
                    </w:rPr>
                    <w:t>96</w:t>
                  </w:r>
                </w:p>
              </w:tc>
              <w:tc>
                <w:tcPr>
                  <w:tcW w:w="945" w:type="dxa"/>
                  <w:shd w:val="clear" w:color="auto" w:fill="auto"/>
                  <w:vAlign w:val="center"/>
                </w:tcPr>
                <w:p w14:paraId="62C1913F">
                  <w:pPr>
                    <w:widowControl/>
                    <w:jc w:val="center"/>
                    <w:rPr>
                      <w:color w:val="000000"/>
                      <w:kern w:val="0"/>
                      <w:szCs w:val="21"/>
                    </w:rPr>
                  </w:pPr>
                  <w:r>
                    <w:rPr>
                      <w:color w:val="000000"/>
                      <w:kern w:val="0"/>
                      <w:szCs w:val="21"/>
                    </w:rPr>
                    <w:t>1.6</w:t>
                  </w:r>
                </w:p>
              </w:tc>
              <w:tc>
                <w:tcPr>
                  <w:tcW w:w="1086" w:type="dxa"/>
                  <w:shd w:val="clear" w:color="auto" w:fill="auto"/>
                  <w:vAlign w:val="center"/>
                </w:tcPr>
                <w:p w14:paraId="4C5606A4">
                  <w:pPr>
                    <w:jc w:val="center"/>
                  </w:pPr>
                  <w:r>
                    <w:rPr>
                      <w:bCs/>
                      <w:color w:val="000000"/>
                      <w:kern w:val="0"/>
                      <w:szCs w:val="21"/>
                    </w:rPr>
                    <w:t>t/a</w:t>
                  </w:r>
                </w:p>
              </w:tc>
              <w:tc>
                <w:tcPr>
                  <w:tcW w:w="1324" w:type="dxa"/>
                  <w:shd w:val="clear" w:color="auto" w:fill="auto"/>
                  <w:vAlign w:val="center"/>
                </w:tcPr>
                <w:p w14:paraId="244D907D">
                  <w:pPr>
                    <w:widowControl/>
                    <w:jc w:val="center"/>
                    <w:rPr>
                      <w:color w:val="000000"/>
                      <w:kern w:val="0"/>
                      <w:szCs w:val="21"/>
                    </w:rPr>
                  </w:pPr>
                </w:p>
              </w:tc>
              <w:tc>
                <w:tcPr>
                  <w:tcW w:w="1095" w:type="dxa"/>
                  <w:shd w:val="clear" w:color="auto" w:fill="auto"/>
                  <w:vAlign w:val="center"/>
                </w:tcPr>
                <w:p w14:paraId="619A65C2">
                  <w:pPr>
                    <w:widowControl/>
                    <w:jc w:val="center"/>
                    <w:rPr>
                      <w:color w:val="000000"/>
                      <w:kern w:val="0"/>
                      <w:szCs w:val="21"/>
                    </w:rPr>
                  </w:pPr>
                  <w:r>
                    <w:rPr>
                      <w:color w:val="000000"/>
                      <w:kern w:val="0"/>
                      <w:szCs w:val="21"/>
                    </w:rPr>
                    <w:t>仓库</w:t>
                  </w:r>
                </w:p>
              </w:tc>
              <w:tc>
                <w:tcPr>
                  <w:tcW w:w="1391" w:type="dxa"/>
                  <w:shd w:val="clear" w:color="auto" w:fill="auto"/>
                  <w:vAlign w:val="center"/>
                </w:tcPr>
                <w:p w14:paraId="4AABBEDC">
                  <w:pPr>
                    <w:widowControl/>
                    <w:jc w:val="center"/>
                    <w:rPr>
                      <w:color w:val="000000"/>
                      <w:kern w:val="0"/>
                      <w:szCs w:val="21"/>
                    </w:rPr>
                  </w:pPr>
                </w:p>
              </w:tc>
            </w:tr>
            <w:tr w14:paraId="1EB22756">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PrEx>
              <w:trPr>
                <w:trHeight w:val="397" w:hRule="atLeast"/>
                <w:jc w:val="center"/>
              </w:trPr>
              <w:tc>
                <w:tcPr>
                  <w:tcW w:w="1823" w:type="dxa"/>
                  <w:shd w:val="clear" w:color="auto" w:fill="auto"/>
                  <w:vAlign w:val="center"/>
                </w:tcPr>
                <w:p w14:paraId="45033220">
                  <w:pPr>
                    <w:widowControl/>
                    <w:jc w:val="center"/>
                    <w:rPr>
                      <w:color w:val="000000"/>
                      <w:kern w:val="0"/>
                      <w:szCs w:val="21"/>
                    </w:rPr>
                  </w:pPr>
                  <w:r>
                    <w:rPr>
                      <w:color w:val="000000"/>
                      <w:kern w:val="0"/>
                      <w:szCs w:val="21"/>
                    </w:rPr>
                    <w:t>透明封箱胶带</w:t>
                  </w:r>
                </w:p>
              </w:tc>
              <w:tc>
                <w:tcPr>
                  <w:tcW w:w="893" w:type="dxa"/>
                  <w:shd w:val="clear" w:color="auto" w:fill="auto"/>
                  <w:vAlign w:val="center"/>
                </w:tcPr>
                <w:p w14:paraId="50254AD1">
                  <w:pPr>
                    <w:widowControl/>
                    <w:jc w:val="center"/>
                    <w:rPr>
                      <w:color w:val="000000"/>
                      <w:kern w:val="0"/>
                      <w:szCs w:val="21"/>
                    </w:rPr>
                  </w:pPr>
                  <w:r>
                    <w:rPr>
                      <w:color w:val="000000"/>
                      <w:kern w:val="0"/>
                      <w:szCs w:val="21"/>
                    </w:rPr>
                    <w:t>24</w:t>
                  </w:r>
                </w:p>
              </w:tc>
              <w:tc>
                <w:tcPr>
                  <w:tcW w:w="945" w:type="dxa"/>
                  <w:shd w:val="clear" w:color="auto" w:fill="auto"/>
                  <w:vAlign w:val="center"/>
                </w:tcPr>
                <w:p w14:paraId="55401583">
                  <w:pPr>
                    <w:widowControl/>
                    <w:jc w:val="center"/>
                    <w:rPr>
                      <w:color w:val="000000"/>
                      <w:kern w:val="0"/>
                      <w:szCs w:val="21"/>
                    </w:rPr>
                  </w:pPr>
                  <w:r>
                    <w:rPr>
                      <w:color w:val="000000"/>
                      <w:kern w:val="0"/>
                      <w:szCs w:val="21"/>
                    </w:rPr>
                    <w:t>0.4</w:t>
                  </w:r>
                </w:p>
              </w:tc>
              <w:tc>
                <w:tcPr>
                  <w:tcW w:w="1086" w:type="dxa"/>
                  <w:shd w:val="clear" w:color="auto" w:fill="auto"/>
                  <w:vAlign w:val="center"/>
                </w:tcPr>
                <w:p w14:paraId="4B46F64A">
                  <w:pPr>
                    <w:jc w:val="center"/>
                  </w:pPr>
                  <w:r>
                    <w:rPr>
                      <w:bCs/>
                      <w:color w:val="000000"/>
                      <w:kern w:val="0"/>
                      <w:szCs w:val="21"/>
                    </w:rPr>
                    <w:t>t/a</w:t>
                  </w:r>
                </w:p>
              </w:tc>
              <w:tc>
                <w:tcPr>
                  <w:tcW w:w="1324" w:type="dxa"/>
                  <w:shd w:val="clear" w:color="auto" w:fill="auto"/>
                  <w:vAlign w:val="center"/>
                </w:tcPr>
                <w:p w14:paraId="0C70265D">
                  <w:pPr>
                    <w:widowControl/>
                    <w:jc w:val="center"/>
                    <w:rPr>
                      <w:color w:val="000000"/>
                      <w:kern w:val="0"/>
                      <w:szCs w:val="21"/>
                    </w:rPr>
                  </w:pPr>
                </w:p>
              </w:tc>
              <w:tc>
                <w:tcPr>
                  <w:tcW w:w="1095" w:type="dxa"/>
                  <w:shd w:val="clear" w:color="auto" w:fill="auto"/>
                  <w:vAlign w:val="center"/>
                </w:tcPr>
                <w:p w14:paraId="1082E77C">
                  <w:pPr>
                    <w:widowControl/>
                    <w:jc w:val="center"/>
                    <w:rPr>
                      <w:color w:val="000000"/>
                      <w:kern w:val="0"/>
                      <w:szCs w:val="21"/>
                    </w:rPr>
                  </w:pPr>
                  <w:r>
                    <w:rPr>
                      <w:color w:val="000000"/>
                      <w:kern w:val="0"/>
                      <w:szCs w:val="21"/>
                    </w:rPr>
                    <w:t>仓库</w:t>
                  </w:r>
                </w:p>
              </w:tc>
              <w:tc>
                <w:tcPr>
                  <w:tcW w:w="1391" w:type="dxa"/>
                  <w:shd w:val="clear" w:color="auto" w:fill="auto"/>
                  <w:vAlign w:val="center"/>
                </w:tcPr>
                <w:p w14:paraId="157D878A">
                  <w:pPr>
                    <w:widowControl/>
                    <w:jc w:val="center"/>
                    <w:rPr>
                      <w:color w:val="000000"/>
                      <w:kern w:val="0"/>
                      <w:szCs w:val="21"/>
                    </w:rPr>
                  </w:pPr>
                </w:p>
              </w:tc>
            </w:tr>
            <w:tr w14:paraId="5249119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23" w:type="dxa"/>
                  <w:shd w:val="clear" w:color="auto" w:fill="auto"/>
                  <w:vAlign w:val="center"/>
                </w:tcPr>
                <w:p w14:paraId="40AFD346">
                  <w:pPr>
                    <w:widowControl/>
                    <w:jc w:val="center"/>
                    <w:rPr>
                      <w:color w:val="000000"/>
                      <w:kern w:val="0"/>
                      <w:szCs w:val="21"/>
                    </w:rPr>
                  </w:pPr>
                  <w:r>
                    <w:rPr>
                      <w:color w:val="000000"/>
                      <w:kern w:val="0"/>
                      <w:szCs w:val="21"/>
                    </w:rPr>
                    <w:t>通用袋</w:t>
                  </w:r>
                </w:p>
              </w:tc>
              <w:tc>
                <w:tcPr>
                  <w:tcW w:w="893" w:type="dxa"/>
                  <w:shd w:val="clear" w:color="auto" w:fill="auto"/>
                  <w:vAlign w:val="center"/>
                </w:tcPr>
                <w:p w14:paraId="1E93ECE0">
                  <w:pPr>
                    <w:widowControl/>
                    <w:jc w:val="center"/>
                    <w:rPr>
                      <w:color w:val="000000"/>
                      <w:kern w:val="0"/>
                      <w:szCs w:val="21"/>
                    </w:rPr>
                  </w:pPr>
                  <w:r>
                    <w:rPr>
                      <w:color w:val="000000"/>
                      <w:kern w:val="0"/>
                      <w:szCs w:val="21"/>
                    </w:rPr>
                    <w:t>72</w:t>
                  </w:r>
                </w:p>
              </w:tc>
              <w:tc>
                <w:tcPr>
                  <w:tcW w:w="945" w:type="dxa"/>
                  <w:shd w:val="clear" w:color="auto" w:fill="auto"/>
                  <w:vAlign w:val="center"/>
                </w:tcPr>
                <w:p w14:paraId="38FB8861">
                  <w:pPr>
                    <w:widowControl/>
                    <w:jc w:val="center"/>
                    <w:rPr>
                      <w:color w:val="000000"/>
                      <w:kern w:val="0"/>
                      <w:szCs w:val="21"/>
                    </w:rPr>
                  </w:pPr>
                  <w:r>
                    <w:rPr>
                      <w:color w:val="000000"/>
                      <w:kern w:val="0"/>
                      <w:szCs w:val="21"/>
                    </w:rPr>
                    <w:t>1.2</w:t>
                  </w:r>
                </w:p>
              </w:tc>
              <w:tc>
                <w:tcPr>
                  <w:tcW w:w="1086" w:type="dxa"/>
                  <w:shd w:val="clear" w:color="auto" w:fill="auto"/>
                  <w:vAlign w:val="center"/>
                </w:tcPr>
                <w:p w14:paraId="5DBE6AC1">
                  <w:pPr>
                    <w:jc w:val="center"/>
                  </w:pPr>
                  <w:r>
                    <w:rPr>
                      <w:bCs/>
                      <w:color w:val="000000"/>
                      <w:kern w:val="0"/>
                      <w:szCs w:val="21"/>
                    </w:rPr>
                    <w:t>t/a</w:t>
                  </w:r>
                </w:p>
              </w:tc>
              <w:tc>
                <w:tcPr>
                  <w:tcW w:w="1324" w:type="dxa"/>
                  <w:shd w:val="clear" w:color="auto" w:fill="auto"/>
                  <w:vAlign w:val="center"/>
                </w:tcPr>
                <w:p w14:paraId="25A0845C">
                  <w:pPr>
                    <w:widowControl/>
                    <w:jc w:val="center"/>
                    <w:rPr>
                      <w:color w:val="000000"/>
                      <w:kern w:val="0"/>
                      <w:szCs w:val="21"/>
                    </w:rPr>
                  </w:pPr>
                </w:p>
              </w:tc>
              <w:tc>
                <w:tcPr>
                  <w:tcW w:w="1095" w:type="dxa"/>
                  <w:shd w:val="clear" w:color="auto" w:fill="auto"/>
                  <w:vAlign w:val="center"/>
                </w:tcPr>
                <w:p w14:paraId="327A1690">
                  <w:pPr>
                    <w:widowControl/>
                    <w:jc w:val="center"/>
                    <w:rPr>
                      <w:color w:val="000000"/>
                      <w:kern w:val="0"/>
                      <w:szCs w:val="21"/>
                    </w:rPr>
                  </w:pPr>
                  <w:r>
                    <w:rPr>
                      <w:color w:val="000000"/>
                      <w:kern w:val="0"/>
                      <w:szCs w:val="21"/>
                    </w:rPr>
                    <w:t>仓库</w:t>
                  </w:r>
                </w:p>
              </w:tc>
              <w:tc>
                <w:tcPr>
                  <w:tcW w:w="1391" w:type="dxa"/>
                  <w:shd w:val="clear" w:color="auto" w:fill="auto"/>
                  <w:vAlign w:val="center"/>
                </w:tcPr>
                <w:p w14:paraId="58DAA3FA">
                  <w:pPr>
                    <w:widowControl/>
                    <w:jc w:val="center"/>
                    <w:rPr>
                      <w:color w:val="000000"/>
                      <w:kern w:val="0"/>
                      <w:szCs w:val="21"/>
                    </w:rPr>
                  </w:pPr>
                </w:p>
              </w:tc>
            </w:tr>
            <w:tr w14:paraId="7C94524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PrEx>
              <w:trPr>
                <w:trHeight w:val="397" w:hRule="atLeast"/>
                <w:jc w:val="center"/>
              </w:trPr>
              <w:tc>
                <w:tcPr>
                  <w:tcW w:w="1823" w:type="dxa"/>
                  <w:shd w:val="clear" w:color="auto" w:fill="auto"/>
                  <w:vAlign w:val="center"/>
                </w:tcPr>
                <w:p w14:paraId="3EA7262E">
                  <w:pPr>
                    <w:widowControl/>
                    <w:jc w:val="center"/>
                    <w:rPr>
                      <w:color w:val="000000"/>
                      <w:kern w:val="0"/>
                      <w:szCs w:val="21"/>
                    </w:rPr>
                  </w:pPr>
                  <w:r>
                    <w:rPr>
                      <w:color w:val="000000"/>
                      <w:kern w:val="0"/>
                      <w:szCs w:val="21"/>
                    </w:rPr>
                    <w:t>烟桂</w:t>
                  </w:r>
                </w:p>
              </w:tc>
              <w:tc>
                <w:tcPr>
                  <w:tcW w:w="893" w:type="dxa"/>
                  <w:shd w:val="clear" w:color="auto" w:fill="auto"/>
                  <w:vAlign w:val="center"/>
                </w:tcPr>
                <w:p w14:paraId="02251D44">
                  <w:pPr>
                    <w:widowControl/>
                    <w:jc w:val="center"/>
                    <w:rPr>
                      <w:color w:val="000000"/>
                      <w:kern w:val="0"/>
                      <w:szCs w:val="21"/>
                    </w:rPr>
                  </w:pPr>
                  <w:r>
                    <w:rPr>
                      <w:color w:val="000000"/>
                      <w:kern w:val="0"/>
                      <w:szCs w:val="21"/>
                    </w:rPr>
                    <w:t>3.9</w:t>
                  </w:r>
                </w:p>
              </w:tc>
              <w:tc>
                <w:tcPr>
                  <w:tcW w:w="945" w:type="dxa"/>
                  <w:shd w:val="clear" w:color="auto" w:fill="auto"/>
                  <w:vAlign w:val="center"/>
                </w:tcPr>
                <w:p w14:paraId="0701B8E4">
                  <w:pPr>
                    <w:widowControl/>
                    <w:jc w:val="center"/>
                    <w:rPr>
                      <w:color w:val="000000"/>
                      <w:kern w:val="0"/>
                      <w:szCs w:val="21"/>
                    </w:rPr>
                  </w:pPr>
                  <w:r>
                    <w:rPr>
                      <w:color w:val="000000"/>
                      <w:kern w:val="0"/>
                      <w:szCs w:val="21"/>
                    </w:rPr>
                    <w:t>0.065</w:t>
                  </w:r>
                </w:p>
              </w:tc>
              <w:tc>
                <w:tcPr>
                  <w:tcW w:w="1086" w:type="dxa"/>
                  <w:shd w:val="clear" w:color="auto" w:fill="auto"/>
                  <w:vAlign w:val="center"/>
                </w:tcPr>
                <w:p w14:paraId="3A782D05">
                  <w:pPr>
                    <w:jc w:val="center"/>
                  </w:pPr>
                  <w:r>
                    <w:rPr>
                      <w:bCs/>
                      <w:color w:val="000000"/>
                      <w:kern w:val="0"/>
                      <w:szCs w:val="21"/>
                    </w:rPr>
                    <w:t>t/a</w:t>
                  </w:r>
                </w:p>
              </w:tc>
              <w:tc>
                <w:tcPr>
                  <w:tcW w:w="1324" w:type="dxa"/>
                  <w:shd w:val="clear" w:color="auto" w:fill="auto"/>
                  <w:vAlign w:val="center"/>
                </w:tcPr>
                <w:p w14:paraId="7E04DC08">
                  <w:pPr>
                    <w:widowControl/>
                    <w:jc w:val="center"/>
                    <w:rPr>
                      <w:color w:val="000000"/>
                      <w:kern w:val="0"/>
                      <w:szCs w:val="21"/>
                    </w:rPr>
                  </w:pPr>
                  <w:r>
                    <w:rPr>
                      <w:color w:val="000000"/>
                      <w:kern w:val="0"/>
                      <w:szCs w:val="21"/>
                    </w:rPr>
                    <w:t>20kg/1袋</w:t>
                  </w:r>
                </w:p>
              </w:tc>
              <w:tc>
                <w:tcPr>
                  <w:tcW w:w="1095" w:type="dxa"/>
                  <w:shd w:val="clear" w:color="auto" w:fill="auto"/>
                  <w:vAlign w:val="center"/>
                </w:tcPr>
                <w:p w14:paraId="7A1639DB">
                  <w:pPr>
                    <w:widowControl/>
                    <w:jc w:val="center"/>
                    <w:rPr>
                      <w:color w:val="000000"/>
                      <w:kern w:val="0"/>
                      <w:szCs w:val="21"/>
                    </w:rPr>
                  </w:pPr>
                  <w:r>
                    <w:rPr>
                      <w:color w:val="000000"/>
                      <w:kern w:val="0"/>
                      <w:szCs w:val="21"/>
                    </w:rPr>
                    <w:t>仓库</w:t>
                  </w:r>
                </w:p>
              </w:tc>
              <w:tc>
                <w:tcPr>
                  <w:tcW w:w="1391" w:type="dxa"/>
                  <w:shd w:val="clear" w:color="auto" w:fill="auto"/>
                  <w:vAlign w:val="center"/>
                </w:tcPr>
                <w:p w14:paraId="2CF49462">
                  <w:pPr>
                    <w:widowControl/>
                    <w:jc w:val="center"/>
                    <w:rPr>
                      <w:color w:val="000000"/>
                      <w:kern w:val="0"/>
                      <w:szCs w:val="21"/>
                    </w:rPr>
                  </w:pPr>
                </w:p>
              </w:tc>
            </w:tr>
            <w:tr w14:paraId="565311B9">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23" w:type="dxa"/>
                  <w:shd w:val="clear" w:color="auto" w:fill="auto"/>
                  <w:vAlign w:val="center"/>
                </w:tcPr>
                <w:p w14:paraId="47A69BD7">
                  <w:pPr>
                    <w:widowControl/>
                    <w:jc w:val="center"/>
                    <w:rPr>
                      <w:color w:val="000000"/>
                      <w:kern w:val="0"/>
                      <w:szCs w:val="21"/>
                    </w:rPr>
                  </w:pPr>
                  <w:r>
                    <w:rPr>
                      <w:color w:val="000000"/>
                      <w:kern w:val="0"/>
                      <w:szCs w:val="21"/>
                    </w:rPr>
                    <w:t>桂枝</w:t>
                  </w:r>
                </w:p>
              </w:tc>
              <w:tc>
                <w:tcPr>
                  <w:tcW w:w="893" w:type="dxa"/>
                  <w:shd w:val="clear" w:color="auto" w:fill="auto"/>
                  <w:vAlign w:val="center"/>
                </w:tcPr>
                <w:p w14:paraId="04369A25">
                  <w:pPr>
                    <w:widowControl/>
                    <w:jc w:val="center"/>
                    <w:rPr>
                      <w:color w:val="000000"/>
                      <w:kern w:val="0"/>
                      <w:szCs w:val="21"/>
                    </w:rPr>
                  </w:pPr>
                  <w:r>
                    <w:rPr>
                      <w:color w:val="000000"/>
                      <w:kern w:val="0"/>
                      <w:szCs w:val="21"/>
                    </w:rPr>
                    <w:t>3.9</w:t>
                  </w:r>
                </w:p>
              </w:tc>
              <w:tc>
                <w:tcPr>
                  <w:tcW w:w="945" w:type="dxa"/>
                  <w:shd w:val="clear" w:color="auto" w:fill="auto"/>
                  <w:vAlign w:val="center"/>
                </w:tcPr>
                <w:p w14:paraId="400091CB">
                  <w:pPr>
                    <w:widowControl/>
                    <w:jc w:val="center"/>
                    <w:rPr>
                      <w:color w:val="000000"/>
                      <w:kern w:val="0"/>
                      <w:szCs w:val="21"/>
                    </w:rPr>
                  </w:pPr>
                  <w:r>
                    <w:rPr>
                      <w:color w:val="000000"/>
                      <w:kern w:val="0"/>
                      <w:szCs w:val="21"/>
                    </w:rPr>
                    <w:t>0.065</w:t>
                  </w:r>
                </w:p>
              </w:tc>
              <w:tc>
                <w:tcPr>
                  <w:tcW w:w="1086" w:type="dxa"/>
                  <w:shd w:val="clear" w:color="auto" w:fill="auto"/>
                  <w:vAlign w:val="center"/>
                </w:tcPr>
                <w:p w14:paraId="39312BF6">
                  <w:pPr>
                    <w:jc w:val="center"/>
                  </w:pPr>
                  <w:r>
                    <w:rPr>
                      <w:bCs/>
                      <w:color w:val="000000"/>
                      <w:kern w:val="0"/>
                      <w:szCs w:val="21"/>
                    </w:rPr>
                    <w:t>t/a</w:t>
                  </w:r>
                </w:p>
              </w:tc>
              <w:tc>
                <w:tcPr>
                  <w:tcW w:w="1324" w:type="dxa"/>
                  <w:shd w:val="clear" w:color="auto" w:fill="auto"/>
                  <w:vAlign w:val="center"/>
                </w:tcPr>
                <w:p w14:paraId="7A64BB17">
                  <w:pPr>
                    <w:widowControl/>
                    <w:jc w:val="center"/>
                    <w:rPr>
                      <w:color w:val="000000"/>
                      <w:kern w:val="0"/>
                      <w:szCs w:val="21"/>
                    </w:rPr>
                  </w:pPr>
                </w:p>
              </w:tc>
              <w:tc>
                <w:tcPr>
                  <w:tcW w:w="1095" w:type="dxa"/>
                  <w:shd w:val="clear" w:color="auto" w:fill="auto"/>
                  <w:vAlign w:val="center"/>
                </w:tcPr>
                <w:p w14:paraId="666E0ECC">
                  <w:pPr>
                    <w:widowControl/>
                    <w:jc w:val="center"/>
                    <w:rPr>
                      <w:color w:val="000000"/>
                      <w:kern w:val="0"/>
                      <w:szCs w:val="21"/>
                    </w:rPr>
                  </w:pPr>
                  <w:r>
                    <w:rPr>
                      <w:color w:val="000000"/>
                      <w:kern w:val="0"/>
                      <w:szCs w:val="21"/>
                    </w:rPr>
                    <w:t>仓库</w:t>
                  </w:r>
                </w:p>
              </w:tc>
              <w:tc>
                <w:tcPr>
                  <w:tcW w:w="1391" w:type="dxa"/>
                  <w:shd w:val="clear" w:color="auto" w:fill="auto"/>
                  <w:vAlign w:val="center"/>
                </w:tcPr>
                <w:p w14:paraId="10651CA3">
                  <w:pPr>
                    <w:widowControl/>
                    <w:jc w:val="center"/>
                    <w:rPr>
                      <w:color w:val="000000"/>
                      <w:kern w:val="0"/>
                      <w:szCs w:val="21"/>
                    </w:rPr>
                  </w:pPr>
                </w:p>
              </w:tc>
            </w:tr>
            <w:tr w14:paraId="006A9E9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23" w:type="dxa"/>
                  <w:shd w:val="clear" w:color="auto" w:fill="auto"/>
                  <w:vAlign w:val="center"/>
                </w:tcPr>
                <w:p w14:paraId="29F5D6D9">
                  <w:pPr>
                    <w:widowControl/>
                    <w:jc w:val="center"/>
                    <w:rPr>
                      <w:color w:val="000000"/>
                      <w:kern w:val="0"/>
                      <w:szCs w:val="21"/>
                    </w:rPr>
                  </w:pPr>
                  <w:r>
                    <w:rPr>
                      <w:color w:val="000000"/>
                      <w:kern w:val="0"/>
                      <w:szCs w:val="21"/>
                    </w:rPr>
                    <w:t>草果</w:t>
                  </w:r>
                </w:p>
              </w:tc>
              <w:tc>
                <w:tcPr>
                  <w:tcW w:w="893" w:type="dxa"/>
                  <w:shd w:val="clear" w:color="auto" w:fill="auto"/>
                  <w:vAlign w:val="center"/>
                </w:tcPr>
                <w:p w14:paraId="0D038D0E">
                  <w:pPr>
                    <w:widowControl/>
                    <w:jc w:val="center"/>
                    <w:rPr>
                      <w:color w:val="000000"/>
                      <w:kern w:val="0"/>
                      <w:szCs w:val="21"/>
                    </w:rPr>
                  </w:pPr>
                  <w:r>
                    <w:rPr>
                      <w:color w:val="000000"/>
                      <w:kern w:val="0"/>
                      <w:szCs w:val="21"/>
                    </w:rPr>
                    <w:t>3.9</w:t>
                  </w:r>
                </w:p>
              </w:tc>
              <w:tc>
                <w:tcPr>
                  <w:tcW w:w="945" w:type="dxa"/>
                  <w:shd w:val="clear" w:color="auto" w:fill="auto"/>
                  <w:vAlign w:val="center"/>
                </w:tcPr>
                <w:p w14:paraId="32E335BD">
                  <w:pPr>
                    <w:widowControl/>
                    <w:jc w:val="center"/>
                    <w:rPr>
                      <w:color w:val="000000"/>
                      <w:kern w:val="0"/>
                      <w:szCs w:val="21"/>
                    </w:rPr>
                  </w:pPr>
                  <w:r>
                    <w:rPr>
                      <w:color w:val="000000"/>
                      <w:kern w:val="0"/>
                      <w:szCs w:val="21"/>
                    </w:rPr>
                    <w:t>0.065</w:t>
                  </w:r>
                </w:p>
              </w:tc>
              <w:tc>
                <w:tcPr>
                  <w:tcW w:w="1086" w:type="dxa"/>
                  <w:shd w:val="clear" w:color="auto" w:fill="auto"/>
                  <w:vAlign w:val="center"/>
                </w:tcPr>
                <w:p w14:paraId="02534D29">
                  <w:pPr>
                    <w:jc w:val="center"/>
                  </w:pPr>
                  <w:r>
                    <w:rPr>
                      <w:bCs/>
                      <w:color w:val="000000"/>
                      <w:kern w:val="0"/>
                      <w:szCs w:val="21"/>
                    </w:rPr>
                    <w:t>t/a</w:t>
                  </w:r>
                </w:p>
              </w:tc>
              <w:tc>
                <w:tcPr>
                  <w:tcW w:w="1324" w:type="dxa"/>
                  <w:shd w:val="clear" w:color="auto" w:fill="auto"/>
                  <w:vAlign w:val="center"/>
                </w:tcPr>
                <w:p w14:paraId="0DD2329B">
                  <w:pPr>
                    <w:widowControl/>
                    <w:jc w:val="center"/>
                    <w:rPr>
                      <w:color w:val="000000"/>
                      <w:kern w:val="0"/>
                      <w:szCs w:val="21"/>
                    </w:rPr>
                  </w:pPr>
                </w:p>
              </w:tc>
              <w:tc>
                <w:tcPr>
                  <w:tcW w:w="1095" w:type="dxa"/>
                  <w:shd w:val="clear" w:color="auto" w:fill="auto"/>
                  <w:vAlign w:val="center"/>
                </w:tcPr>
                <w:p w14:paraId="59FE3306">
                  <w:pPr>
                    <w:widowControl/>
                    <w:jc w:val="center"/>
                    <w:rPr>
                      <w:color w:val="000000"/>
                      <w:kern w:val="0"/>
                      <w:szCs w:val="21"/>
                    </w:rPr>
                  </w:pPr>
                  <w:r>
                    <w:rPr>
                      <w:color w:val="000000"/>
                      <w:kern w:val="0"/>
                      <w:szCs w:val="21"/>
                    </w:rPr>
                    <w:t>仓库</w:t>
                  </w:r>
                </w:p>
              </w:tc>
              <w:tc>
                <w:tcPr>
                  <w:tcW w:w="1391" w:type="dxa"/>
                  <w:shd w:val="clear" w:color="auto" w:fill="auto"/>
                  <w:vAlign w:val="center"/>
                </w:tcPr>
                <w:p w14:paraId="6665DC5E">
                  <w:pPr>
                    <w:widowControl/>
                    <w:jc w:val="center"/>
                    <w:rPr>
                      <w:color w:val="000000"/>
                      <w:kern w:val="0"/>
                      <w:szCs w:val="21"/>
                    </w:rPr>
                  </w:pPr>
                </w:p>
              </w:tc>
            </w:tr>
            <w:tr w14:paraId="66A002C0">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23" w:type="dxa"/>
                  <w:shd w:val="clear" w:color="auto" w:fill="auto"/>
                  <w:vAlign w:val="center"/>
                </w:tcPr>
                <w:p w14:paraId="3C1DDE5B">
                  <w:pPr>
                    <w:widowControl/>
                    <w:jc w:val="center"/>
                    <w:rPr>
                      <w:color w:val="000000"/>
                      <w:kern w:val="0"/>
                      <w:szCs w:val="21"/>
                    </w:rPr>
                  </w:pPr>
                  <w:r>
                    <w:rPr>
                      <w:color w:val="000000"/>
                      <w:kern w:val="0"/>
                      <w:szCs w:val="21"/>
                    </w:rPr>
                    <w:t>白芷</w:t>
                  </w:r>
                </w:p>
              </w:tc>
              <w:tc>
                <w:tcPr>
                  <w:tcW w:w="893" w:type="dxa"/>
                  <w:shd w:val="clear" w:color="auto" w:fill="auto"/>
                  <w:vAlign w:val="center"/>
                </w:tcPr>
                <w:p w14:paraId="746C05F0">
                  <w:pPr>
                    <w:widowControl/>
                    <w:jc w:val="center"/>
                    <w:rPr>
                      <w:color w:val="000000"/>
                      <w:kern w:val="0"/>
                      <w:szCs w:val="21"/>
                    </w:rPr>
                  </w:pPr>
                  <w:r>
                    <w:rPr>
                      <w:color w:val="000000"/>
                      <w:kern w:val="0"/>
                      <w:szCs w:val="21"/>
                    </w:rPr>
                    <w:t>3.9</w:t>
                  </w:r>
                </w:p>
              </w:tc>
              <w:tc>
                <w:tcPr>
                  <w:tcW w:w="945" w:type="dxa"/>
                  <w:shd w:val="clear" w:color="auto" w:fill="auto"/>
                  <w:vAlign w:val="center"/>
                </w:tcPr>
                <w:p w14:paraId="3278A2CE">
                  <w:pPr>
                    <w:widowControl/>
                    <w:jc w:val="center"/>
                    <w:rPr>
                      <w:color w:val="000000"/>
                      <w:kern w:val="0"/>
                      <w:szCs w:val="21"/>
                    </w:rPr>
                  </w:pPr>
                  <w:r>
                    <w:rPr>
                      <w:color w:val="000000"/>
                      <w:kern w:val="0"/>
                      <w:szCs w:val="21"/>
                    </w:rPr>
                    <w:t>0.065</w:t>
                  </w:r>
                </w:p>
              </w:tc>
              <w:tc>
                <w:tcPr>
                  <w:tcW w:w="1086" w:type="dxa"/>
                  <w:shd w:val="clear" w:color="auto" w:fill="auto"/>
                  <w:vAlign w:val="center"/>
                </w:tcPr>
                <w:p w14:paraId="78963F1F">
                  <w:pPr>
                    <w:jc w:val="center"/>
                  </w:pPr>
                  <w:r>
                    <w:rPr>
                      <w:bCs/>
                      <w:color w:val="000000"/>
                      <w:kern w:val="0"/>
                      <w:szCs w:val="21"/>
                    </w:rPr>
                    <w:t>t/a</w:t>
                  </w:r>
                </w:p>
              </w:tc>
              <w:tc>
                <w:tcPr>
                  <w:tcW w:w="1324" w:type="dxa"/>
                  <w:shd w:val="clear" w:color="auto" w:fill="auto"/>
                  <w:vAlign w:val="center"/>
                </w:tcPr>
                <w:p w14:paraId="6EC87049">
                  <w:pPr>
                    <w:widowControl/>
                    <w:jc w:val="center"/>
                    <w:rPr>
                      <w:color w:val="000000"/>
                      <w:kern w:val="0"/>
                      <w:szCs w:val="21"/>
                    </w:rPr>
                  </w:pPr>
                </w:p>
              </w:tc>
              <w:tc>
                <w:tcPr>
                  <w:tcW w:w="1095" w:type="dxa"/>
                  <w:shd w:val="clear" w:color="auto" w:fill="auto"/>
                  <w:vAlign w:val="center"/>
                </w:tcPr>
                <w:p w14:paraId="28F409DF">
                  <w:pPr>
                    <w:widowControl/>
                    <w:jc w:val="center"/>
                    <w:rPr>
                      <w:color w:val="000000"/>
                      <w:kern w:val="0"/>
                      <w:szCs w:val="21"/>
                    </w:rPr>
                  </w:pPr>
                  <w:r>
                    <w:rPr>
                      <w:color w:val="000000"/>
                      <w:kern w:val="0"/>
                      <w:szCs w:val="21"/>
                    </w:rPr>
                    <w:t>仓库</w:t>
                  </w:r>
                </w:p>
              </w:tc>
              <w:tc>
                <w:tcPr>
                  <w:tcW w:w="1391" w:type="dxa"/>
                  <w:shd w:val="clear" w:color="auto" w:fill="auto"/>
                  <w:vAlign w:val="center"/>
                </w:tcPr>
                <w:p w14:paraId="7C657200">
                  <w:pPr>
                    <w:widowControl/>
                    <w:jc w:val="center"/>
                    <w:rPr>
                      <w:color w:val="000000"/>
                      <w:kern w:val="0"/>
                      <w:szCs w:val="21"/>
                    </w:rPr>
                  </w:pPr>
                </w:p>
              </w:tc>
            </w:tr>
            <w:tr w14:paraId="69226F7E">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23" w:type="dxa"/>
                  <w:shd w:val="clear" w:color="auto" w:fill="auto"/>
                  <w:vAlign w:val="center"/>
                </w:tcPr>
                <w:p w14:paraId="7486C7CE">
                  <w:pPr>
                    <w:widowControl/>
                    <w:jc w:val="center"/>
                    <w:rPr>
                      <w:color w:val="000000"/>
                      <w:kern w:val="0"/>
                      <w:szCs w:val="21"/>
                    </w:rPr>
                  </w:pPr>
                  <w:r>
                    <w:rPr>
                      <w:color w:val="000000"/>
                      <w:kern w:val="0"/>
                      <w:szCs w:val="21"/>
                    </w:rPr>
                    <w:t>公丁</w:t>
                  </w:r>
                </w:p>
              </w:tc>
              <w:tc>
                <w:tcPr>
                  <w:tcW w:w="893" w:type="dxa"/>
                  <w:shd w:val="clear" w:color="auto" w:fill="auto"/>
                  <w:vAlign w:val="center"/>
                </w:tcPr>
                <w:p w14:paraId="717936F9">
                  <w:pPr>
                    <w:widowControl/>
                    <w:jc w:val="center"/>
                    <w:rPr>
                      <w:color w:val="000000"/>
                      <w:kern w:val="0"/>
                      <w:szCs w:val="21"/>
                    </w:rPr>
                  </w:pPr>
                  <w:r>
                    <w:rPr>
                      <w:color w:val="000000"/>
                      <w:kern w:val="0"/>
                      <w:szCs w:val="21"/>
                    </w:rPr>
                    <w:t>3.9</w:t>
                  </w:r>
                </w:p>
              </w:tc>
              <w:tc>
                <w:tcPr>
                  <w:tcW w:w="945" w:type="dxa"/>
                  <w:shd w:val="clear" w:color="auto" w:fill="auto"/>
                  <w:vAlign w:val="center"/>
                </w:tcPr>
                <w:p w14:paraId="03811E36">
                  <w:pPr>
                    <w:widowControl/>
                    <w:jc w:val="center"/>
                    <w:rPr>
                      <w:color w:val="000000"/>
                      <w:kern w:val="0"/>
                      <w:szCs w:val="21"/>
                    </w:rPr>
                  </w:pPr>
                  <w:r>
                    <w:rPr>
                      <w:color w:val="000000"/>
                      <w:kern w:val="0"/>
                      <w:szCs w:val="21"/>
                    </w:rPr>
                    <w:t>0.065</w:t>
                  </w:r>
                </w:p>
              </w:tc>
              <w:tc>
                <w:tcPr>
                  <w:tcW w:w="1086" w:type="dxa"/>
                  <w:shd w:val="clear" w:color="auto" w:fill="auto"/>
                  <w:vAlign w:val="center"/>
                </w:tcPr>
                <w:p w14:paraId="09C3D31D">
                  <w:pPr>
                    <w:jc w:val="center"/>
                  </w:pPr>
                  <w:r>
                    <w:rPr>
                      <w:bCs/>
                      <w:color w:val="000000"/>
                      <w:kern w:val="0"/>
                      <w:szCs w:val="21"/>
                    </w:rPr>
                    <w:t>t/a</w:t>
                  </w:r>
                </w:p>
              </w:tc>
              <w:tc>
                <w:tcPr>
                  <w:tcW w:w="1324" w:type="dxa"/>
                  <w:shd w:val="clear" w:color="auto" w:fill="auto"/>
                  <w:vAlign w:val="center"/>
                </w:tcPr>
                <w:p w14:paraId="3B5C958E">
                  <w:pPr>
                    <w:widowControl/>
                    <w:jc w:val="center"/>
                    <w:rPr>
                      <w:color w:val="000000"/>
                      <w:kern w:val="0"/>
                      <w:szCs w:val="21"/>
                    </w:rPr>
                  </w:pPr>
                </w:p>
              </w:tc>
              <w:tc>
                <w:tcPr>
                  <w:tcW w:w="1095" w:type="dxa"/>
                  <w:shd w:val="clear" w:color="auto" w:fill="auto"/>
                  <w:vAlign w:val="center"/>
                </w:tcPr>
                <w:p w14:paraId="4568FA64">
                  <w:pPr>
                    <w:widowControl/>
                    <w:jc w:val="center"/>
                    <w:rPr>
                      <w:color w:val="000000"/>
                      <w:kern w:val="0"/>
                      <w:szCs w:val="21"/>
                    </w:rPr>
                  </w:pPr>
                  <w:r>
                    <w:rPr>
                      <w:color w:val="000000"/>
                      <w:kern w:val="0"/>
                      <w:szCs w:val="21"/>
                    </w:rPr>
                    <w:t>仓库</w:t>
                  </w:r>
                </w:p>
              </w:tc>
              <w:tc>
                <w:tcPr>
                  <w:tcW w:w="1391" w:type="dxa"/>
                  <w:shd w:val="clear" w:color="auto" w:fill="auto"/>
                  <w:vAlign w:val="center"/>
                </w:tcPr>
                <w:p w14:paraId="0E880864">
                  <w:pPr>
                    <w:widowControl/>
                    <w:jc w:val="center"/>
                    <w:rPr>
                      <w:color w:val="000000"/>
                      <w:kern w:val="0"/>
                      <w:szCs w:val="21"/>
                    </w:rPr>
                  </w:pPr>
                </w:p>
              </w:tc>
            </w:tr>
            <w:tr w14:paraId="061AF4AF">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23" w:type="dxa"/>
                  <w:shd w:val="clear" w:color="auto" w:fill="auto"/>
                  <w:vAlign w:val="center"/>
                </w:tcPr>
                <w:p w14:paraId="048A2616">
                  <w:pPr>
                    <w:widowControl/>
                    <w:jc w:val="center"/>
                    <w:rPr>
                      <w:color w:val="000000"/>
                      <w:kern w:val="0"/>
                      <w:szCs w:val="21"/>
                    </w:rPr>
                  </w:pPr>
                  <w:r>
                    <w:rPr>
                      <w:color w:val="000000"/>
                      <w:kern w:val="0"/>
                      <w:szCs w:val="21"/>
                    </w:rPr>
                    <w:t>良姜</w:t>
                  </w:r>
                </w:p>
              </w:tc>
              <w:tc>
                <w:tcPr>
                  <w:tcW w:w="893" w:type="dxa"/>
                  <w:shd w:val="clear" w:color="auto" w:fill="auto"/>
                  <w:vAlign w:val="center"/>
                </w:tcPr>
                <w:p w14:paraId="2834A8DF">
                  <w:pPr>
                    <w:widowControl/>
                    <w:jc w:val="center"/>
                    <w:rPr>
                      <w:color w:val="000000"/>
                      <w:kern w:val="0"/>
                      <w:szCs w:val="21"/>
                    </w:rPr>
                  </w:pPr>
                  <w:r>
                    <w:rPr>
                      <w:color w:val="000000"/>
                      <w:kern w:val="0"/>
                      <w:szCs w:val="21"/>
                    </w:rPr>
                    <w:t>3.9</w:t>
                  </w:r>
                </w:p>
              </w:tc>
              <w:tc>
                <w:tcPr>
                  <w:tcW w:w="945" w:type="dxa"/>
                  <w:shd w:val="clear" w:color="auto" w:fill="auto"/>
                  <w:vAlign w:val="center"/>
                </w:tcPr>
                <w:p w14:paraId="3CAADFAC">
                  <w:pPr>
                    <w:widowControl/>
                    <w:jc w:val="center"/>
                    <w:rPr>
                      <w:color w:val="000000"/>
                      <w:kern w:val="0"/>
                      <w:szCs w:val="21"/>
                    </w:rPr>
                  </w:pPr>
                  <w:r>
                    <w:rPr>
                      <w:color w:val="000000"/>
                      <w:kern w:val="0"/>
                      <w:szCs w:val="21"/>
                    </w:rPr>
                    <w:t>0.065</w:t>
                  </w:r>
                </w:p>
              </w:tc>
              <w:tc>
                <w:tcPr>
                  <w:tcW w:w="1086" w:type="dxa"/>
                  <w:shd w:val="clear" w:color="auto" w:fill="auto"/>
                  <w:vAlign w:val="center"/>
                </w:tcPr>
                <w:p w14:paraId="39EB8BA4">
                  <w:pPr>
                    <w:jc w:val="center"/>
                  </w:pPr>
                  <w:r>
                    <w:rPr>
                      <w:bCs/>
                      <w:color w:val="000000"/>
                      <w:kern w:val="0"/>
                      <w:szCs w:val="21"/>
                    </w:rPr>
                    <w:t>t/a</w:t>
                  </w:r>
                </w:p>
              </w:tc>
              <w:tc>
                <w:tcPr>
                  <w:tcW w:w="1324" w:type="dxa"/>
                  <w:shd w:val="clear" w:color="auto" w:fill="auto"/>
                  <w:vAlign w:val="center"/>
                </w:tcPr>
                <w:p w14:paraId="0CAB9C85">
                  <w:pPr>
                    <w:widowControl/>
                    <w:jc w:val="center"/>
                    <w:rPr>
                      <w:color w:val="000000"/>
                      <w:kern w:val="0"/>
                      <w:szCs w:val="21"/>
                    </w:rPr>
                  </w:pPr>
                </w:p>
              </w:tc>
              <w:tc>
                <w:tcPr>
                  <w:tcW w:w="1095" w:type="dxa"/>
                  <w:shd w:val="clear" w:color="auto" w:fill="auto"/>
                  <w:vAlign w:val="center"/>
                </w:tcPr>
                <w:p w14:paraId="317C9C7F">
                  <w:pPr>
                    <w:widowControl/>
                    <w:jc w:val="center"/>
                    <w:rPr>
                      <w:color w:val="000000"/>
                      <w:kern w:val="0"/>
                      <w:szCs w:val="21"/>
                    </w:rPr>
                  </w:pPr>
                  <w:r>
                    <w:rPr>
                      <w:color w:val="000000"/>
                      <w:kern w:val="0"/>
                      <w:szCs w:val="21"/>
                    </w:rPr>
                    <w:t>仓库</w:t>
                  </w:r>
                </w:p>
              </w:tc>
              <w:tc>
                <w:tcPr>
                  <w:tcW w:w="1391" w:type="dxa"/>
                  <w:shd w:val="clear" w:color="auto" w:fill="auto"/>
                  <w:vAlign w:val="center"/>
                </w:tcPr>
                <w:p w14:paraId="006C0320">
                  <w:pPr>
                    <w:widowControl/>
                    <w:jc w:val="center"/>
                    <w:rPr>
                      <w:color w:val="000000"/>
                      <w:kern w:val="0"/>
                      <w:szCs w:val="21"/>
                    </w:rPr>
                  </w:pPr>
                </w:p>
              </w:tc>
            </w:tr>
            <w:tr w14:paraId="23DE5E8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23" w:type="dxa"/>
                  <w:shd w:val="clear" w:color="auto" w:fill="auto"/>
                  <w:vAlign w:val="center"/>
                </w:tcPr>
                <w:p w14:paraId="3AFE4249">
                  <w:pPr>
                    <w:widowControl/>
                    <w:jc w:val="center"/>
                    <w:rPr>
                      <w:color w:val="000000"/>
                      <w:kern w:val="0"/>
                      <w:szCs w:val="21"/>
                    </w:rPr>
                  </w:pPr>
                  <w:r>
                    <w:rPr>
                      <w:color w:val="000000"/>
                      <w:kern w:val="0"/>
                      <w:szCs w:val="21"/>
                    </w:rPr>
                    <w:t>香叶</w:t>
                  </w:r>
                </w:p>
              </w:tc>
              <w:tc>
                <w:tcPr>
                  <w:tcW w:w="893" w:type="dxa"/>
                  <w:shd w:val="clear" w:color="auto" w:fill="auto"/>
                  <w:vAlign w:val="center"/>
                </w:tcPr>
                <w:p w14:paraId="24B74F72">
                  <w:pPr>
                    <w:widowControl/>
                    <w:jc w:val="center"/>
                    <w:rPr>
                      <w:color w:val="000000"/>
                      <w:kern w:val="0"/>
                      <w:szCs w:val="21"/>
                    </w:rPr>
                  </w:pPr>
                  <w:r>
                    <w:rPr>
                      <w:color w:val="000000"/>
                      <w:kern w:val="0"/>
                      <w:szCs w:val="21"/>
                    </w:rPr>
                    <w:t>3.9</w:t>
                  </w:r>
                </w:p>
              </w:tc>
              <w:tc>
                <w:tcPr>
                  <w:tcW w:w="945" w:type="dxa"/>
                  <w:shd w:val="clear" w:color="auto" w:fill="auto"/>
                  <w:vAlign w:val="center"/>
                </w:tcPr>
                <w:p w14:paraId="2FCAD688">
                  <w:pPr>
                    <w:widowControl/>
                    <w:jc w:val="center"/>
                    <w:rPr>
                      <w:color w:val="000000"/>
                      <w:kern w:val="0"/>
                      <w:szCs w:val="21"/>
                    </w:rPr>
                  </w:pPr>
                  <w:r>
                    <w:rPr>
                      <w:color w:val="000000"/>
                      <w:kern w:val="0"/>
                      <w:szCs w:val="21"/>
                    </w:rPr>
                    <w:t>0.065</w:t>
                  </w:r>
                </w:p>
              </w:tc>
              <w:tc>
                <w:tcPr>
                  <w:tcW w:w="1086" w:type="dxa"/>
                  <w:shd w:val="clear" w:color="auto" w:fill="auto"/>
                  <w:vAlign w:val="center"/>
                </w:tcPr>
                <w:p w14:paraId="6CBFB661">
                  <w:pPr>
                    <w:jc w:val="center"/>
                  </w:pPr>
                  <w:r>
                    <w:rPr>
                      <w:bCs/>
                      <w:color w:val="000000"/>
                      <w:kern w:val="0"/>
                      <w:szCs w:val="21"/>
                    </w:rPr>
                    <w:t>t/a</w:t>
                  </w:r>
                </w:p>
              </w:tc>
              <w:tc>
                <w:tcPr>
                  <w:tcW w:w="1324" w:type="dxa"/>
                  <w:shd w:val="clear" w:color="auto" w:fill="auto"/>
                  <w:vAlign w:val="center"/>
                </w:tcPr>
                <w:p w14:paraId="47C8F1A4">
                  <w:pPr>
                    <w:widowControl/>
                    <w:jc w:val="center"/>
                    <w:rPr>
                      <w:color w:val="000000"/>
                      <w:kern w:val="0"/>
                      <w:szCs w:val="21"/>
                    </w:rPr>
                  </w:pPr>
                </w:p>
              </w:tc>
              <w:tc>
                <w:tcPr>
                  <w:tcW w:w="1095" w:type="dxa"/>
                  <w:shd w:val="clear" w:color="auto" w:fill="auto"/>
                  <w:vAlign w:val="center"/>
                </w:tcPr>
                <w:p w14:paraId="69E8252F">
                  <w:pPr>
                    <w:widowControl/>
                    <w:jc w:val="center"/>
                    <w:rPr>
                      <w:color w:val="000000"/>
                      <w:kern w:val="0"/>
                      <w:szCs w:val="21"/>
                    </w:rPr>
                  </w:pPr>
                  <w:r>
                    <w:rPr>
                      <w:color w:val="000000"/>
                      <w:kern w:val="0"/>
                      <w:szCs w:val="21"/>
                    </w:rPr>
                    <w:t>仓库</w:t>
                  </w:r>
                </w:p>
              </w:tc>
              <w:tc>
                <w:tcPr>
                  <w:tcW w:w="1391" w:type="dxa"/>
                  <w:shd w:val="clear" w:color="auto" w:fill="auto"/>
                  <w:vAlign w:val="center"/>
                </w:tcPr>
                <w:p w14:paraId="789D6AC5">
                  <w:pPr>
                    <w:widowControl/>
                    <w:jc w:val="center"/>
                    <w:rPr>
                      <w:color w:val="000000"/>
                      <w:kern w:val="0"/>
                      <w:szCs w:val="21"/>
                    </w:rPr>
                  </w:pPr>
                </w:p>
              </w:tc>
            </w:tr>
            <w:tr w14:paraId="601EC749">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23" w:type="dxa"/>
                  <w:shd w:val="clear" w:color="auto" w:fill="auto"/>
                  <w:vAlign w:val="center"/>
                </w:tcPr>
                <w:p w14:paraId="7BC0C40F">
                  <w:pPr>
                    <w:widowControl/>
                    <w:jc w:val="center"/>
                    <w:rPr>
                      <w:color w:val="000000"/>
                      <w:kern w:val="0"/>
                      <w:szCs w:val="21"/>
                    </w:rPr>
                  </w:pPr>
                  <w:r>
                    <w:rPr>
                      <w:color w:val="000000"/>
                      <w:kern w:val="0"/>
                      <w:szCs w:val="21"/>
                    </w:rPr>
                    <w:t>红花椒</w:t>
                  </w:r>
                </w:p>
              </w:tc>
              <w:tc>
                <w:tcPr>
                  <w:tcW w:w="893" w:type="dxa"/>
                  <w:shd w:val="clear" w:color="auto" w:fill="auto"/>
                  <w:vAlign w:val="center"/>
                </w:tcPr>
                <w:p w14:paraId="21C1CF6D">
                  <w:pPr>
                    <w:widowControl/>
                    <w:jc w:val="center"/>
                    <w:rPr>
                      <w:color w:val="000000"/>
                      <w:kern w:val="0"/>
                      <w:szCs w:val="21"/>
                    </w:rPr>
                  </w:pPr>
                  <w:r>
                    <w:rPr>
                      <w:color w:val="000000"/>
                      <w:kern w:val="0"/>
                      <w:szCs w:val="21"/>
                    </w:rPr>
                    <w:t>3.9</w:t>
                  </w:r>
                </w:p>
              </w:tc>
              <w:tc>
                <w:tcPr>
                  <w:tcW w:w="945" w:type="dxa"/>
                  <w:shd w:val="clear" w:color="auto" w:fill="auto"/>
                  <w:vAlign w:val="center"/>
                </w:tcPr>
                <w:p w14:paraId="4082CC3D">
                  <w:pPr>
                    <w:widowControl/>
                    <w:jc w:val="center"/>
                    <w:rPr>
                      <w:color w:val="000000"/>
                      <w:kern w:val="0"/>
                      <w:szCs w:val="21"/>
                    </w:rPr>
                  </w:pPr>
                  <w:r>
                    <w:rPr>
                      <w:color w:val="000000"/>
                      <w:kern w:val="0"/>
                      <w:szCs w:val="21"/>
                    </w:rPr>
                    <w:t>0.065</w:t>
                  </w:r>
                </w:p>
              </w:tc>
              <w:tc>
                <w:tcPr>
                  <w:tcW w:w="1086" w:type="dxa"/>
                  <w:shd w:val="clear" w:color="auto" w:fill="auto"/>
                  <w:vAlign w:val="center"/>
                </w:tcPr>
                <w:p w14:paraId="57C254EA">
                  <w:pPr>
                    <w:jc w:val="center"/>
                  </w:pPr>
                  <w:r>
                    <w:rPr>
                      <w:bCs/>
                      <w:color w:val="000000"/>
                      <w:kern w:val="0"/>
                      <w:szCs w:val="21"/>
                    </w:rPr>
                    <w:t>t/a</w:t>
                  </w:r>
                </w:p>
              </w:tc>
              <w:tc>
                <w:tcPr>
                  <w:tcW w:w="1324" w:type="dxa"/>
                  <w:shd w:val="clear" w:color="auto" w:fill="auto"/>
                  <w:vAlign w:val="center"/>
                </w:tcPr>
                <w:p w14:paraId="5FE9B707">
                  <w:pPr>
                    <w:widowControl/>
                    <w:jc w:val="center"/>
                    <w:rPr>
                      <w:color w:val="000000"/>
                      <w:kern w:val="0"/>
                      <w:szCs w:val="21"/>
                    </w:rPr>
                  </w:pPr>
                </w:p>
              </w:tc>
              <w:tc>
                <w:tcPr>
                  <w:tcW w:w="1095" w:type="dxa"/>
                  <w:shd w:val="clear" w:color="auto" w:fill="auto"/>
                  <w:vAlign w:val="center"/>
                </w:tcPr>
                <w:p w14:paraId="192BB7E4">
                  <w:pPr>
                    <w:widowControl/>
                    <w:jc w:val="center"/>
                    <w:rPr>
                      <w:color w:val="000000"/>
                      <w:kern w:val="0"/>
                      <w:szCs w:val="21"/>
                    </w:rPr>
                  </w:pPr>
                  <w:r>
                    <w:rPr>
                      <w:color w:val="000000"/>
                      <w:kern w:val="0"/>
                      <w:szCs w:val="21"/>
                    </w:rPr>
                    <w:t>仓库</w:t>
                  </w:r>
                </w:p>
              </w:tc>
              <w:tc>
                <w:tcPr>
                  <w:tcW w:w="1391" w:type="dxa"/>
                  <w:shd w:val="clear" w:color="auto" w:fill="auto"/>
                  <w:vAlign w:val="center"/>
                </w:tcPr>
                <w:p w14:paraId="794F6553">
                  <w:pPr>
                    <w:widowControl/>
                    <w:jc w:val="center"/>
                    <w:rPr>
                      <w:color w:val="000000"/>
                      <w:kern w:val="0"/>
                      <w:szCs w:val="21"/>
                    </w:rPr>
                  </w:pPr>
                </w:p>
              </w:tc>
            </w:tr>
            <w:tr w14:paraId="1178A203">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23" w:type="dxa"/>
                  <w:shd w:val="clear" w:color="auto" w:fill="auto"/>
                  <w:vAlign w:val="center"/>
                </w:tcPr>
                <w:p w14:paraId="0886A3D0">
                  <w:pPr>
                    <w:widowControl/>
                    <w:jc w:val="center"/>
                    <w:rPr>
                      <w:color w:val="000000"/>
                      <w:kern w:val="0"/>
                      <w:szCs w:val="21"/>
                    </w:rPr>
                  </w:pPr>
                  <w:r>
                    <w:rPr>
                      <w:color w:val="000000"/>
                      <w:kern w:val="0"/>
                      <w:szCs w:val="21"/>
                    </w:rPr>
                    <w:t>八角</w:t>
                  </w:r>
                </w:p>
              </w:tc>
              <w:tc>
                <w:tcPr>
                  <w:tcW w:w="893" w:type="dxa"/>
                  <w:shd w:val="clear" w:color="auto" w:fill="auto"/>
                  <w:vAlign w:val="center"/>
                </w:tcPr>
                <w:p w14:paraId="1C363BB4">
                  <w:pPr>
                    <w:widowControl/>
                    <w:jc w:val="center"/>
                    <w:rPr>
                      <w:color w:val="000000"/>
                      <w:kern w:val="0"/>
                      <w:szCs w:val="21"/>
                    </w:rPr>
                  </w:pPr>
                  <w:r>
                    <w:rPr>
                      <w:color w:val="000000"/>
                      <w:kern w:val="0"/>
                      <w:szCs w:val="21"/>
                    </w:rPr>
                    <w:t>3.9</w:t>
                  </w:r>
                </w:p>
              </w:tc>
              <w:tc>
                <w:tcPr>
                  <w:tcW w:w="945" w:type="dxa"/>
                  <w:shd w:val="clear" w:color="auto" w:fill="auto"/>
                  <w:vAlign w:val="center"/>
                </w:tcPr>
                <w:p w14:paraId="34E63617">
                  <w:pPr>
                    <w:widowControl/>
                    <w:jc w:val="center"/>
                    <w:rPr>
                      <w:color w:val="000000"/>
                      <w:kern w:val="0"/>
                      <w:szCs w:val="21"/>
                    </w:rPr>
                  </w:pPr>
                  <w:r>
                    <w:rPr>
                      <w:color w:val="000000"/>
                      <w:kern w:val="0"/>
                      <w:szCs w:val="21"/>
                    </w:rPr>
                    <w:t>0.065</w:t>
                  </w:r>
                </w:p>
              </w:tc>
              <w:tc>
                <w:tcPr>
                  <w:tcW w:w="1086" w:type="dxa"/>
                  <w:shd w:val="clear" w:color="auto" w:fill="auto"/>
                  <w:vAlign w:val="center"/>
                </w:tcPr>
                <w:p w14:paraId="44326037">
                  <w:pPr>
                    <w:jc w:val="center"/>
                  </w:pPr>
                  <w:r>
                    <w:rPr>
                      <w:bCs/>
                      <w:color w:val="000000"/>
                      <w:kern w:val="0"/>
                      <w:szCs w:val="21"/>
                    </w:rPr>
                    <w:t>t/a</w:t>
                  </w:r>
                </w:p>
              </w:tc>
              <w:tc>
                <w:tcPr>
                  <w:tcW w:w="1324" w:type="dxa"/>
                  <w:shd w:val="clear" w:color="auto" w:fill="auto"/>
                  <w:vAlign w:val="center"/>
                </w:tcPr>
                <w:p w14:paraId="0630511D">
                  <w:pPr>
                    <w:widowControl/>
                    <w:jc w:val="center"/>
                    <w:rPr>
                      <w:color w:val="000000"/>
                      <w:kern w:val="0"/>
                      <w:szCs w:val="21"/>
                    </w:rPr>
                  </w:pPr>
                </w:p>
              </w:tc>
              <w:tc>
                <w:tcPr>
                  <w:tcW w:w="1095" w:type="dxa"/>
                  <w:shd w:val="clear" w:color="auto" w:fill="auto"/>
                  <w:vAlign w:val="center"/>
                </w:tcPr>
                <w:p w14:paraId="1BDBCA79">
                  <w:pPr>
                    <w:widowControl/>
                    <w:jc w:val="center"/>
                    <w:rPr>
                      <w:color w:val="000000"/>
                      <w:kern w:val="0"/>
                      <w:szCs w:val="21"/>
                    </w:rPr>
                  </w:pPr>
                  <w:r>
                    <w:rPr>
                      <w:color w:val="000000"/>
                      <w:kern w:val="0"/>
                      <w:szCs w:val="21"/>
                    </w:rPr>
                    <w:t>仓库</w:t>
                  </w:r>
                </w:p>
              </w:tc>
              <w:tc>
                <w:tcPr>
                  <w:tcW w:w="1391" w:type="dxa"/>
                  <w:shd w:val="clear" w:color="auto" w:fill="auto"/>
                  <w:vAlign w:val="center"/>
                </w:tcPr>
                <w:p w14:paraId="710AF74F">
                  <w:pPr>
                    <w:widowControl/>
                    <w:jc w:val="center"/>
                    <w:rPr>
                      <w:color w:val="000000"/>
                      <w:kern w:val="0"/>
                      <w:szCs w:val="21"/>
                    </w:rPr>
                  </w:pPr>
                </w:p>
              </w:tc>
            </w:tr>
            <w:tr w14:paraId="4CF1331B">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23" w:type="dxa"/>
                  <w:shd w:val="clear" w:color="auto" w:fill="auto"/>
                  <w:vAlign w:val="center"/>
                </w:tcPr>
                <w:p w14:paraId="5F40A84B">
                  <w:pPr>
                    <w:widowControl/>
                    <w:jc w:val="center"/>
                    <w:rPr>
                      <w:color w:val="000000"/>
                      <w:kern w:val="0"/>
                      <w:szCs w:val="21"/>
                    </w:rPr>
                  </w:pPr>
                  <w:r>
                    <w:rPr>
                      <w:color w:val="000000"/>
                      <w:kern w:val="0"/>
                      <w:szCs w:val="21"/>
                    </w:rPr>
                    <w:t>陈皮</w:t>
                  </w:r>
                </w:p>
              </w:tc>
              <w:tc>
                <w:tcPr>
                  <w:tcW w:w="893" w:type="dxa"/>
                  <w:shd w:val="clear" w:color="auto" w:fill="auto"/>
                  <w:vAlign w:val="center"/>
                </w:tcPr>
                <w:p w14:paraId="7A9D9534">
                  <w:pPr>
                    <w:widowControl/>
                    <w:jc w:val="center"/>
                    <w:rPr>
                      <w:color w:val="000000"/>
                      <w:kern w:val="0"/>
                      <w:szCs w:val="21"/>
                    </w:rPr>
                  </w:pPr>
                  <w:r>
                    <w:rPr>
                      <w:color w:val="000000"/>
                      <w:kern w:val="0"/>
                      <w:szCs w:val="21"/>
                    </w:rPr>
                    <w:t>3.9</w:t>
                  </w:r>
                </w:p>
              </w:tc>
              <w:tc>
                <w:tcPr>
                  <w:tcW w:w="945" w:type="dxa"/>
                  <w:shd w:val="clear" w:color="auto" w:fill="auto"/>
                  <w:vAlign w:val="center"/>
                </w:tcPr>
                <w:p w14:paraId="073E9A50">
                  <w:pPr>
                    <w:widowControl/>
                    <w:jc w:val="center"/>
                    <w:rPr>
                      <w:color w:val="000000"/>
                      <w:kern w:val="0"/>
                      <w:szCs w:val="21"/>
                    </w:rPr>
                  </w:pPr>
                  <w:r>
                    <w:rPr>
                      <w:color w:val="000000"/>
                      <w:kern w:val="0"/>
                      <w:szCs w:val="21"/>
                    </w:rPr>
                    <w:t>0.065</w:t>
                  </w:r>
                </w:p>
              </w:tc>
              <w:tc>
                <w:tcPr>
                  <w:tcW w:w="1086" w:type="dxa"/>
                  <w:shd w:val="clear" w:color="auto" w:fill="auto"/>
                  <w:vAlign w:val="center"/>
                </w:tcPr>
                <w:p w14:paraId="7C9BCA3C">
                  <w:pPr>
                    <w:jc w:val="center"/>
                  </w:pPr>
                  <w:r>
                    <w:rPr>
                      <w:bCs/>
                      <w:color w:val="000000"/>
                      <w:kern w:val="0"/>
                      <w:szCs w:val="21"/>
                    </w:rPr>
                    <w:t>t/a</w:t>
                  </w:r>
                </w:p>
              </w:tc>
              <w:tc>
                <w:tcPr>
                  <w:tcW w:w="1324" w:type="dxa"/>
                  <w:shd w:val="clear" w:color="auto" w:fill="auto"/>
                  <w:vAlign w:val="center"/>
                </w:tcPr>
                <w:p w14:paraId="37DFD703">
                  <w:pPr>
                    <w:widowControl/>
                    <w:jc w:val="center"/>
                    <w:rPr>
                      <w:color w:val="000000"/>
                      <w:kern w:val="0"/>
                      <w:szCs w:val="21"/>
                    </w:rPr>
                  </w:pPr>
                </w:p>
              </w:tc>
              <w:tc>
                <w:tcPr>
                  <w:tcW w:w="1095" w:type="dxa"/>
                  <w:shd w:val="clear" w:color="auto" w:fill="auto"/>
                  <w:vAlign w:val="center"/>
                </w:tcPr>
                <w:p w14:paraId="788F57AC">
                  <w:pPr>
                    <w:widowControl/>
                    <w:jc w:val="center"/>
                    <w:rPr>
                      <w:color w:val="000000"/>
                      <w:kern w:val="0"/>
                      <w:szCs w:val="21"/>
                    </w:rPr>
                  </w:pPr>
                  <w:r>
                    <w:rPr>
                      <w:color w:val="000000"/>
                      <w:kern w:val="0"/>
                      <w:szCs w:val="21"/>
                    </w:rPr>
                    <w:t>仓库</w:t>
                  </w:r>
                </w:p>
              </w:tc>
              <w:tc>
                <w:tcPr>
                  <w:tcW w:w="1391" w:type="dxa"/>
                  <w:shd w:val="clear" w:color="auto" w:fill="auto"/>
                  <w:vAlign w:val="center"/>
                </w:tcPr>
                <w:p w14:paraId="6B505048">
                  <w:pPr>
                    <w:widowControl/>
                    <w:jc w:val="center"/>
                    <w:rPr>
                      <w:color w:val="000000"/>
                      <w:kern w:val="0"/>
                      <w:szCs w:val="21"/>
                    </w:rPr>
                  </w:pPr>
                </w:p>
              </w:tc>
            </w:tr>
            <w:tr w14:paraId="1B2BAC3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23" w:type="dxa"/>
                  <w:shd w:val="clear" w:color="auto" w:fill="auto"/>
                  <w:vAlign w:val="center"/>
                </w:tcPr>
                <w:p w14:paraId="195B5347">
                  <w:pPr>
                    <w:widowControl/>
                    <w:jc w:val="center"/>
                    <w:rPr>
                      <w:color w:val="000000"/>
                      <w:kern w:val="0"/>
                      <w:szCs w:val="21"/>
                    </w:rPr>
                  </w:pPr>
                  <w:r>
                    <w:rPr>
                      <w:color w:val="000000"/>
                      <w:kern w:val="0"/>
                      <w:szCs w:val="21"/>
                    </w:rPr>
                    <w:t>香辣红油</w:t>
                  </w:r>
                </w:p>
              </w:tc>
              <w:tc>
                <w:tcPr>
                  <w:tcW w:w="893" w:type="dxa"/>
                  <w:shd w:val="clear" w:color="auto" w:fill="auto"/>
                  <w:vAlign w:val="center"/>
                </w:tcPr>
                <w:p w14:paraId="09CF2D6E">
                  <w:pPr>
                    <w:widowControl/>
                    <w:jc w:val="center"/>
                    <w:rPr>
                      <w:color w:val="000000"/>
                      <w:kern w:val="0"/>
                      <w:szCs w:val="21"/>
                    </w:rPr>
                  </w:pPr>
                  <w:r>
                    <w:rPr>
                      <w:color w:val="000000"/>
                      <w:kern w:val="0"/>
                      <w:szCs w:val="21"/>
                    </w:rPr>
                    <w:t>52.8</w:t>
                  </w:r>
                </w:p>
              </w:tc>
              <w:tc>
                <w:tcPr>
                  <w:tcW w:w="945" w:type="dxa"/>
                  <w:shd w:val="clear" w:color="auto" w:fill="auto"/>
                  <w:vAlign w:val="center"/>
                </w:tcPr>
                <w:p w14:paraId="7E3C9642">
                  <w:pPr>
                    <w:widowControl/>
                    <w:jc w:val="center"/>
                    <w:rPr>
                      <w:color w:val="000000"/>
                      <w:kern w:val="0"/>
                      <w:szCs w:val="21"/>
                    </w:rPr>
                  </w:pPr>
                  <w:r>
                    <w:rPr>
                      <w:color w:val="000000"/>
                      <w:kern w:val="0"/>
                      <w:szCs w:val="21"/>
                    </w:rPr>
                    <w:t>0.88</w:t>
                  </w:r>
                </w:p>
              </w:tc>
              <w:tc>
                <w:tcPr>
                  <w:tcW w:w="1086" w:type="dxa"/>
                  <w:shd w:val="clear" w:color="auto" w:fill="auto"/>
                  <w:vAlign w:val="center"/>
                </w:tcPr>
                <w:p w14:paraId="7C61CAF1">
                  <w:pPr>
                    <w:jc w:val="center"/>
                  </w:pPr>
                  <w:r>
                    <w:rPr>
                      <w:bCs/>
                      <w:color w:val="000000"/>
                      <w:kern w:val="0"/>
                      <w:szCs w:val="21"/>
                    </w:rPr>
                    <w:t>t/a</w:t>
                  </w:r>
                </w:p>
              </w:tc>
              <w:tc>
                <w:tcPr>
                  <w:tcW w:w="1324" w:type="dxa"/>
                  <w:shd w:val="clear" w:color="auto" w:fill="auto"/>
                  <w:vAlign w:val="center"/>
                </w:tcPr>
                <w:p w14:paraId="24EB8745">
                  <w:pPr>
                    <w:widowControl/>
                    <w:jc w:val="center"/>
                    <w:rPr>
                      <w:color w:val="000000"/>
                      <w:kern w:val="0"/>
                      <w:szCs w:val="21"/>
                    </w:rPr>
                  </w:pPr>
                </w:p>
              </w:tc>
              <w:tc>
                <w:tcPr>
                  <w:tcW w:w="1095" w:type="dxa"/>
                  <w:shd w:val="clear" w:color="auto" w:fill="auto"/>
                  <w:vAlign w:val="center"/>
                </w:tcPr>
                <w:p w14:paraId="4BE33DD7">
                  <w:pPr>
                    <w:widowControl/>
                    <w:jc w:val="center"/>
                    <w:rPr>
                      <w:color w:val="000000"/>
                      <w:kern w:val="0"/>
                      <w:szCs w:val="21"/>
                    </w:rPr>
                  </w:pPr>
                  <w:r>
                    <w:rPr>
                      <w:color w:val="000000"/>
                      <w:kern w:val="0"/>
                      <w:szCs w:val="21"/>
                    </w:rPr>
                    <w:t>仓库</w:t>
                  </w:r>
                </w:p>
              </w:tc>
              <w:tc>
                <w:tcPr>
                  <w:tcW w:w="1391" w:type="dxa"/>
                  <w:vMerge w:val="restart"/>
                  <w:shd w:val="clear" w:color="auto" w:fill="auto"/>
                  <w:vAlign w:val="center"/>
                </w:tcPr>
                <w:p w14:paraId="0179F92A">
                  <w:pPr>
                    <w:widowControl/>
                    <w:jc w:val="center"/>
                    <w:rPr>
                      <w:color w:val="000000"/>
                      <w:kern w:val="0"/>
                      <w:szCs w:val="21"/>
                    </w:rPr>
                  </w:pPr>
                  <w:r>
                    <w:rPr>
                      <w:color w:val="000000"/>
                      <w:kern w:val="0"/>
                      <w:szCs w:val="21"/>
                    </w:rPr>
                    <w:t>拌料</w:t>
                  </w:r>
                </w:p>
              </w:tc>
            </w:tr>
            <w:tr w14:paraId="3C077EDE">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23" w:type="dxa"/>
                  <w:shd w:val="clear" w:color="auto" w:fill="auto"/>
                  <w:vAlign w:val="center"/>
                </w:tcPr>
                <w:p w14:paraId="3C130162">
                  <w:pPr>
                    <w:widowControl/>
                    <w:jc w:val="center"/>
                    <w:rPr>
                      <w:color w:val="000000"/>
                      <w:kern w:val="0"/>
                      <w:szCs w:val="21"/>
                    </w:rPr>
                  </w:pPr>
                  <w:r>
                    <w:rPr>
                      <w:color w:val="000000"/>
                      <w:kern w:val="0"/>
                      <w:szCs w:val="21"/>
                    </w:rPr>
                    <w:t>大豆油</w:t>
                  </w:r>
                </w:p>
              </w:tc>
              <w:tc>
                <w:tcPr>
                  <w:tcW w:w="893" w:type="dxa"/>
                  <w:shd w:val="clear" w:color="auto" w:fill="auto"/>
                  <w:vAlign w:val="center"/>
                </w:tcPr>
                <w:p w14:paraId="4825767B">
                  <w:pPr>
                    <w:widowControl/>
                    <w:jc w:val="center"/>
                    <w:rPr>
                      <w:color w:val="000000"/>
                      <w:kern w:val="0"/>
                      <w:szCs w:val="21"/>
                    </w:rPr>
                  </w:pPr>
                  <w:r>
                    <w:rPr>
                      <w:color w:val="000000"/>
                      <w:kern w:val="0"/>
                      <w:szCs w:val="21"/>
                    </w:rPr>
                    <w:t>182</w:t>
                  </w:r>
                </w:p>
              </w:tc>
              <w:tc>
                <w:tcPr>
                  <w:tcW w:w="945" w:type="dxa"/>
                  <w:shd w:val="clear" w:color="auto" w:fill="auto"/>
                  <w:vAlign w:val="center"/>
                </w:tcPr>
                <w:p w14:paraId="072288E1">
                  <w:pPr>
                    <w:widowControl/>
                    <w:jc w:val="center"/>
                    <w:rPr>
                      <w:color w:val="000000"/>
                      <w:kern w:val="0"/>
                      <w:szCs w:val="21"/>
                    </w:rPr>
                  </w:pPr>
                  <w:r>
                    <w:rPr>
                      <w:color w:val="000000"/>
                      <w:kern w:val="0"/>
                      <w:szCs w:val="21"/>
                    </w:rPr>
                    <w:t>3</w:t>
                  </w:r>
                </w:p>
              </w:tc>
              <w:tc>
                <w:tcPr>
                  <w:tcW w:w="1086" w:type="dxa"/>
                  <w:shd w:val="clear" w:color="auto" w:fill="auto"/>
                  <w:vAlign w:val="center"/>
                </w:tcPr>
                <w:p w14:paraId="6896BEF9">
                  <w:pPr>
                    <w:jc w:val="center"/>
                  </w:pPr>
                  <w:r>
                    <w:rPr>
                      <w:bCs/>
                      <w:color w:val="000000"/>
                      <w:kern w:val="0"/>
                      <w:szCs w:val="21"/>
                    </w:rPr>
                    <w:t>t/a</w:t>
                  </w:r>
                </w:p>
              </w:tc>
              <w:tc>
                <w:tcPr>
                  <w:tcW w:w="1324" w:type="dxa"/>
                  <w:shd w:val="clear" w:color="auto" w:fill="auto"/>
                  <w:vAlign w:val="center"/>
                </w:tcPr>
                <w:p w14:paraId="0106EA36">
                  <w:pPr>
                    <w:widowControl/>
                    <w:jc w:val="center"/>
                    <w:rPr>
                      <w:color w:val="000000"/>
                      <w:kern w:val="0"/>
                      <w:szCs w:val="21"/>
                    </w:rPr>
                  </w:pPr>
                  <w:r>
                    <w:rPr>
                      <w:color w:val="000000"/>
                      <w:kern w:val="0"/>
                      <w:szCs w:val="21"/>
                    </w:rPr>
                    <w:t>18L/桶</w:t>
                  </w:r>
                </w:p>
              </w:tc>
              <w:tc>
                <w:tcPr>
                  <w:tcW w:w="1095" w:type="dxa"/>
                  <w:shd w:val="clear" w:color="auto" w:fill="auto"/>
                  <w:vAlign w:val="center"/>
                </w:tcPr>
                <w:p w14:paraId="5FB34A45">
                  <w:pPr>
                    <w:widowControl/>
                    <w:jc w:val="center"/>
                    <w:rPr>
                      <w:color w:val="000000"/>
                      <w:kern w:val="0"/>
                      <w:szCs w:val="21"/>
                    </w:rPr>
                  </w:pPr>
                  <w:r>
                    <w:rPr>
                      <w:color w:val="000000"/>
                      <w:kern w:val="0"/>
                      <w:szCs w:val="21"/>
                    </w:rPr>
                    <w:t>仓库</w:t>
                  </w:r>
                </w:p>
              </w:tc>
              <w:tc>
                <w:tcPr>
                  <w:tcW w:w="1391" w:type="dxa"/>
                  <w:vMerge w:val="continue"/>
                  <w:shd w:val="clear" w:color="auto" w:fill="auto"/>
                  <w:vAlign w:val="center"/>
                </w:tcPr>
                <w:p w14:paraId="0271198F">
                  <w:pPr>
                    <w:widowControl/>
                    <w:jc w:val="center"/>
                    <w:rPr>
                      <w:color w:val="000000"/>
                      <w:kern w:val="0"/>
                      <w:szCs w:val="21"/>
                    </w:rPr>
                  </w:pPr>
                </w:p>
              </w:tc>
            </w:tr>
            <w:tr w14:paraId="460752D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23" w:type="dxa"/>
                  <w:shd w:val="clear" w:color="auto" w:fill="auto"/>
                  <w:vAlign w:val="center"/>
                </w:tcPr>
                <w:p w14:paraId="26A68D11">
                  <w:pPr>
                    <w:widowControl/>
                    <w:jc w:val="center"/>
                    <w:rPr>
                      <w:kern w:val="0"/>
                      <w:szCs w:val="21"/>
                    </w:rPr>
                  </w:pPr>
                  <w:r>
                    <w:rPr>
                      <w:kern w:val="0"/>
                      <w:szCs w:val="21"/>
                    </w:rPr>
                    <w:t>黄豆</w:t>
                  </w:r>
                </w:p>
              </w:tc>
              <w:tc>
                <w:tcPr>
                  <w:tcW w:w="893" w:type="dxa"/>
                  <w:shd w:val="clear" w:color="auto" w:fill="auto"/>
                  <w:vAlign w:val="center"/>
                </w:tcPr>
                <w:p w14:paraId="2E4DCA3F">
                  <w:pPr>
                    <w:widowControl/>
                    <w:jc w:val="center"/>
                    <w:rPr>
                      <w:kern w:val="0"/>
                      <w:szCs w:val="21"/>
                    </w:rPr>
                  </w:pPr>
                  <w:r>
                    <w:rPr>
                      <w:kern w:val="0"/>
                      <w:szCs w:val="21"/>
                    </w:rPr>
                    <w:t>300</w:t>
                  </w:r>
                </w:p>
              </w:tc>
              <w:tc>
                <w:tcPr>
                  <w:tcW w:w="945" w:type="dxa"/>
                  <w:shd w:val="clear" w:color="auto" w:fill="auto"/>
                  <w:vAlign w:val="center"/>
                </w:tcPr>
                <w:p w14:paraId="0024C186">
                  <w:pPr>
                    <w:widowControl/>
                    <w:jc w:val="center"/>
                    <w:rPr>
                      <w:kern w:val="0"/>
                      <w:szCs w:val="21"/>
                    </w:rPr>
                  </w:pPr>
                  <w:r>
                    <w:rPr>
                      <w:kern w:val="0"/>
                      <w:szCs w:val="21"/>
                    </w:rPr>
                    <w:t>5</w:t>
                  </w:r>
                </w:p>
              </w:tc>
              <w:tc>
                <w:tcPr>
                  <w:tcW w:w="1086" w:type="dxa"/>
                  <w:shd w:val="clear" w:color="auto" w:fill="auto"/>
                  <w:vAlign w:val="center"/>
                </w:tcPr>
                <w:p w14:paraId="100EAA11">
                  <w:pPr>
                    <w:jc w:val="center"/>
                  </w:pPr>
                  <w:r>
                    <w:rPr>
                      <w:bCs/>
                      <w:kern w:val="0"/>
                      <w:szCs w:val="21"/>
                    </w:rPr>
                    <w:t>t/a</w:t>
                  </w:r>
                </w:p>
              </w:tc>
              <w:tc>
                <w:tcPr>
                  <w:tcW w:w="1324" w:type="dxa"/>
                  <w:shd w:val="clear" w:color="auto" w:fill="auto"/>
                  <w:vAlign w:val="center"/>
                </w:tcPr>
                <w:p w14:paraId="45FAD194">
                  <w:pPr>
                    <w:widowControl/>
                    <w:jc w:val="center"/>
                    <w:rPr>
                      <w:kern w:val="0"/>
                      <w:szCs w:val="21"/>
                    </w:rPr>
                  </w:pPr>
                </w:p>
              </w:tc>
              <w:tc>
                <w:tcPr>
                  <w:tcW w:w="1095" w:type="dxa"/>
                  <w:shd w:val="clear" w:color="auto" w:fill="auto"/>
                  <w:vAlign w:val="center"/>
                </w:tcPr>
                <w:p w14:paraId="4713732B">
                  <w:pPr>
                    <w:widowControl/>
                    <w:jc w:val="center"/>
                    <w:rPr>
                      <w:kern w:val="0"/>
                      <w:szCs w:val="21"/>
                    </w:rPr>
                  </w:pPr>
                  <w:r>
                    <w:rPr>
                      <w:kern w:val="0"/>
                      <w:szCs w:val="21"/>
                    </w:rPr>
                    <w:t>仓库</w:t>
                  </w:r>
                </w:p>
              </w:tc>
              <w:tc>
                <w:tcPr>
                  <w:tcW w:w="1391" w:type="dxa"/>
                  <w:shd w:val="clear" w:color="auto" w:fill="auto"/>
                  <w:vAlign w:val="center"/>
                </w:tcPr>
                <w:p w14:paraId="6D9EF2F0">
                  <w:pPr>
                    <w:widowControl/>
                    <w:jc w:val="center"/>
                    <w:rPr>
                      <w:color w:val="000000"/>
                      <w:kern w:val="0"/>
                      <w:szCs w:val="21"/>
                    </w:rPr>
                  </w:pPr>
                </w:p>
              </w:tc>
            </w:tr>
            <w:tr w14:paraId="2A2A0046">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PrEx>
              <w:trPr>
                <w:trHeight w:val="397" w:hRule="atLeast"/>
                <w:jc w:val="center"/>
              </w:trPr>
              <w:tc>
                <w:tcPr>
                  <w:tcW w:w="1823" w:type="dxa"/>
                  <w:shd w:val="clear" w:color="auto" w:fill="auto"/>
                  <w:vAlign w:val="center"/>
                </w:tcPr>
                <w:p w14:paraId="25F48E90">
                  <w:pPr>
                    <w:widowControl/>
                    <w:jc w:val="center"/>
                    <w:rPr>
                      <w:kern w:val="0"/>
                      <w:szCs w:val="21"/>
                    </w:rPr>
                  </w:pPr>
                  <w:r>
                    <w:rPr>
                      <w:kern w:val="0"/>
                      <w:szCs w:val="21"/>
                    </w:rPr>
                    <w:t>鱼头</w:t>
                  </w:r>
                </w:p>
              </w:tc>
              <w:tc>
                <w:tcPr>
                  <w:tcW w:w="893" w:type="dxa"/>
                  <w:shd w:val="clear" w:color="auto" w:fill="auto"/>
                  <w:vAlign w:val="center"/>
                </w:tcPr>
                <w:p w14:paraId="2521864A">
                  <w:pPr>
                    <w:widowControl/>
                    <w:jc w:val="center"/>
                    <w:rPr>
                      <w:kern w:val="0"/>
                      <w:szCs w:val="21"/>
                    </w:rPr>
                  </w:pPr>
                  <w:r>
                    <w:rPr>
                      <w:kern w:val="0"/>
                      <w:szCs w:val="21"/>
                    </w:rPr>
                    <w:t>500</w:t>
                  </w:r>
                </w:p>
              </w:tc>
              <w:tc>
                <w:tcPr>
                  <w:tcW w:w="945" w:type="dxa"/>
                  <w:shd w:val="clear" w:color="auto" w:fill="auto"/>
                  <w:vAlign w:val="center"/>
                </w:tcPr>
                <w:p w14:paraId="120C66AE">
                  <w:pPr>
                    <w:widowControl/>
                    <w:jc w:val="center"/>
                    <w:rPr>
                      <w:kern w:val="0"/>
                      <w:szCs w:val="21"/>
                    </w:rPr>
                  </w:pPr>
                  <w:r>
                    <w:rPr>
                      <w:kern w:val="0"/>
                      <w:szCs w:val="21"/>
                    </w:rPr>
                    <w:t>8</w:t>
                  </w:r>
                </w:p>
              </w:tc>
              <w:tc>
                <w:tcPr>
                  <w:tcW w:w="1086" w:type="dxa"/>
                  <w:shd w:val="clear" w:color="auto" w:fill="auto"/>
                  <w:vAlign w:val="center"/>
                </w:tcPr>
                <w:p w14:paraId="2C427982">
                  <w:pPr>
                    <w:jc w:val="center"/>
                  </w:pPr>
                  <w:r>
                    <w:rPr>
                      <w:bCs/>
                      <w:kern w:val="0"/>
                      <w:szCs w:val="21"/>
                    </w:rPr>
                    <w:t>t/a</w:t>
                  </w:r>
                </w:p>
              </w:tc>
              <w:tc>
                <w:tcPr>
                  <w:tcW w:w="1324" w:type="dxa"/>
                  <w:shd w:val="clear" w:color="auto" w:fill="auto"/>
                  <w:vAlign w:val="center"/>
                </w:tcPr>
                <w:p w14:paraId="5624E536">
                  <w:pPr>
                    <w:widowControl/>
                    <w:jc w:val="center"/>
                    <w:rPr>
                      <w:kern w:val="0"/>
                      <w:szCs w:val="21"/>
                    </w:rPr>
                  </w:pPr>
                  <w:r>
                    <w:rPr>
                      <w:kern w:val="0"/>
                      <w:szCs w:val="21"/>
                    </w:rPr>
                    <w:t>/</w:t>
                  </w:r>
                </w:p>
              </w:tc>
              <w:tc>
                <w:tcPr>
                  <w:tcW w:w="1095" w:type="dxa"/>
                  <w:shd w:val="clear" w:color="auto" w:fill="auto"/>
                  <w:vAlign w:val="center"/>
                </w:tcPr>
                <w:p w14:paraId="14F91A2B">
                  <w:pPr>
                    <w:widowControl/>
                    <w:jc w:val="center"/>
                    <w:rPr>
                      <w:kern w:val="0"/>
                      <w:szCs w:val="21"/>
                    </w:rPr>
                  </w:pPr>
                  <w:r>
                    <w:rPr>
                      <w:rFonts w:hint="eastAsia"/>
                      <w:kern w:val="0"/>
                      <w:szCs w:val="21"/>
                    </w:rPr>
                    <w:t>冻库</w:t>
                  </w:r>
                </w:p>
              </w:tc>
              <w:tc>
                <w:tcPr>
                  <w:tcW w:w="1391" w:type="dxa"/>
                  <w:shd w:val="clear" w:color="auto" w:fill="auto"/>
                  <w:vAlign w:val="center"/>
                </w:tcPr>
                <w:p w14:paraId="3F04C07E">
                  <w:pPr>
                    <w:widowControl/>
                    <w:jc w:val="center"/>
                    <w:rPr>
                      <w:color w:val="000000"/>
                      <w:kern w:val="0"/>
                      <w:szCs w:val="21"/>
                    </w:rPr>
                  </w:pPr>
                </w:p>
              </w:tc>
            </w:tr>
            <w:tr w14:paraId="2821715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PrEx>
              <w:trPr>
                <w:trHeight w:val="397" w:hRule="atLeast"/>
                <w:jc w:val="center"/>
              </w:trPr>
              <w:tc>
                <w:tcPr>
                  <w:tcW w:w="1823" w:type="dxa"/>
                  <w:shd w:val="clear" w:color="auto" w:fill="auto"/>
                  <w:vAlign w:val="center"/>
                </w:tcPr>
                <w:p w14:paraId="00675E97">
                  <w:pPr>
                    <w:widowControl/>
                    <w:jc w:val="center"/>
                    <w:rPr>
                      <w:kern w:val="0"/>
                      <w:szCs w:val="21"/>
                    </w:rPr>
                  </w:pPr>
                  <w:r>
                    <w:rPr>
                      <w:kern w:val="0"/>
                      <w:szCs w:val="21"/>
                    </w:rPr>
                    <w:t>食盐</w:t>
                  </w:r>
                </w:p>
              </w:tc>
              <w:tc>
                <w:tcPr>
                  <w:tcW w:w="893" w:type="dxa"/>
                  <w:shd w:val="clear" w:color="auto" w:fill="auto"/>
                  <w:noWrap/>
                  <w:vAlign w:val="center"/>
                </w:tcPr>
                <w:p w14:paraId="338369D2">
                  <w:pPr>
                    <w:widowControl/>
                    <w:jc w:val="center"/>
                    <w:rPr>
                      <w:kern w:val="0"/>
                      <w:szCs w:val="21"/>
                    </w:rPr>
                  </w:pPr>
                  <w:r>
                    <w:rPr>
                      <w:kern w:val="0"/>
                      <w:szCs w:val="21"/>
                    </w:rPr>
                    <w:t>16</w:t>
                  </w:r>
                </w:p>
              </w:tc>
              <w:tc>
                <w:tcPr>
                  <w:tcW w:w="945" w:type="dxa"/>
                  <w:shd w:val="clear" w:color="auto" w:fill="auto"/>
                  <w:vAlign w:val="center"/>
                </w:tcPr>
                <w:p w14:paraId="52B6F859">
                  <w:pPr>
                    <w:widowControl/>
                    <w:jc w:val="center"/>
                    <w:rPr>
                      <w:kern w:val="0"/>
                      <w:szCs w:val="21"/>
                    </w:rPr>
                  </w:pPr>
                  <w:r>
                    <w:rPr>
                      <w:kern w:val="0"/>
                      <w:szCs w:val="21"/>
                    </w:rPr>
                    <w:t>0.2</w:t>
                  </w:r>
                </w:p>
              </w:tc>
              <w:tc>
                <w:tcPr>
                  <w:tcW w:w="1086" w:type="dxa"/>
                  <w:shd w:val="clear" w:color="auto" w:fill="auto"/>
                  <w:vAlign w:val="center"/>
                </w:tcPr>
                <w:p w14:paraId="4635C5DF">
                  <w:pPr>
                    <w:jc w:val="center"/>
                  </w:pPr>
                  <w:r>
                    <w:rPr>
                      <w:bCs/>
                      <w:kern w:val="0"/>
                      <w:szCs w:val="21"/>
                    </w:rPr>
                    <w:t>t/a</w:t>
                  </w:r>
                </w:p>
              </w:tc>
              <w:tc>
                <w:tcPr>
                  <w:tcW w:w="1324" w:type="dxa"/>
                  <w:shd w:val="clear" w:color="auto" w:fill="auto"/>
                  <w:noWrap/>
                  <w:vAlign w:val="center"/>
                </w:tcPr>
                <w:p w14:paraId="2D8DBCCA">
                  <w:pPr>
                    <w:widowControl/>
                    <w:jc w:val="center"/>
                    <w:rPr>
                      <w:kern w:val="0"/>
                      <w:szCs w:val="21"/>
                    </w:rPr>
                  </w:pPr>
                  <w:r>
                    <w:rPr>
                      <w:kern w:val="0"/>
                      <w:szCs w:val="21"/>
                    </w:rPr>
                    <w:t>50kg/包</w:t>
                  </w:r>
                </w:p>
              </w:tc>
              <w:tc>
                <w:tcPr>
                  <w:tcW w:w="1095" w:type="dxa"/>
                  <w:shd w:val="clear" w:color="auto" w:fill="auto"/>
                  <w:vAlign w:val="center"/>
                </w:tcPr>
                <w:p w14:paraId="055CE66F">
                  <w:pPr>
                    <w:widowControl/>
                    <w:jc w:val="center"/>
                    <w:rPr>
                      <w:kern w:val="0"/>
                      <w:szCs w:val="21"/>
                    </w:rPr>
                  </w:pPr>
                  <w:r>
                    <w:rPr>
                      <w:kern w:val="0"/>
                      <w:szCs w:val="21"/>
                    </w:rPr>
                    <w:t>仓库</w:t>
                  </w:r>
                </w:p>
              </w:tc>
              <w:tc>
                <w:tcPr>
                  <w:tcW w:w="1391" w:type="dxa"/>
                  <w:shd w:val="clear" w:color="auto" w:fill="auto"/>
                  <w:noWrap/>
                  <w:vAlign w:val="center"/>
                </w:tcPr>
                <w:p w14:paraId="0B46659E">
                  <w:pPr>
                    <w:widowControl/>
                    <w:jc w:val="center"/>
                    <w:rPr>
                      <w:color w:val="000000"/>
                      <w:kern w:val="0"/>
                      <w:szCs w:val="21"/>
                    </w:rPr>
                  </w:pPr>
                </w:p>
              </w:tc>
            </w:tr>
            <w:tr w14:paraId="0A976743">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PrEx>
              <w:trPr>
                <w:trHeight w:val="397" w:hRule="atLeast"/>
                <w:jc w:val="center"/>
              </w:trPr>
              <w:tc>
                <w:tcPr>
                  <w:tcW w:w="1823" w:type="dxa"/>
                  <w:shd w:val="clear" w:color="auto" w:fill="auto"/>
                  <w:noWrap/>
                  <w:vAlign w:val="center"/>
                </w:tcPr>
                <w:p w14:paraId="629E6ADC">
                  <w:pPr>
                    <w:widowControl/>
                    <w:jc w:val="center"/>
                    <w:rPr>
                      <w:kern w:val="0"/>
                      <w:szCs w:val="21"/>
                    </w:rPr>
                  </w:pPr>
                  <w:r>
                    <w:rPr>
                      <w:kern w:val="0"/>
                      <w:szCs w:val="21"/>
                    </w:rPr>
                    <w:t>剁辣椒</w:t>
                  </w:r>
                </w:p>
              </w:tc>
              <w:tc>
                <w:tcPr>
                  <w:tcW w:w="893" w:type="dxa"/>
                  <w:shd w:val="clear" w:color="auto" w:fill="auto"/>
                  <w:noWrap/>
                  <w:vAlign w:val="center"/>
                </w:tcPr>
                <w:p w14:paraId="165C01FA">
                  <w:pPr>
                    <w:widowControl/>
                    <w:jc w:val="center"/>
                    <w:rPr>
                      <w:kern w:val="0"/>
                      <w:szCs w:val="21"/>
                    </w:rPr>
                  </w:pPr>
                  <w:r>
                    <w:rPr>
                      <w:kern w:val="0"/>
                      <w:szCs w:val="21"/>
                    </w:rPr>
                    <w:t>172</w:t>
                  </w:r>
                </w:p>
              </w:tc>
              <w:tc>
                <w:tcPr>
                  <w:tcW w:w="945" w:type="dxa"/>
                  <w:shd w:val="clear" w:color="auto" w:fill="auto"/>
                  <w:vAlign w:val="center"/>
                </w:tcPr>
                <w:p w14:paraId="2AE8A967">
                  <w:pPr>
                    <w:widowControl/>
                    <w:jc w:val="center"/>
                    <w:rPr>
                      <w:kern w:val="0"/>
                      <w:szCs w:val="21"/>
                    </w:rPr>
                  </w:pPr>
                  <w:r>
                    <w:rPr>
                      <w:kern w:val="0"/>
                      <w:szCs w:val="21"/>
                    </w:rPr>
                    <w:t>3</w:t>
                  </w:r>
                </w:p>
              </w:tc>
              <w:tc>
                <w:tcPr>
                  <w:tcW w:w="1086" w:type="dxa"/>
                  <w:shd w:val="clear" w:color="auto" w:fill="auto"/>
                  <w:vAlign w:val="center"/>
                </w:tcPr>
                <w:p w14:paraId="59F366D7">
                  <w:pPr>
                    <w:jc w:val="center"/>
                  </w:pPr>
                  <w:r>
                    <w:rPr>
                      <w:bCs/>
                      <w:kern w:val="0"/>
                      <w:szCs w:val="21"/>
                    </w:rPr>
                    <w:t>t/a</w:t>
                  </w:r>
                </w:p>
              </w:tc>
              <w:tc>
                <w:tcPr>
                  <w:tcW w:w="1324" w:type="dxa"/>
                  <w:shd w:val="clear" w:color="auto" w:fill="auto"/>
                  <w:noWrap/>
                  <w:vAlign w:val="center"/>
                </w:tcPr>
                <w:p w14:paraId="671494B5">
                  <w:pPr>
                    <w:widowControl/>
                    <w:jc w:val="center"/>
                    <w:rPr>
                      <w:kern w:val="0"/>
                      <w:szCs w:val="21"/>
                    </w:rPr>
                  </w:pPr>
                  <w:r>
                    <w:rPr>
                      <w:kern w:val="0"/>
                      <w:szCs w:val="21"/>
                    </w:rPr>
                    <w:t>25 kg /件</w:t>
                  </w:r>
                </w:p>
              </w:tc>
              <w:tc>
                <w:tcPr>
                  <w:tcW w:w="1095" w:type="dxa"/>
                  <w:shd w:val="clear" w:color="auto" w:fill="auto"/>
                  <w:vAlign w:val="center"/>
                </w:tcPr>
                <w:p w14:paraId="2B3E3F98">
                  <w:pPr>
                    <w:widowControl/>
                    <w:jc w:val="center"/>
                    <w:rPr>
                      <w:kern w:val="0"/>
                      <w:szCs w:val="21"/>
                    </w:rPr>
                  </w:pPr>
                  <w:r>
                    <w:rPr>
                      <w:kern w:val="0"/>
                      <w:szCs w:val="21"/>
                    </w:rPr>
                    <w:t>仓库</w:t>
                  </w:r>
                </w:p>
              </w:tc>
              <w:tc>
                <w:tcPr>
                  <w:tcW w:w="1391" w:type="dxa"/>
                  <w:shd w:val="clear" w:color="auto" w:fill="auto"/>
                  <w:noWrap/>
                  <w:vAlign w:val="center"/>
                </w:tcPr>
                <w:p w14:paraId="6A887258">
                  <w:pPr>
                    <w:widowControl/>
                    <w:jc w:val="center"/>
                    <w:rPr>
                      <w:color w:val="000000"/>
                      <w:kern w:val="0"/>
                      <w:szCs w:val="21"/>
                    </w:rPr>
                  </w:pPr>
                </w:p>
              </w:tc>
            </w:tr>
            <w:tr w14:paraId="5F1BBE4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PrEx>
              <w:trPr>
                <w:trHeight w:val="397" w:hRule="atLeast"/>
                <w:jc w:val="center"/>
              </w:trPr>
              <w:tc>
                <w:tcPr>
                  <w:tcW w:w="1823" w:type="dxa"/>
                  <w:shd w:val="clear" w:color="auto" w:fill="auto"/>
                  <w:noWrap/>
                  <w:vAlign w:val="center"/>
                </w:tcPr>
                <w:p w14:paraId="3EC0A2C6">
                  <w:pPr>
                    <w:widowControl/>
                    <w:jc w:val="center"/>
                    <w:rPr>
                      <w:color w:val="000000"/>
                      <w:kern w:val="0"/>
                      <w:szCs w:val="21"/>
                    </w:rPr>
                  </w:pPr>
                  <w:r>
                    <w:rPr>
                      <w:color w:val="000000"/>
                      <w:kern w:val="0"/>
                      <w:szCs w:val="21"/>
                    </w:rPr>
                    <w:t>白糖</w:t>
                  </w:r>
                </w:p>
              </w:tc>
              <w:tc>
                <w:tcPr>
                  <w:tcW w:w="893" w:type="dxa"/>
                  <w:shd w:val="clear" w:color="auto" w:fill="auto"/>
                  <w:noWrap/>
                  <w:vAlign w:val="center"/>
                </w:tcPr>
                <w:p w14:paraId="78002299">
                  <w:pPr>
                    <w:widowControl/>
                    <w:jc w:val="center"/>
                    <w:rPr>
                      <w:color w:val="000000"/>
                      <w:kern w:val="0"/>
                      <w:szCs w:val="21"/>
                    </w:rPr>
                  </w:pPr>
                  <w:r>
                    <w:rPr>
                      <w:color w:val="000000"/>
                      <w:kern w:val="0"/>
                      <w:szCs w:val="21"/>
                    </w:rPr>
                    <w:t>16</w:t>
                  </w:r>
                </w:p>
              </w:tc>
              <w:tc>
                <w:tcPr>
                  <w:tcW w:w="945" w:type="dxa"/>
                  <w:shd w:val="clear" w:color="auto" w:fill="auto"/>
                  <w:vAlign w:val="center"/>
                </w:tcPr>
                <w:p w14:paraId="05B68870">
                  <w:pPr>
                    <w:widowControl/>
                    <w:jc w:val="center"/>
                    <w:rPr>
                      <w:color w:val="000000"/>
                      <w:kern w:val="0"/>
                      <w:szCs w:val="21"/>
                    </w:rPr>
                  </w:pPr>
                  <w:r>
                    <w:rPr>
                      <w:color w:val="000000"/>
                      <w:kern w:val="0"/>
                      <w:szCs w:val="21"/>
                    </w:rPr>
                    <w:t>0.2</w:t>
                  </w:r>
                </w:p>
              </w:tc>
              <w:tc>
                <w:tcPr>
                  <w:tcW w:w="1086" w:type="dxa"/>
                  <w:shd w:val="clear" w:color="auto" w:fill="auto"/>
                  <w:vAlign w:val="center"/>
                </w:tcPr>
                <w:p w14:paraId="7CF684C4">
                  <w:pPr>
                    <w:jc w:val="center"/>
                  </w:pPr>
                  <w:r>
                    <w:rPr>
                      <w:bCs/>
                      <w:color w:val="000000"/>
                      <w:kern w:val="0"/>
                      <w:szCs w:val="21"/>
                    </w:rPr>
                    <w:t>t/a</w:t>
                  </w:r>
                </w:p>
              </w:tc>
              <w:tc>
                <w:tcPr>
                  <w:tcW w:w="1324" w:type="dxa"/>
                  <w:shd w:val="clear" w:color="auto" w:fill="auto"/>
                  <w:noWrap/>
                  <w:vAlign w:val="center"/>
                </w:tcPr>
                <w:p w14:paraId="28593ED0">
                  <w:pPr>
                    <w:widowControl/>
                    <w:jc w:val="center"/>
                    <w:rPr>
                      <w:color w:val="000000"/>
                      <w:kern w:val="0"/>
                      <w:szCs w:val="21"/>
                    </w:rPr>
                  </w:pPr>
                  <w:r>
                    <w:rPr>
                      <w:color w:val="000000"/>
                      <w:kern w:val="0"/>
                      <w:szCs w:val="21"/>
                    </w:rPr>
                    <w:t>50kg/包</w:t>
                  </w:r>
                </w:p>
              </w:tc>
              <w:tc>
                <w:tcPr>
                  <w:tcW w:w="1095" w:type="dxa"/>
                  <w:shd w:val="clear" w:color="auto" w:fill="auto"/>
                  <w:vAlign w:val="center"/>
                </w:tcPr>
                <w:p w14:paraId="279DFF76">
                  <w:pPr>
                    <w:widowControl/>
                    <w:jc w:val="center"/>
                    <w:rPr>
                      <w:color w:val="000000"/>
                      <w:kern w:val="0"/>
                      <w:szCs w:val="21"/>
                    </w:rPr>
                  </w:pPr>
                  <w:r>
                    <w:rPr>
                      <w:color w:val="000000"/>
                      <w:kern w:val="0"/>
                      <w:szCs w:val="21"/>
                    </w:rPr>
                    <w:t>仓库</w:t>
                  </w:r>
                </w:p>
              </w:tc>
              <w:tc>
                <w:tcPr>
                  <w:tcW w:w="1391" w:type="dxa"/>
                  <w:shd w:val="clear" w:color="auto" w:fill="auto"/>
                  <w:noWrap/>
                  <w:vAlign w:val="center"/>
                </w:tcPr>
                <w:p w14:paraId="0C692C0E">
                  <w:pPr>
                    <w:widowControl/>
                    <w:jc w:val="center"/>
                    <w:rPr>
                      <w:color w:val="000000"/>
                      <w:kern w:val="0"/>
                      <w:szCs w:val="21"/>
                    </w:rPr>
                  </w:pPr>
                </w:p>
              </w:tc>
            </w:tr>
            <w:tr w14:paraId="6B32F6B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23" w:type="dxa"/>
                  <w:shd w:val="clear" w:color="auto" w:fill="auto"/>
                  <w:noWrap/>
                  <w:vAlign w:val="center"/>
                </w:tcPr>
                <w:p w14:paraId="66608AFC">
                  <w:pPr>
                    <w:widowControl/>
                    <w:jc w:val="center"/>
                    <w:rPr>
                      <w:color w:val="000000"/>
                      <w:kern w:val="0"/>
                      <w:szCs w:val="21"/>
                    </w:rPr>
                  </w:pPr>
                  <w:r>
                    <w:rPr>
                      <w:color w:val="000000"/>
                      <w:kern w:val="0"/>
                      <w:szCs w:val="21"/>
                    </w:rPr>
                    <w:t>酿造酱油</w:t>
                  </w:r>
                </w:p>
              </w:tc>
              <w:tc>
                <w:tcPr>
                  <w:tcW w:w="893" w:type="dxa"/>
                  <w:shd w:val="clear" w:color="auto" w:fill="auto"/>
                  <w:noWrap/>
                  <w:vAlign w:val="center"/>
                </w:tcPr>
                <w:p w14:paraId="7B2699F8">
                  <w:pPr>
                    <w:widowControl/>
                    <w:jc w:val="center"/>
                    <w:rPr>
                      <w:color w:val="000000"/>
                      <w:kern w:val="0"/>
                      <w:szCs w:val="21"/>
                    </w:rPr>
                  </w:pPr>
                  <w:r>
                    <w:rPr>
                      <w:color w:val="000000"/>
                      <w:kern w:val="0"/>
                      <w:szCs w:val="21"/>
                    </w:rPr>
                    <w:t>16</w:t>
                  </w:r>
                </w:p>
              </w:tc>
              <w:tc>
                <w:tcPr>
                  <w:tcW w:w="945" w:type="dxa"/>
                  <w:shd w:val="clear" w:color="auto" w:fill="auto"/>
                  <w:vAlign w:val="center"/>
                </w:tcPr>
                <w:p w14:paraId="3AC6E91D">
                  <w:pPr>
                    <w:widowControl/>
                    <w:jc w:val="center"/>
                    <w:rPr>
                      <w:color w:val="000000"/>
                      <w:kern w:val="0"/>
                      <w:szCs w:val="21"/>
                    </w:rPr>
                  </w:pPr>
                  <w:r>
                    <w:rPr>
                      <w:color w:val="000000"/>
                      <w:kern w:val="0"/>
                      <w:szCs w:val="21"/>
                    </w:rPr>
                    <w:t>0.2</w:t>
                  </w:r>
                </w:p>
              </w:tc>
              <w:tc>
                <w:tcPr>
                  <w:tcW w:w="1086" w:type="dxa"/>
                  <w:shd w:val="clear" w:color="auto" w:fill="auto"/>
                  <w:vAlign w:val="center"/>
                </w:tcPr>
                <w:p w14:paraId="3CAF338C">
                  <w:pPr>
                    <w:jc w:val="center"/>
                  </w:pPr>
                  <w:r>
                    <w:rPr>
                      <w:bCs/>
                      <w:color w:val="000000"/>
                      <w:kern w:val="0"/>
                      <w:szCs w:val="21"/>
                    </w:rPr>
                    <w:t>t/a</w:t>
                  </w:r>
                </w:p>
              </w:tc>
              <w:tc>
                <w:tcPr>
                  <w:tcW w:w="1324" w:type="dxa"/>
                  <w:shd w:val="clear" w:color="auto" w:fill="auto"/>
                  <w:noWrap/>
                  <w:vAlign w:val="center"/>
                </w:tcPr>
                <w:p w14:paraId="46308DC7">
                  <w:pPr>
                    <w:widowControl/>
                    <w:jc w:val="center"/>
                    <w:rPr>
                      <w:color w:val="000000"/>
                      <w:kern w:val="0"/>
                      <w:szCs w:val="21"/>
                    </w:rPr>
                  </w:pPr>
                </w:p>
              </w:tc>
              <w:tc>
                <w:tcPr>
                  <w:tcW w:w="1095" w:type="dxa"/>
                  <w:shd w:val="clear" w:color="auto" w:fill="auto"/>
                  <w:vAlign w:val="center"/>
                </w:tcPr>
                <w:p w14:paraId="4499849C">
                  <w:pPr>
                    <w:widowControl/>
                    <w:jc w:val="center"/>
                    <w:rPr>
                      <w:color w:val="000000"/>
                      <w:kern w:val="0"/>
                      <w:szCs w:val="21"/>
                    </w:rPr>
                  </w:pPr>
                  <w:r>
                    <w:rPr>
                      <w:color w:val="000000"/>
                      <w:kern w:val="0"/>
                      <w:szCs w:val="21"/>
                    </w:rPr>
                    <w:t>仓库</w:t>
                  </w:r>
                </w:p>
              </w:tc>
              <w:tc>
                <w:tcPr>
                  <w:tcW w:w="1391" w:type="dxa"/>
                  <w:shd w:val="clear" w:color="auto" w:fill="auto"/>
                  <w:noWrap/>
                  <w:vAlign w:val="center"/>
                </w:tcPr>
                <w:p w14:paraId="6370135E">
                  <w:pPr>
                    <w:widowControl/>
                    <w:jc w:val="center"/>
                    <w:rPr>
                      <w:color w:val="000000"/>
                      <w:kern w:val="0"/>
                      <w:szCs w:val="21"/>
                    </w:rPr>
                  </w:pPr>
                </w:p>
              </w:tc>
            </w:tr>
            <w:tr w14:paraId="5741A270">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PrEx>
              <w:trPr>
                <w:trHeight w:val="397" w:hRule="atLeast"/>
                <w:jc w:val="center"/>
              </w:trPr>
              <w:tc>
                <w:tcPr>
                  <w:tcW w:w="1823" w:type="dxa"/>
                  <w:shd w:val="clear" w:color="auto" w:fill="auto"/>
                  <w:noWrap/>
                  <w:vAlign w:val="center"/>
                </w:tcPr>
                <w:p w14:paraId="79C1BB24">
                  <w:pPr>
                    <w:widowControl/>
                    <w:jc w:val="center"/>
                    <w:rPr>
                      <w:color w:val="000000"/>
                      <w:kern w:val="0"/>
                      <w:szCs w:val="21"/>
                    </w:rPr>
                  </w:pPr>
                  <w:r>
                    <w:rPr>
                      <w:color w:val="000000"/>
                      <w:kern w:val="0"/>
                      <w:szCs w:val="21"/>
                    </w:rPr>
                    <w:t>味精</w:t>
                  </w:r>
                </w:p>
              </w:tc>
              <w:tc>
                <w:tcPr>
                  <w:tcW w:w="893" w:type="dxa"/>
                  <w:shd w:val="clear" w:color="auto" w:fill="auto"/>
                  <w:noWrap/>
                  <w:vAlign w:val="center"/>
                </w:tcPr>
                <w:p w14:paraId="5CB16EF2">
                  <w:pPr>
                    <w:widowControl/>
                    <w:jc w:val="center"/>
                    <w:rPr>
                      <w:color w:val="000000"/>
                      <w:kern w:val="0"/>
                      <w:szCs w:val="21"/>
                    </w:rPr>
                  </w:pPr>
                  <w:r>
                    <w:rPr>
                      <w:color w:val="000000"/>
                      <w:kern w:val="0"/>
                      <w:szCs w:val="21"/>
                    </w:rPr>
                    <w:t>16</w:t>
                  </w:r>
                </w:p>
              </w:tc>
              <w:tc>
                <w:tcPr>
                  <w:tcW w:w="945" w:type="dxa"/>
                  <w:shd w:val="clear" w:color="auto" w:fill="auto"/>
                  <w:vAlign w:val="center"/>
                </w:tcPr>
                <w:p w14:paraId="70831276">
                  <w:pPr>
                    <w:widowControl/>
                    <w:jc w:val="center"/>
                    <w:rPr>
                      <w:color w:val="000000"/>
                      <w:kern w:val="0"/>
                      <w:szCs w:val="21"/>
                    </w:rPr>
                  </w:pPr>
                  <w:r>
                    <w:rPr>
                      <w:color w:val="000000"/>
                      <w:kern w:val="0"/>
                      <w:szCs w:val="21"/>
                    </w:rPr>
                    <w:t>0.2</w:t>
                  </w:r>
                </w:p>
              </w:tc>
              <w:tc>
                <w:tcPr>
                  <w:tcW w:w="1086" w:type="dxa"/>
                  <w:shd w:val="clear" w:color="auto" w:fill="auto"/>
                  <w:vAlign w:val="center"/>
                </w:tcPr>
                <w:p w14:paraId="6AC44180">
                  <w:pPr>
                    <w:jc w:val="center"/>
                  </w:pPr>
                  <w:r>
                    <w:rPr>
                      <w:bCs/>
                      <w:color w:val="000000"/>
                      <w:kern w:val="0"/>
                      <w:szCs w:val="21"/>
                    </w:rPr>
                    <w:t>t/a</w:t>
                  </w:r>
                </w:p>
              </w:tc>
              <w:tc>
                <w:tcPr>
                  <w:tcW w:w="1324" w:type="dxa"/>
                  <w:shd w:val="clear" w:color="auto" w:fill="auto"/>
                  <w:noWrap/>
                  <w:vAlign w:val="center"/>
                </w:tcPr>
                <w:p w14:paraId="3B9C3E20">
                  <w:pPr>
                    <w:widowControl/>
                    <w:jc w:val="center"/>
                    <w:rPr>
                      <w:color w:val="000000"/>
                      <w:kern w:val="0"/>
                      <w:szCs w:val="21"/>
                    </w:rPr>
                  </w:pPr>
                  <w:r>
                    <w:rPr>
                      <w:color w:val="000000"/>
                      <w:kern w:val="0"/>
                      <w:szCs w:val="21"/>
                    </w:rPr>
                    <w:t>25kg/包</w:t>
                  </w:r>
                </w:p>
              </w:tc>
              <w:tc>
                <w:tcPr>
                  <w:tcW w:w="1095" w:type="dxa"/>
                  <w:shd w:val="clear" w:color="auto" w:fill="auto"/>
                  <w:vAlign w:val="center"/>
                </w:tcPr>
                <w:p w14:paraId="47694D80">
                  <w:pPr>
                    <w:widowControl/>
                    <w:jc w:val="center"/>
                    <w:rPr>
                      <w:color w:val="000000"/>
                      <w:kern w:val="0"/>
                      <w:szCs w:val="21"/>
                    </w:rPr>
                  </w:pPr>
                  <w:r>
                    <w:rPr>
                      <w:color w:val="000000"/>
                      <w:kern w:val="0"/>
                      <w:szCs w:val="21"/>
                    </w:rPr>
                    <w:t>仓库</w:t>
                  </w:r>
                </w:p>
              </w:tc>
              <w:tc>
                <w:tcPr>
                  <w:tcW w:w="1391" w:type="dxa"/>
                  <w:shd w:val="clear" w:color="auto" w:fill="auto"/>
                  <w:noWrap/>
                  <w:vAlign w:val="center"/>
                </w:tcPr>
                <w:p w14:paraId="35719626">
                  <w:pPr>
                    <w:widowControl/>
                    <w:jc w:val="center"/>
                    <w:rPr>
                      <w:color w:val="000000"/>
                      <w:kern w:val="0"/>
                      <w:szCs w:val="21"/>
                    </w:rPr>
                  </w:pPr>
                </w:p>
              </w:tc>
            </w:tr>
            <w:tr w14:paraId="6E330C9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23" w:type="dxa"/>
                  <w:shd w:val="clear" w:color="auto" w:fill="auto"/>
                  <w:noWrap/>
                  <w:vAlign w:val="center"/>
                </w:tcPr>
                <w:p w14:paraId="2ED94630">
                  <w:pPr>
                    <w:widowControl/>
                    <w:jc w:val="center"/>
                    <w:rPr>
                      <w:color w:val="000000"/>
                      <w:kern w:val="0"/>
                      <w:szCs w:val="21"/>
                    </w:rPr>
                  </w:pPr>
                  <w:r>
                    <w:rPr>
                      <w:color w:val="000000"/>
                      <w:kern w:val="0"/>
                      <w:szCs w:val="21"/>
                    </w:rPr>
                    <w:t>去腥回味粉</w:t>
                  </w:r>
                </w:p>
              </w:tc>
              <w:tc>
                <w:tcPr>
                  <w:tcW w:w="893" w:type="dxa"/>
                  <w:shd w:val="clear" w:color="auto" w:fill="auto"/>
                  <w:vAlign w:val="center"/>
                </w:tcPr>
                <w:p w14:paraId="1D8A07CB">
                  <w:pPr>
                    <w:widowControl/>
                    <w:jc w:val="center"/>
                    <w:rPr>
                      <w:color w:val="000000"/>
                      <w:kern w:val="0"/>
                      <w:szCs w:val="21"/>
                    </w:rPr>
                  </w:pPr>
                  <w:r>
                    <w:rPr>
                      <w:color w:val="000000"/>
                      <w:kern w:val="0"/>
                      <w:szCs w:val="21"/>
                    </w:rPr>
                    <w:t>3.9</w:t>
                  </w:r>
                </w:p>
              </w:tc>
              <w:tc>
                <w:tcPr>
                  <w:tcW w:w="945" w:type="dxa"/>
                  <w:shd w:val="clear" w:color="auto" w:fill="auto"/>
                  <w:vAlign w:val="center"/>
                </w:tcPr>
                <w:p w14:paraId="3427C5F8">
                  <w:pPr>
                    <w:widowControl/>
                    <w:jc w:val="center"/>
                    <w:rPr>
                      <w:color w:val="000000"/>
                      <w:kern w:val="0"/>
                      <w:szCs w:val="21"/>
                    </w:rPr>
                  </w:pPr>
                  <w:r>
                    <w:rPr>
                      <w:color w:val="000000"/>
                      <w:kern w:val="0"/>
                      <w:szCs w:val="21"/>
                    </w:rPr>
                    <w:t>0.065</w:t>
                  </w:r>
                </w:p>
              </w:tc>
              <w:tc>
                <w:tcPr>
                  <w:tcW w:w="1086" w:type="dxa"/>
                  <w:shd w:val="clear" w:color="auto" w:fill="auto"/>
                  <w:vAlign w:val="center"/>
                </w:tcPr>
                <w:p w14:paraId="44F74804">
                  <w:pPr>
                    <w:jc w:val="center"/>
                  </w:pPr>
                  <w:r>
                    <w:rPr>
                      <w:bCs/>
                      <w:color w:val="000000"/>
                      <w:kern w:val="0"/>
                      <w:szCs w:val="21"/>
                    </w:rPr>
                    <w:t>t/a</w:t>
                  </w:r>
                </w:p>
              </w:tc>
              <w:tc>
                <w:tcPr>
                  <w:tcW w:w="1324" w:type="dxa"/>
                  <w:shd w:val="clear" w:color="auto" w:fill="auto"/>
                  <w:noWrap/>
                  <w:vAlign w:val="center"/>
                </w:tcPr>
                <w:p w14:paraId="16C75F21">
                  <w:pPr>
                    <w:widowControl/>
                    <w:jc w:val="center"/>
                    <w:rPr>
                      <w:color w:val="000000"/>
                      <w:kern w:val="0"/>
                      <w:szCs w:val="21"/>
                    </w:rPr>
                  </w:pPr>
                  <w:r>
                    <w:rPr>
                      <w:color w:val="000000"/>
                      <w:kern w:val="0"/>
                      <w:szCs w:val="21"/>
                    </w:rPr>
                    <w:t>4kg*3包</w:t>
                  </w:r>
                </w:p>
              </w:tc>
              <w:tc>
                <w:tcPr>
                  <w:tcW w:w="1095" w:type="dxa"/>
                  <w:shd w:val="clear" w:color="auto" w:fill="auto"/>
                  <w:vAlign w:val="center"/>
                </w:tcPr>
                <w:p w14:paraId="6F2D5D10">
                  <w:pPr>
                    <w:widowControl/>
                    <w:jc w:val="center"/>
                    <w:rPr>
                      <w:color w:val="000000"/>
                      <w:kern w:val="0"/>
                      <w:szCs w:val="21"/>
                    </w:rPr>
                  </w:pPr>
                  <w:r>
                    <w:rPr>
                      <w:color w:val="000000"/>
                      <w:kern w:val="0"/>
                      <w:szCs w:val="21"/>
                    </w:rPr>
                    <w:t>仓库</w:t>
                  </w:r>
                </w:p>
              </w:tc>
              <w:tc>
                <w:tcPr>
                  <w:tcW w:w="1391" w:type="dxa"/>
                  <w:shd w:val="clear" w:color="auto" w:fill="auto"/>
                  <w:noWrap/>
                  <w:vAlign w:val="center"/>
                </w:tcPr>
                <w:p w14:paraId="00AB99CD">
                  <w:pPr>
                    <w:widowControl/>
                    <w:jc w:val="center"/>
                    <w:rPr>
                      <w:color w:val="000000"/>
                      <w:kern w:val="0"/>
                      <w:szCs w:val="21"/>
                    </w:rPr>
                  </w:pPr>
                </w:p>
              </w:tc>
            </w:tr>
            <w:tr w14:paraId="45B56574">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23" w:type="dxa"/>
                  <w:shd w:val="clear" w:color="auto" w:fill="auto"/>
                  <w:vAlign w:val="center"/>
                </w:tcPr>
                <w:p w14:paraId="1A9CF8D6">
                  <w:pPr>
                    <w:widowControl/>
                    <w:jc w:val="center"/>
                    <w:rPr>
                      <w:color w:val="000000"/>
                      <w:kern w:val="0"/>
                      <w:szCs w:val="21"/>
                    </w:rPr>
                  </w:pPr>
                  <w:r>
                    <w:rPr>
                      <w:color w:val="000000"/>
                      <w:kern w:val="0"/>
                      <w:szCs w:val="21"/>
                    </w:rPr>
                    <w:t>去腥粉</w:t>
                  </w:r>
                </w:p>
              </w:tc>
              <w:tc>
                <w:tcPr>
                  <w:tcW w:w="893" w:type="dxa"/>
                  <w:shd w:val="clear" w:color="auto" w:fill="auto"/>
                  <w:vAlign w:val="center"/>
                </w:tcPr>
                <w:p w14:paraId="66204039">
                  <w:pPr>
                    <w:widowControl/>
                    <w:jc w:val="center"/>
                    <w:rPr>
                      <w:color w:val="000000"/>
                      <w:kern w:val="0"/>
                      <w:szCs w:val="21"/>
                    </w:rPr>
                  </w:pPr>
                  <w:r>
                    <w:rPr>
                      <w:color w:val="000000"/>
                      <w:kern w:val="0"/>
                      <w:szCs w:val="21"/>
                    </w:rPr>
                    <w:t>3.9</w:t>
                  </w:r>
                </w:p>
              </w:tc>
              <w:tc>
                <w:tcPr>
                  <w:tcW w:w="945" w:type="dxa"/>
                  <w:shd w:val="clear" w:color="auto" w:fill="auto"/>
                  <w:vAlign w:val="center"/>
                </w:tcPr>
                <w:p w14:paraId="7F9A071B">
                  <w:pPr>
                    <w:widowControl/>
                    <w:jc w:val="center"/>
                    <w:rPr>
                      <w:color w:val="000000"/>
                      <w:kern w:val="0"/>
                      <w:szCs w:val="21"/>
                    </w:rPr>
                  </w:pPr>
                  <w:r>
                    <w:rPr>
                      <w:color w:val="000000"/>
                      <w:kern w:val="0"/>
                      <w:szCs w:val="21"/>
                    </w:rPr>
                    <w:t>0.065</w:t>
                  </w:r>
                </w:p>
              </w:tc>
              <w:tc>
                <w:tcPr>
                  <w:tcW w:w="1086" w:type="dxa"/>
                  <w:shd w:val="clear" w:color="auto" w:fill="auto"/>
                  <w:vAlign w:val="center"/>
                </w:tcPr>
                <w:p w14:paraId="54355FD2">
                  <w:pPr>
                    <w:jc w:val="center"/>
                  </w:pPr>
                  <w:r>
                    <w:rPr>
                      <w:bCs/>
                      <w:color w:val="000000"/>
                      <w:kern w:val="0"/>
                      <w:szCs w:val="21"/>
                    </w:rPr>
                    <w:t>t/a</w:t>
                  </w:r>
                </w:p>
              </w:tc>
              <w:tc>
                <w:tcPr>
                  <w:tcW w:w="1324" w:type="dxa"/>
                  <w:shd w:val="clear" w:color="auto" w:fill="auto"/>
                  <w:noWrap/>
                  <w:vAlign w:val="center"/>
                </w:tcPr>
                <w:p w14:paraId="0C4971FA">
                  <w:pPr>
                    <w:widowControl/>
                    <w:jc w:val="center"/>
                    <w:rPr>
                      <w:color w:val="000000"/>
                      <w:kern w:val="0"/>
                      <w:szCs w:val="21"/>
                    </w:rPr>
                  </w:pPr>
                  <w:r>
                    <w:rPr>
                      <w:color w:val="000000"/>
                      <w:kern w:val="0"/>
                      <w:szCs w:val="21"/>
                    </w:rPr>
                    <w:t>20kg*1</w:t>
                  </w:r>
                </w:p>
              </w:tc>
              <w:tc>
                <w:tcPr>
                  <w:tcW w:w="1095" w:type="dxa"/>
                  <w:shd w:val="clear" w:color="auto" w:fill="auto"/>
                  <w:vAlign w:val="center"/>
                </w:tcPr>
                <w:p w14:paraId="2CF9CDD0">
                  <w:pPr>
                    <w:widowControl/>
                    <w:jc w:val="center"/>
                    <w:rPr>
                      <w:color w:val="000000"/>
                      <w:kern w:val="0"/>
                      <w:szCs w:val="21"/>
                    </w:rPr>
                  </w:pPr>
                  <w:r>
                    <w:rPr>
                      <w:color w:val="000000"/>
                      <w:kern w:val="0"/>
                      <w:szCs w:val="21"/>
                    </w:rPr>
                    <w:t>仓库</w:t>
                  </w:r>
                </w:p>
              </w:tc>
              <w:tc>
                <w:tcPr>
                  <w:tcW w:w="1391" w:type="dxa"/>
                  <w:shd w:val="clear" w:color="auto" w:fill="auto"/>
                  <w:noWrap/>
                  <w:vAlign w:val="center"/>
                </w:tcPr>
                <w:p w14:paraId="0D251AFA">
                  <w:pPr>
                    <w:widowControl/>
                    <w:jc w:val="center"/>
                    <w:rPr>
                      <w:color w:val="000000"/>
                      <w:kern w:val="0"/>
                      <w:szCs w:val="21"/>
                    </w:rPr>
                  </w:pPr>
                </w:p>
              </w:tc>
            </w:tr>
            <w:tr w14:paraId="7F0A96A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23" w:type="dxa"/>
                  <w:shd w:val="clear" w:color="auto" w:fill="auto"/>
                  <w:noWrap/>
                  <w:vAlign w:val="center"/>
                </w:tcPr>
                <w:p w14:paraId="0B293CD4">
                  <w:pPr>
                    <w:widowControl/>
                    <w:jc w:val="center"/>
                    <w:rPr>
                      <w:color w:val="000000"/>
                      <w:kern w:val="0"/>
                      <w:szCs w:val="21"/>
                    </w:rPr>
                  </w:pPr>
                  <w:r>
                    <w:rPr>
                      <w:color w:val="000000"/>
                      <w:kern w:val="0"/>
                      <w:szCs w:val="21"/>
                    </w:rPr>
                    <w:t>香辛料</w:t>
                  </w:r>
                </w:p>
              </w:tc>
              <w:tc>
                <w:tcPr>
                  <w:tcW w:w="893" w:type="dxa"/>
                  <w:shd w:val="clear" w:color="auto" w:fill="auto"/>
                  <w:vAlign w:val="center"/>
                </w:tcPr>
                <w:p w14:paraId="3A621A11">
                  <w:pPr>
                    <w:widowControl/>
                    <w:jc w:val="center"/>
                    <w:rPr>
                      <w:color w:val="000000"/>
                      <w:kern w:val="0"/>
                      <w:szCs w:val="21"/>
                    </w:rPr>
                  </w:pPr>
                  <w:r>
                    <w:rPr>
                      <w:color w:val="000000"/>
                      <w:kern w:val="0"/>
                      <w:szCs w:val="21"/>
                    </w:rPr>
                    <w:t>3.9</w:t>
                  </w:r>
                </w:p>
              </w:tc>
              <w:tc>
                <w:tcPr>
                  <w:tcW w:w="945" w:type="dxa"/>
                  <w:shd w:val="clear" w:color="auto" w:fill="auto"/>
                  <w:vAlign w:val="center"/>
                </w:tcPr>
                <w:p w14:paraId="6233E6B9">
                  <w:pPr>
                    <w:widowControl/>
                    <w:jc w:val="center"/>
                    <w:rPr>
                      <w:color w:val="000000"/>
                      <w:kern w:val="0"/>
                      <w:szCs w:val="21"/>
                    </w:rPr>
                  </w:pPr>
                  <w:r>
                    <w:rPr>
                      <w:color w:val="000000"/>
                      <w:kern w:val="0"/>
                      <w:szCs w:val="21"/>
                    </w:rPr>
                    <w:t>0.065</w:t>
                  </w:r>
                </w:p>
              </w:tc>
              <w:tc>
                <w:tcPr>
                  <w:tcW w:w="1086" w:type="dxa"/>
                  <w:shd w:val="clear" w:color="auto" w:fill="auto"/>
                  <w:vAlign w:val="center"/>
                </w:tcPr>
                <w:p w14:paraId="518E2AD1">
                  <w:pPr>
                    <w:jc w:val="center"/>
                  </w:pPr>
                  <w:r>
                    <w:rPr>
                      <w:bCs/>
                      <w:color w:val="000000"/>
                      <w:kern w:val="0"/>
                      <w:szCs w:val="21"/>
                    </w:rPr>
                    <w:t>t/a</w:t>
                  </w:r>
                </w:p>
              </w:tc>
              <w:tc>
                <w:tcPr>
                  <w:tcW w:w="1324" w:type="dxa"/>
                  <w:shd w:val="clear" w:color="auto" w:fill="auto"/>
                  <w:noWrap/>
                  <w:vAlign w:val="center"/>
                </w:tcPr>
                <w:p w14:paraId="0D5DF571">
                  <w:pPr>
                    <w:widowControl/>
                    <w:jc w:val="center"/>
                    <w:rPr>
                      <w:color w:val="000000"/>
                      <w:kern w:val="0"/>
                      <w:szCs w:val="21"/>
                    </w:rPr>
                  </w:pPr>
                  <w:r>
                    <w:rPr>
                      <w:color w:val="000000"/>
                      <w:kern w:val="0"/>
                      <w:szCs w:val="21"/>
                    </w:rPr>
                    <w:t>/</w:t>
                  </w:r>
                </w:p>
              </w:tc>
              <w:tc>
                <w:tcPr>
                  <w:tcW w:w="1095" w:type="dxa"/>
                  <w:shd w:val="clear" w:color="auto" w:fill="auto"/>
                  <w:vAlign w:val="center"/>
                </w:tcPr>
                <w:p w14:paraId="3C28D1E9">
                  <w:pPr>
                    <w:widowControl/>
                    <w:jc w:val="center"/>
                    <w:rPr>
                      <w:color w:val="000000"/>
                      <w:kern w:val="0"/>
                      <w:szCs w:val="21"/>
                    </w:rPr>
                  </w:pPr>
                  <w:r>
                    <w:rPr>
                      <w:color w:val="000000"/>
                      <w:kern w:val="0"/>
                      <w:szCs w:val="21"/>
                    </w:rPr>
                    <w:t>仓库</w:t>
                  </w:r>
                </w:p>
              </w:tc>
              <w:tc>
                <w:tcPr>
                  <w:tcW w:w="1391" w:type="dxa"/>
                  <w:shd w:val="clear" w:color="auto" w:fill="auto"/>
                  <w:noWrap/>
                  <w:vAlign w:val="center"/>
                </w:tcPr>
                <w:p w14:paraId="6489AB26">
                  <w:pPr>
                    <w:widowControl/>
                    <w:jc w:val="center"/>
                    <w:rPr>
                      <w:color w:val="000000"/>
                      <w:kern w:val="0"/>
                      <w:szCs w:val="21"/>
                    </w:rPr>
                  </w:pPr>
                </w:p>
              </w:tc>
            </w:tr>
            <w:tr w14:paraId="3B07AAD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23" w:type="dxa"/>
                  <w:shd w:val="clear" w:color="auto" w:fill="auto"/>
                  <w:noWrap/>
                  <w:vAlign w:val="center"/>
                </w:tcPr>
                <w:p w14:paraId="40804E21">
                  <w:pPr>
                    <w:jc w:val="center"/>
                    <w:rPr>
                      <w:color w:val="FF0000"/>
                      <w:szCs w:val="21"/>
                    </w:rPr>
                  </w:pPr>
                  <w:r>
                    <w:rPr>
                      <w:rFonts w:hint="eastAsia"/>
                      <w:szCs w:val="21"/>
                    </w:rPr>
                    <w:t>食品添加剂</w:t>
                  </w:r>
                </w:p>
              </w:tc>
              <w:tc>
                <w:tcPr>
                  <w:tcW w:w="893" w:type="dxa"/>
                  <w:shd w:val="clear" w:color="auto" w:fill="auto"/>
                  <w:vAlign w:val="center"/>
                </w:tcPr>
                <w:p w14:paraId="6CC8C567">
                  <w:pPr>
                    <w:widowControl/>
                    <w:jc w:val="center"/>
                    <w:rPr>
                      <w:kern w:val="0"/>
                      <w:szCs w:val="21"/>
                    </w:rPr>
                  </w:pPr>
                  <w:r>
                    <w:rPr>
                      <w:rFonts w:hint="eastAsia"/>
                      <w:kern w:val="0"/>
                      <w:szCs w:val="21"/>
                    </w:rPr>
                    <w:t>0.5</w:t>
                  </w:r>
                </w:p>
              </w:tc>
              <w:tc>
                <w:tcPr>
                  <w:tcW w:w="945" w:type="dxa"/>
                  <w:shd w:val="clear" w:color="auto" w:fill="auto"/>
                  <w:vAlign w:val="center"/>
                </w:tcPr>
                <w:p w14:paraId="3929600F">
                  <w:pPr>
                    <w:widowControl/>
                    <w:jc w:val="center"/>
                    <w:rPr>
                      <w:kern w:val="0"/>
                      <w:szCs w:val="21"/>
                    </w:rPr>
                  </w:pPr>
                  <w:r>
                    <w:rPr>
                      <w:rFonts w:hint="eastAsia"/>
                      <w:kern w:val="0"/>
                      <w:szCs w:val="21"/>
                    </w:rPr>
                    <w:t>0.5</w:t>
                  </w:r>
                </w:p>
              </w:tc>
              <w:tc>
                <w:tcPr>
                  <w:tcW w:w="1086" w:type="dxa"/>
                  <w:shd w:val="clear" w:color="auto" w:fill="auto"/>
                  <w:vAlign w:val="center"/>
                </w:tcPr>
                <w:p w14:paraId="681EBAC3">
                  <w:pPr>
                    <w:jc w:val="center"/>
                  </w:pPr>
                  <w:r>
                    <w:rPr>
                      <w:rFonts w:hint="eastAsia"/>
                      <w:color w:val="000000"/>
                      <w:kern w:val="0"/>
                      <w:szCs w:val="21"/>
                    </w:rPr>
                    <w:t>t</w:t>
                  </w:r>
                  <w:r>
                    <w:rPr>
                      <w:color w:val="000000"/>
                      <w:kern w:val="0"/>
                      <w:szCs w:val="21"/>
                    </w:rPr>
                    <w:t>/a</w:t>
                  </w:r>
                </w:p>
              </w:tc>
              <w:tc>
                <w:tcPr>
                  <w:tcW w:w="1324" w:type="dxa"/>
                  <w:shd w:val="clear" w:color="auto" w:fill="auto"/>
                  <w:noWrap/>
                  <w:vAlign w:val="center"/>
                </w:tcPr>
                <w:p w14:paraId="116738CD">
                  <w:pPr>
                    <w:widowControl/>
                    <w:jc w:val="center"/>
                    <w:rPr>
                      <w:color w:val="000000"/>
                      <w:kern w:val="0"/>
                      <w:szCs w:val="21"/>
                    </w:rPr>
                  </w:pPr>
                  <w:r>
                    <w:rPr>
                      <w:rFonts w:hint="eastAsia"/>
                      <w:color w:val="000000"/>
                      <w:szCs w:val="21"/>
                    </w:rPr>
                    <w:t>/</w:t>
                  </w:r>
                </w:p>
              </w:tc>
              <w:tc>
                <w:tcPr>
                  <w:tcW w:w="1095" w:type="dxa"/>
                  <w:shd w:val="clear" w:color="auto" w:fill="auto"/>
                  <w:vAlign w:val="center"/>
                </w:tcPr>
                <w:p w14:paraId="69639B14">
                  <w:pPr>
                    <w:widowControl/>
                    <w:jc w:val="center"/>
                    <w:rPr>
                      <w:color w:val="000000"/>
                      <w:kern w:val="0"/>
                      <w:szCs w:val="21"/>
                    </w:rPr>
                  </w:pPr>
                  <w:r>
                    <w:rPr>
                      <w:rFonts w:hint="eastAsia"/>
                      <w:color w:val="000000"/>
                      <w:kern w:val="0"/>
                      <w:szCs w:val="21"/>
                    </w:rPr>
                    <w:t>仓库</w:t>
                  </w:r>
                </w:p>
              </w:tc>
              <w:tc>
                <w:tcPr>
                  <w:tcW w:w="1391" w:type="dxa"/>
                  <w:shd w:val="clear" w:color="auto" w:fill="auto"/>
                  <w:noWrap/>
                  <w:vAlign w:val="center"/>
                </w:tcPr>
                <w:p w14:paraId="3B50CDCA">
                  <w:pPr>
                    <w:widowControl/>
                    <w:jc w:val="center"/>
                    <w:rPr>
                      <w:color w:val="000000"/>
                      <w:kern w:val="0"/>
                      <w:szCs w:val="21"/>
                    </w:rPr>
                  </w:pPr>
                </w:p>
              </w:tc>
            </w:tr>
            <w:tr w14:paraId="58DF91B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PrEx>
              <w:trPr>
                <w:trHeight w:val="397" w:hRule="atLeast"/>
                <w:jc w:val="center"/>
              </w:trPr>
              <w:tc>
                <w:tcPr>
                  <w:tcW w:w="8557" w:type="dxa"/>
                  <w:gridSpan w:val="7"/>
                  <w:shd w:val="clear" w:color="auto" w:fill="auto"/>
                  <w:vAlign w:val="center"/>
                </w:tcPr>
                <w:p w14:paraId="46E3B5B6">
                  <w:pPr>
                    <w:widowControl/>
                    <w:jc w:val="center"/>
                    <w:rPr>
                      <w:color w:val="000000"/>
                      <w:kern w:val="0"/>
                      <w:szCs w:val="21"/>
                    </w:rPr>
                  </w:pPr>
                  <w:r>
                    <w:rPr>
                      <w:color w:val="000000"/>
                      <w:kern w:val="0"/>
                      <w:szCs w:val="21"/>
                    </w:rPr>
                    <w:t>能源消耗</w:t>
                  </w:r>
                </w:p>
              </w:tc>
            </w:tr>
            <w:tr w14:paraId="44E2A36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23" w:type="dxa"/>
                  <w:shd w:val="clear" w:color="auto" w:fill="auto"/>
                  <w:noWrap/>
                  <w:vAlign w:val="center"/>
                </w:tcPr>
                <w:p w14:paraId="7A53823A">
                  <w:pPr>
                    <w:widowControl/>
                    <w:jc w:val="center"/>
                    <w:rPr>
                      <w:color w:val="000000"/>
                      <w:kern w:val="0"/>
                      <w:szCs w:val="21"/>
                    </w:rPr>
                  </w:pPr>
                  <w:r>
                    <w:rPr>
                      <w:color w:val="000000"/>
                      <w:kern w:val="0"/>
                      <w:szCs w:val="21"/>
                    </w:rPr>
                    <w:t>水</w:t>
                  </w:r>
                </w:p>
              </w:tc>
              <w:tc>
                <w:tcPr>
                  <w:tcW w:w="893" w:type="dxa"/>
                  <w:shd w:val="clear" w:color="auto" w:fill="auto"/>
                  <w:vAlign w:val="center"/>
                </w:tcPr>
                <w:p w14:paraId="47BEE2AE">
                  <w:pPr>
                    <w:widowControl/>
                    <w:jc w:val="center"/>
                    <w:rPr>
                      <w:color w:val="000000"/>
                      <w:kern w:val="0"/>
                      <w:szCs w:val="21"/>
                    </w:rPr>
                  </w:pPr>
                  <w:r>
                    <w:rPr>
                      <w:color w:val="000000"/>
                      <w:kern w:val="0"/>
                      <w:sz w:val="20"/>
                      <w:szCs w:val="20"/>
                      <w:lang w:bidi="ar"/>
                    </w:rPr>
                    <w:t>99868.5</w:t>
                  </w:r>
                </w:p>
              </w:tc>
              <w:tc>
                <w:tcPr>
                  <w:tcW w:w="945" w:type="dxa"/>
                  <w:shd w:val="clear" w:color="auto" w:fill="auto"/>
                  <w:vAlign w:val="center"/>
                </w:tcPr>
                <w:p w14:paraId="54756202">
                  <w:pPr>
                    <w:widowControl/>
                    <w:jc w:val="center"/>
                    <w:rPr>
                      <w:color w:val="000000"/>
                      <w:kern w:val="0"/>
                      <w:szCs w:val="21"/>
                    </w:rPr>
                  </w:pPr>
                </w:p>
              </w:tc>
              <w:tc>
                <w:tcPr>
                  <w:tcW w:w="1086" w:type="dxa"/>
                  <w:shd w:val="clear" w:color="auto" w:fill="auto"/>
                  <w:vAlign w:val="center"/>
                </w:tcPr>
                <w:p w14:paraId="2D5F62A2">
                  <w:pPr>
                    <w:widowControl/>
                    <w:jc w:val="center"/>
                    <w:rPr>
                      <w:color w:val="000000"/>
                      <w:kern w:val="0"/>
                      <w:szCs w:val="21"/>
                    </w:rPr>
                  </w:pPr>
                  <w:r>
                    <w:rPr>
                      <w:color w:val="000000"/>
                      <w:kern w:val="0"/>
                      <w:szCs w:val="21"/>
                    </w:rPr>
                    <w:t>t/a</w:t>
                  </w:r>
                </w:p>
              </w:tc>
              <w:tc>
                <w:tcPr>
                  <w:tcW w:w="1324" w:type="dxa"/>
                  <w:shd w:val="clear" w:color="auto" w:fill="auto"/>
                  <w:noWrap/>
                  <w:vAlign w:val="center"/>
                </w:tcPr>
                <w:p w14:paraId="6F22A3E8">
                  <w:pPr>
                    <w:widowControl/>
                    <w:jc w:val="center"/>
                    <w:rPr>
                      <w:color w:val="000000"/>
                      <w:kern w:val="0"/>
                      <w:szCs w:val="21"/>
                    </w:rPr>
                  </w:pPr>
                </w:p>
              </w:tc>
              <w:tc>
                <w:tcPr>
                  <w:tcW w:w="1095" w:type="dxa"/>
                  <w:shd w:val="clear" w:color="auto" w:fill="auto"/>
                  <w:vAlign w:val="center"/>
                </w:tcPr>
                <w:p w14:paraId="08C17E9D">
                  <w:pPr>
                    <w:widowControl/>
                    <w:jc w:val="center"/>
                    <w:rPr>
                      <w:color w:val="000000"/>
                      <w:kern w:val="0"/>
                      <w:szCs w:val="21"/>
                    </w:rPr>
                  </w:pPr>
                </w:p>
              </w:tc>
              <w:tc>
                <w:tcPr>
                  <w:tcW w:w="1391" w:type="dxa"/>
                  <w:shd w:val="clear" w:color="auto" w:fill="auto"/>
                  <w:noWrap/>
                  <w:vAlign w:val="center"/>
                </w:tcPr>
                <w:p w14:paraId="4814B5E1">
                  <w:pPr>
                    <w:widowControl/>
                    <w:jc w:val="center"/>
                    <w:rPr>
                      <w:color w:val="000000"/>
                      <w:kern w:val="0"/>
                      <w:szCs w:val="21"/>
                    </w:rPr>
                  </w:pPr>
                </w:p>
              </w:tc>
            </w:tr>
            <w:tr w14:paraId="32EC551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23" w:type="dxa"/>
                  <w:shd w:val="clear" w:color="auto" w:fill="auto"/>
                  <w:noWrap/>
                  <w:vAlign w:val="center"/>
                </w:tcPr>
                <w:p w14:paraId="7DF96A11">
                  <w:pPr>
                    <w:widowControl/>
                    <w:jc w:val="center"/>
                    <w:rPr>
                      <w:color w:val="000000"/>
                      <w:kern w:val="0"/>
                      <w:szCs w:val="21"/>
                    </w:rPr>
                  </w:pPr>
                  <w:r>
                    <w:rPr>
                      <w:color w:val="000000"/>
                      <w:kern w:val="0"/>
                      <w:szCs w:val="21"/>
                    </w:rPr>
                    <w:t>电</w:t>
                  </w:r>
                </w:p>
              </w:tc>
              <w:tc>
                <w:tcPr>
                  <w:tcW w:w="893" w:type="dxa"/>
                  <w:shd w:val="clear" w:color="auto" w:fill="auto"/>
                  <w:vAlign w:val="center"/>
                </w:tcPr>
                <w:p w14:paraId="1088D312">
                  <w:pPr>
                    <w:widowControl/>
                    <w:jc w:val="center"/>
                    <w:rPr>
                      <w:color w:val="000000"/>
                      <w:kern w:val="0"/>
                      <w:szCs w:val="21"/>
                    </w:rPr>
                  </w:pPr>
                  <w:r>
                    <w:rPr>
                      <w:color w:val="000000"/>
                      <w:kern w:val="0"/>
                      <w:szCs w:val="21"/>
                    </w:rPr>
                    <w:t>60</w:t>
                  </w:r>
                  <w:r>
                    <w:rPr>
                      <w:color w:val="000000"/>
                      <w:szCs w:val="21"/>
                    </w:rPr>
                    <w:t>万kW·h/a</w:t>
                  </w:r>
                </w:p>
              </w:tc>
              <w:tc>
                <w:tcPr>
                  <w:tcW w:w="945" w:type="dxa"/>
                  <w:shd w:val="clear" w:color="auto" w:fill="auto"/>
                  <w:vAlign w:val="center"/>
                </w:tcPr>
                <w:p w14:paraId="26F659E2">
                  <w:pPr>
                    <w:widowControl/>
                    <w:jc w:val="center"/>
                    <w:rPr>
                      <w:color w:val="000000"/>
                      <w:kern w:val="0"/>
                      <w:szCs w:val="21"/>
                    </w:rPr>
                  </w:pPr>
                  <w:r>
                    <w:rPr>
                      <w:color w:val="000000"/>
                      <w:kern w:val="0"/>
                      <w:szCs w:val="21"/>
                    </w:rPr>
                    <w:t>/</w:t>
                  </w:r>
                </w:p>
              </w:tc>
              <w:tc>
                <w:tcPr>
                  <w:tcW w:w="1086" w:type="dxa"/>
                  <w:shd w:val="clear" w:color="auto" w:fill="auto"/>
                  <w:vAlign w:val="center"/>
                </w:tcPr>
                <w:p w14:paraId="2DFA76E8">
                  <w:pPr>
                    <w:widowControl/>
                    <w:jc w:val="center"/>
                    <w:rPr>
                      <w:color w:val="000000"/>
                      <w:kern w:val="0"/>
                      <w:szCs w:val="21"/>
                    </w:rPr>
                  </w:pPr>
                </w:p>
              </w:tc>
              <w:tc>
                <w:tcPr>
                  <w:tcW w:w="1324" w:type="dxa"/>
                  <w:shd w:val="clear" w:color="auto" w:fill="auto"/>
                  <w:noWrap/>
                  <w:vAlign w:val="center"/>
                </w:tcPr>
                <w:p w14:paraId="7661B098">
                  <w:pPr>
                    <w:widowControl/>
                    <w:jc w:val="center"/>
                    <w:rPr>
                      <w:color w:val="000000"/>
                      <w:kern w:val="0"/>
                      <w:szCs w:val="21"/>
                    </w:rPr>
                  </w:pPr>
                  <w:r>
                    <w:rPr>
                      <w:color w:val="000000"/>
                      <w:kern w:val="0"/>
                      <w:szCs w:val="21"/>
                    </w:rPr>
                    <w:t>/</w:t>
                  </w:r>
                </w:p>
              </w:tc>
              <w:tc>
                <w:tcPr>
                  <w:tcW w:w="1095" w:type="dxa"/>
                  <w:shd w:val="clear" w:color="auto" w:fill="auto"/>
                  <w:vAlign w:val="center"/>
                </w:tcPr>
                <w:p w14:paraId="09A61354">
                  <w:pPr>
                    <w:widowControl/>
                    <w:jc w:val="center"/>
                    <w:rPr>
                      <w:color w:val="000000"/>
                      <w:kern w:val="0"/>
                      <w:szCs w:val="21"/>
                    </w:rPr>
                  </w:pPr>
                  <w:r>
                    <w:rPr>
                      <w:color w:val="000000"/>
                      <w:kern w:val="0"/>
                      <w:szCs w:val="21"/>
                    </w:rPr>
                    <w:t>/</w:t>
                  </w:r>
                </w:p>
              </w:tc>
              <w:tc>
                <w:tcPr>
                  <w:tcW w:w="1391" w:type="dxa"/>
                  <w:shd w:val="clear" w:color="auto" w:fill="auto"/>
                  <w:noWrap/>
                  <w:vAlign w:val="center"/>
                </w:tcPr>
                <w:p w14:paraId="3B572D0B">
                  <w:pPr>
                    <w:widowControl/>
                    <w:jc w:val="center"/>
                    <w:rPr>
                      <w:color w:val="000000"/>
                      <w:kern w:val="0"/>
                      <w:szCs w:val="21"/>
                    </w:rPr>
                  </w:pPr>
                </w:p>
              </w:tc>
            </w:tr>
            <w:tr w14:paraId="748123D7">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23" w:type="dxa"/>
                  <w:shd w:val="clear" w:color="auto" w:fill="auto"/>
                  <w:noWrap/>
                  <w:vAlign w:val="center"/>
                </w:tcPr>
                <w:p w14:paraId="1E0F574D">
                  <w:pPr>
                    <w:widowControl/>
                    <w:jc w:val="center"/>
                    <w:rPr>
                      <w:color w:val="000000"/>
                      <w:kern w:val="0"/>
                      <w:szCs w:val="21"/>
                      <w:u w:val="single"/>
                    </w:rPr>
                  </w:pPr>
                  <w:r>
                    <w:rPr>
                      <w:rFonts w:hint="eastAsia"/>
                      <w:color w:val="000000"/>
                      <w:kern w:val="0"/>
                      <w:szCs w:val="21"/>
                      <w:u w:val="single"/>
                    </w:rPr>
                    <w:t>散型</w:t>
                  </w:r>
                  <w:r>
                    <w:rPr>
                      <w:color w:val="000000"/>
                      <w:kern w:val="0"/>
                      <w:szCs w:val="21"/>
                      <w:u w:val="single"/>
                    </w:rPr>
                    <w:t>生物质</w:t>
                  </w:r>
                </w:p>
              </w:tc>
              <w:tc>
                <w:tcPr>
                  <w:tcW w:w="893" w:type="dxa"/>
                  <w:shd w:val="clear" w:color="auto" w:fill="auto"/>
                  <w:vAlign w:val="center"/>
                </w:tcPr>
                <w:p w14:paraId="1AA15934">
                  <w:pPr>
                    <w:widowControl/>
                    <w:jc w:val="center"/>
                    <w:rPr>
                      <w:color w:val="000000"/>
                      <w:kern w:val="0"/>
                      <w:szCs w:val="21"/>
                      <w:u w:val="single"/>
                    </w:rPr>
                  </w:pPr>
                  <w:r>
                    <w:rPr>
                      <w:color w:val="000000"/>
                      <w:kern w:val="0"/>
                      <w:szCs w:val="21"/>
                      <w:u w:val="single"/>
                    </w:rPr>
                    <w:t>3600</w:t>
                  </w:r>
                </w:p>
              </w:tc>
              <w:tc>
                <w:tcPr>
                  <w:tcW w:w="945" w:type="dxa"/>
                  <w:shd w:val="clear" w:color="auto" w:fill="auto"/>
                  <w:vAlign w:val="center"/>
                </w:tcPr>
                <w:p w14:paraId="015826DD">
                  <w:pPr>
                    <w:widowControl/>
                    <w:jc w:val="center"/>
                    <w:rPr>
                      <w:color w:val="000000"/>
                      <w:kern w:val="0"/>
                      <w:szCs w:val="21"/>
                      <w:u w:val="single"/>
                    </w:rPr>
                  </w:pPr>
                  <w:r>
                    <w:rPr>
                      <w:rFonts w:hint="eastAsia"/>
                      <w:color w:val="000000"/>
                      <w:kern w:val="0"/>
                      <w:szCs w:val="21"/>
                      <w:u w:val="single"/>
                    </w:rPr>
                    <w:t>50</w:t>
                  </w:r>
                </w:p>
              </w:tc>
              <w:tc>
                <w:tcPr>
                  <w:tcW w:w="1086" w:type="dxa"/>
                  <w:shd w:val="clear" w:color="auto" w:fill="auto"/>
                  <w:vAlign w:val="center"/>
                </w:tcPr>
                <w:p w14:paraId="1CD418C5">
                  <w:pPr>
                    <w:widowControl/>
                    <w:jc w:val="center"/>
                    <w:rPr>
                      <w:color w:val="000000"/>
                      <w:kern w:val="0"/>
                      <w:szCs w:val="21"/>
                      <w:u w:val="single"/>
                    </w:rPr>
                  </w:pPr>
                  <w:r>
                    <w:rPr>
                      <w:color w:val="000000"/>
                      <w:kern w:val="0"/>
                      <w:szCs w:val="21"/>
                      <w:u w:val="single"/>
                    </w:rPr>
                    <w:t>t/a</w:t>
                  </w:r>
                </w:p>
              </w:tc>
              <w:tc>
                <w:tcPr>
                  <w:tcW w:w="1324" w:type="dxa"/>
                  <w:shd w:val="clear" w:color="auto" w:fill="auto"/>
                  <w:noWrap/>
                  <w:vAlign w:val="center"/>
                </w:tcPr>
                <w:p w14:paraId="06CAC4C8">
                  <w:pPr>
                    <w:widowControl/>
                    <w:jc w:val="center"/>
                    <w:rPr>
                      <w:color w:val="000000"/>
                      <w:kern w:val="0"/>
                      <w:szCs w:val="21"/>
                      <w:u w:val="single"/>
                    </w:rPr>
                  </w:pPr>
                  <w:r>
                    <w:rPr>
                      <w:color w:val="000000"/>
                      <w:kern w:val="0"/>
                      <w:szCs w:val="21"/>
                      <w:u w:val="single"/>
                    </w:rPr>
                    <w:t>/</w:t>
                  </w:r>
                </w:p>
              </w:tc>
              <w:tc>
                <w:tcPr>
                  <w:tcW w:w="1095" w:type="dxa"/>
                  <w:shd w:val="clear" w:color="auto" w:fill="auto"/>
                  <w:vAlign w:val="center"/>
                </w:tcPr>
                <w:p w14:paraId="60D582F6">
                  <w:pPr>
                    <w:widowControl/>
                    <w:jc w:val="center"/>
                    <w:rPr>
                      <w:color w:val="000000"/>
                      <w:kern w:val="0"/>
                      <w:szCs w:val="21"/>
                      <w:u w:val="single"/>
                    </w:rPr>
                  </w:pPr>
                  <w:r>
                    <w:rPr>
                      <w:color w:val="000000"/>
                      <w:kern w:val="0"/>
                      <w:szCs w:val="21"/>
                      <w:u w:val="single"/>
                    </w:rPr>
                    <w:t>仓库</w:t>
                  </w:r>
                </w:p>
              </w:tc>
              <w:tc>
                <w:tcPr>
                  <w:tcW w:w="1391" w:type="dxa"/>
                  <w:shd w:val="clear" w:color="auto" w:fill="auto"/>
                  <w:noWrap/>
                  <w:vAlign w:val="center"/>
                </w:tcPr>
                <w:p w14:paraId="6B778DC0">
                  <w:pPr>
                    <w:widowControl/>
                    <w:jc w:val="center"/>
                    <w:rPr>
                      <w:color w:val="000000"/>
                      <w:kern w:val="0"/>
                      <w:szCs w:val="21"/>
                      <w:u w:val="single"/>
                    </w:rPr>
                  </w:pPr>
                  <w:r>
                    <w:rPr>
                      <w:color w:val="000000"/>
                      <w:kern w:val="0"/>
                      <w:szCs w:val="21"/>
                      <w:u w:val="single"/>
                    </w:rPr>
                    <w:t>外购</w:t>
                  </w:r>
                </w:p>
              </w:tc>
            </w:tr>
            <w:tr w14:paraId="652614A0">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23" w:type="dxa"/>
                  <w:shd w:val="clear" w:color="auto" w:fill="auto"/>
                  <w:noWrap/>
                  <w:vAlign w:val="center"/>
                </w:tcPr>
                <w:p w14:paraId="13FBE1D5">
                  <w:pPr>
                    <w:widowControl/>
                    <w:jc w:val="center"/>
                    <w:rPr>
                      <w:color w:val="000000"/>
                      <w:kern w:val="0"/>
                      <w:szCs w:val="21"/>
                    </w:rPr>
                  </w:pPr>
                  <w:r>
                    <w:rPr>
                      <w:color w:val="000000"/>
                      <w:kern w:val="0"/>
                      <w:szCs w:val="21"/>
                    </w:rPr>
                    <w:t>制冷剂</w:t>
                  </w:r>
                </w:p>
              </w:tc>
              <w:tc>
                <w:tcPr>
                  <w:tcW w:w="893" w:type="dxa"/>
                  <w:shd w:val="clear" w:color="auto" w:fill="auto"/>
                  <w:vAlign w:val="center"/>
                </w:tcPr>
                <w:p w14:paraId="3E19F385">
                  <w:pPr>
                    <w:widowControl/>
                    <w:jc w:val="center"/>
                    <w:rPr>
                      <w:color w:val="000000"/>
                      <w:kern w:val="0"/>
                      <w:szCs w:val="21"/>
                    </w:rPr>
                  </w:pPr>
                  <w:r>
                    <w:rPr>
                      <w:color w:val="000000"/>
                      <w:kern w:val="0"/>
                      <w:szCs w:val="21"/>
                    </w:rPr>
                    <w:t>2</w:t>
                  </w:r>
                </w:p>
              </w:tc>
              <w:tc>
                <w:tcPr>
                  <w:tcW w:w="945" w:type="dxa"/>
                  <w:shd w:val="clear" w:color="auto" w:fill="auto"/>
                  <w:vAlign w:val="center"/>
                </w:tcPr>
                <w:p w14:paraId="5BCE3DF2">
                  <w:pPr>
                    <w:widowControl/>
                    <w:jc w:val="center"/>
                    <w:rPr>
                      <w:color w:val="000000"/>
                      <w:kern w:val="0"/>
                      <w:szCs w:val="21"/>
                    </w:rPr>
                  </w:pPr>
                  <w:r>
                    <w:rPr>
                      <w:rFonts w:hint="eastAsia"/>
                      <w:color w:val="000000"/>
                      <w:kern w:val="0"/>
                      <w:szCs w:val="21"/>
                    </w:rPr>
                    <w:t>/</w:t>
                  </w:r>
                </w:p>
              </w:tc>
              <w:tc>
                <w:tcPr>
                  <w:tcW w:w="1086" w:type="dxa"/>
                  <w:shd w:val="clear" w:color="auto" w:fill="auto"/>
                  <w:vAlign w:val="center"/>
                </w:tcPr>
                <w:p w14:paraId="5C1E04F4">
                  <w:pPr>
                    <w:widowControl/>
                    <w:jc w:val="center"/>
                    <w:rPr>
                      <w:color w:val="000000"/>
                      <w:kern w:val="0"/>
                      <w:szCs w:val="21"/>
                    </w:rPr>
                  </w:pPr>
                  <w:r>
                    <w:rPr>
                      <w:color w:val="000000"/>
                      <w:kern w:val="0"/>
                      <w:szCs w:val="21"/>
                    </w:rPr>
                    <w:t>t/a</w:t>
                  </w:r>
                </w:p>
              </w:tc>
              <w:tc>
                <w:tcPr>
                  <w:tcW w:w="1324" w:type="dxa"/>
                  <w:shd w:val="clear" w:color="auto" w:fill="auto"/>
                  <w:noWrap/>
                  <w:vAlign w:val="center"/>
                </w:tcPr>
                <w:p w14:paraId="2F506470">
                  <w:pPr>
                    <w:widowControl/>
                    <w:jc w:val="center"/>
                    <w:rPr>
                      <w:color w:val="000000"/>
                      <w:kern w:val="0"/>
                      <w:szCs w:val="21"/>
                    </w:rPr>
                  </w:pPr>
                  <w:r>
                    <w:rPr>
                      <w:color w:val="000000"/>
                      <w:kern w:val="0"/>
                      <w:szCs w:val="21"/>
                    </w:rPr>
                    <w:t>/</w:t>
                  </w:r>
                </w:p>
              </w:tc>
              <w:tc>
                <w:tcPr>
                  <w:tcW w:w="1095" w:type="dxa"/>
                  <w:shd w:val="clear" w:color="auto" w:fill="auto"/>
                  <w:vAlign w:val="center"/>
                </w:tcPr>
                <w:p w14:paraId="3A99C16F">
                  <w:pPr>
                    <w:widowControl/>
                    <w:jc w:val="center"/>
                    <w:rPr>
                      <w:color w:val="000000"/>
                      <w:kern w:val="0"/>
                      <w:szCs w:val="21"/>
                    </w:rPr>
                  </w:pPr>
                  <w:r>
                    <w:rPr>
                      <w:bCs/>
                      <w:kern w:val="0"/>
                      <w:szCs w:val="21"/>
                    </w:rPr>
                    <w:t>供应商</w:t>
                  </w:r>
                </w:p>
              </w:tc>
              <w:tc>
                <w:tcPr>
                  <w:tcW w:w="1391" w:type="dxa"/>
                  <w:shd w:val="clear" w:color="auto" w:fill="auto"/>
                  <w:noWrap/>
                  <w:vAlign w:val="center"/>
                </w:tcPr>
                <w:p w14:paraId="2146FCBB">
                  <w:pPr>
                    <w:widowControl/>
                    <w:jc w:val="center"/>
                    <w:rPr>
                      <w:color w:val="000000"/>
                      <w:kern w:val="0"/>
                      <w:szCs w:val="21"/>
                    </w:rPr>
                  </w:pPr>
                  <w:r>
                    <w:rPr>
                      <w:bCs/>
                      <w:szCs w:val="21"/>
                    </w:rPr>
                    <w:t>R507a</w:t>
                  </w:r>
                </w:p>
              </w:tc>
            </w:tr>
            <w:bookmarkEnd w:id="15"/>
          </w:tbl>
          <w:p w14:paraId="731DAC2D">
            <w:pPr>
              <w:adjustRightInd w:val="0"/>
              <w:snapToGrid w:val="0"/>
              <w:spacing w:line="360" w:lineRule="auto"/>
              <w:ind w:firstLine="480" w:firstLineChars="200"/>
              <w:rPr>
                <w:sz w:val="24"/>
                <w:szCs w:val="24"/>
              </w:rPr>
            </w:pPr>
            <w:bookmarkStart w:id="16" w:name="_Hlk135043936"/>
            <w:r>
              <w:rPr>
                <w:sz w:val="24"/>
                <w:szCs w:val="24"/>
              </w:rPr>
              <w:t>本项目主要原辅材料理化性质详见下表。</w:t>
            </w:r>
          </w:p>
          <w:p w14:paraId="719A5356">
            <w:pPr>
              <w:spacing w:line="360" w:lineRule="auto"/>
              <w:jc w:val="center"/>
              <w:rPr>
                <w:b/>
                <w:bCs/>
                <w:kern w:val="0"/>
                <w:sz w:val="24"/>
                <w:szCs w:val="24"/>
              </w:rPr>
            </w:pPr>
            <w:r>
              <w:rPr>
                <w:b/>
                <w:bCs/>
                <w:kern w:val="0"/>
                <w:sz w:val="24"/>
                <w:szCs w:val="24"/>
              </w:rPr>
              <w:t>表2-</w:t>
            </w:r>
            <w:r>
              <w:rPr>
                <w:rFonts w:hint="eastAsia"/>
                <w:b/>
                <w:bCs/>
                <w:kern w:val="0"/>
                <w:sz w:val="24"/>
                <w:szCs w:val="24"/>
              </w:rPr>
              <w:t>5</w:t>
            </w:r>
            <w:r>
              <w:rPr>
                <w:b/>
                <w:bCs/>
                <w:kern w:val="0"/>
                <w:sz w:val="24"/>
                <w:szCs w:val="24"/>
              </w:rPr>
              <w:t xml:space="preserve">  主要原辅材料理化性质一览表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7"/>
              <w:gridCol w:w="873"/>
              <w:gridCol w:w="6941"/>
            </w:tblGrid>
            <w:tr w14:paraId="1A6103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2" w:type="pct"/>
                  <w:vAlign w:val="center"/>
                </w:tcPr>
                <w:p w14:paraId="097CB7CE">
                  <w:pPr>
                    <w:jc w:val="center"/>
                    <w:rPr>
                      <w:b/>
                      <w:szCs w:val="21"/>
                    </w:rPr>
                  </w:pPr>
                  <w:r>
                    <w:rPr>
                      <w:b/>
                      <w:szCs w:val="21"/>
                    </w:rPr>
                    <w:t>序号</w:t>
                  </w:r>
                </w:p>
              </w:tc>
              <w:tc>
                <w:tcPr>
                  <w:tcW w:w="516" w:type="pct"/>
                  <w:vAlign w:val="center"/>
                </w:tcPr>
                <w:p w14:paraId="5E8E231F">
                  <w:pPr>
                    <w:jc w:val="center"/>
                    <w:rPr>
                      <w:b/>
                      <w:szCs w:val="21"/>
                    </w:rPr>
                  </w:pPr>
                  <w:r>
                    <w:rPr>
                      <w:b/>
                      <w:szCs w:val="21"/>
                    </w:rPr>
                    <w:t>名称</w:t>
                  </w:r>
                </w:p>
              </w:tc>
              <w:tc>
                <w:tcPr>
                  <w:tcW w:w="4102" w:type="pct"/>
                  <w:vAlign w:val="center"/>
                </w:tcPr>
                <w:p w14:paraId="014DF3C6">
                  <w:pPr>
                    <w:jc w:val="center"/>
                    <w:rPr>
                      <w:b/>
                      <w:szCs w:val="21"/>
                    </w:rPr>
                  </w:pPr>
                  <w:r>
                    <w:rPr>
                      <w:b/>
                      <w:szCs w:val="21"/>
                    </w:rPr>
                    <w:t>理化性质</w:t>
                  </w:r>
                </w:p>
              </w:tc>
            </w:tr>
            <w:tr w14:paraId="5E4DE3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2" w:type="pct"/>
                  <w:vAlign w:val="center"/>
                </w:tcPr>
                <w:p w14:paraId="5690BA86">
                  <w:pPr>
                    <w:jc w:val="center"/>
                    <w:rPr>
                      <w:bCs/>
                      <w:szCs w:val="21"/>
                    </w:rPr>
                  </w:pPr>
                  <w:r>
                    <w:rPr>
                      <w:bCs/>
                      <w:szCs w:val="21"/>
                    </w:rPr>
                    <w:t>1</w:t>
                  </w:r>
                </w:p>
              </w:tc>
              <w:tc>
                <w:tcPr>
                  <w:tcW w:w="516" w:type="pct"/>
                  <w:vAlign w:val="center"/>
                </w:tcPr>
                <w:p w14:paraId="0C97DF20">
                  <w:pPr>
                    <w:jc w:val="center"/>
                    <w:rPr>
                      <w:bCs/>
                      <w:szCs w:val="21"/>
                    </w:rPr>
                  </w:pPr>
                  <w:r>
                    <w:rPr>
                      <w:bCs/>
                      <w:szCs w:val="21"/>
                    </w:rPr>
                    <w:t>制冷剂R507a</w:t>
                  </w:r>
                </w:p>
              </w:tc>
              <w:tc>
                <w:tcPr>
                  <w:tcW w:w="4102" w:type="pct"/>
                  <w:vAlign w:val="center"/>
                </w:tcPr>
                <w:p w14:paraId="43F66951">
                  <w:pPr>
                    <w:jc w:val="center"/>
                    <w:rPr>
                      <w:bCs/>
                      <w:szCs w:val="21"/>
                    </w:rPr>
                  </w:pPr>
                  <w:r>
                    <w:rPr>
                      <w:bCs/>
                      <w:szCs w:val="21"/>
                    </w:rPr>
                    <w:t>R507a，又称五氟乙烷，由R125，R143a混合组成，分子量为98.86，标准沸点-47.1℃，临界温度70.51℃，临界压力3.70MPa，临界密度487.82kg/m3，在常温下为无色气体，在自身压力下为无色透明液体，是 R-502 制冷剂的长期替代品，ODP 值为零，不含任何破坏臭氧层的物质。R507A 作为当今广泛使用的低温制冷剂，常应用于冷库、食品冷冻设备、船用制冷设备、工业低温制冷、商业低温制冷、冷藏车、冷冻冷凝机组、超市陈列展示柜等制冷设备。该制冷剂属于《关于发布&lt;消耗臭氧层物质(ODS)替代品推荐目录(修订)&gt;的公告》（环函[2007]185 号）中推荐的制冷剂种类。</w:t>
                  </w:r>
                </w:p>
              </w:tc>
            </w:tr>
          </w:tbl>
          <w:p w14:paraId="42026C67">
            <w:pPr>
              <w:adjustRightInd w:val="0"/>
              <w:snapToGrid w:val="0"/>
              <w:spacing w:line="360" w:lineRule="auto"/>
              <w:jc w:val="center"/>
              <w:rPr>
                <w:b/>
                <w:sz w:val="24"/>
                <w:szCs w:val="24"/>
              </w:rPr>
            </w:pPr>
            <w:r>
              <w:rPr>
                <w:b/>
                <w:bCs/>
                <w:sz w:val="24"/>
                <w:szCs w:val="28"/>
              </w:rPr>
              <w:t>表2-</w:t>
            </w:r>
            <w:r>
              <w:rPr>
                <w:rFonts w:hint="eastAsia"/>
                <w:b/>
                <w:bCs/>
                <w:sz w:val="24"/>
                <w:szCs w:val="28"/>
              </w:rPr>
              <w:t>6</w:t>
            </w:r>
            <w:r>
              <w:t xml:space="preserve">  </w:t>
            </w:r>
            <w:r>
              <w:rPr>
                <w:b/>
                <w:sz w:val="24"/>
                <w:szCs w:val="24"/>
              </w:rPr>
              <w:t>制冷剂物理特性</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15"/>
              <w:gridCol w:w="2115"/>
              <w:gridCol w:w="2115"/>
              <w:gridCol w:w="2116"/>
            </w:tblGrid>
            <w:tr w14:paraId="52241B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78" w:type="dxa"/>
                  <w:vAlign w:val="center"/>
                </w:tcPr>
                <w:p w14:paraId="7AB94CA5">
                  <w:pPr>
                    <w:adjustRightInd w:val="0"/>
                    <w:snapToGrid w:val="0"/>
                    <w:jc w:val="center"/>
                    <w:rPr>
                      <w:b/>
                      <w:szCs w:val="21"/>
                    </w:rPr>
                  </w:pPr>
                  <w:r>
                    <w:rPr>
                      <w:b/>
                      <w:szCs w:val="21"/>
                    </w:rPr>
                    <w:t>序号</w:t>
                  </w:r>
                </w:p>
              </w:tc>
              <w:tc>
                <w:tcPr>
                  <w:tcW w:w="2178" w:type="dxa"/>
                  <w:vAlign w:val="center"/>
                </w:tcPr>
                <w:p w14:paraId="7009428B">
                  <w:pPr>
                    <w:adjustRightInd w:val="0"/>
                    <w:snapToGrid w:val="0"/>
                    <w:jc w:val="center"/>
                    <w:rPr>
                      <w:b/>
                      <w:szCs w:val="21"/>
                    </w:rPr>
                  </w:pPr>
                  <w:r>
                    <w:rPr>
                      <w:b/>
                      <w:szCs w:val="21"/>
                    </w:rPr>
                    <w:t>指标名称</w:t>
                  </w:r>
                </w:p>
              </w:tc>
              <w:tc>
                <w:tcPr>
                  <w:tcW w:w="2178" w:type="dxa"/>
                  <w:vAlign w:val="center"/>
                </w:tcPr>
                <w:p w14:paraId="731E87D8">
                  <w:pPr>
                    <w:adjustRightInd w:val="0"/>
                    <w:snapToGrid w:val="0"/>
                    <w:jc w:val="center"/>
                    <w:rPr>
                      <w:b/>
                      <w:szCs w:val="21"/>
                    </w:rPr>
                  </w:pPr>
                  <w:r>
                    <w:rPr>
                      <w:b/>
                      <w:szCs w:val="21"/>
                    </w:rPr>
                    <w:t>单位</w:t>
                  </w:r>
                </w:p>
              </w:tc>
              <w:tc>
                <w:tcPr>
                  <w:tcW w:w="2179" w:type="dxa"/>
                  <w:vAlign w:val="center"/>
                </w:tcPr>
                <w:p w14:paraId="16DDC11B">
                  <w:pPr>
                    <w:adjustRightInd w:val="0"/>
                    <w:snapToGrid w:val="0"/>
                    <w:jc w:val="center"/>
                    <w:rPr>
                      <w:b/>
                      <w:szCs w:val="21"/>
                    </w:rPr>
                  </w:pPr>
                  <w:r>
                    <w:rPr>
                      <w:b/>
                      <w:szCs w:val="21"/>
                    </w:rPr>
                    <w:t>数量</w:t>
                  </w:r>
                </w:p>
              </w:tc>
            </w:tr>
            <w:tr w14:paraId="7E16D8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78" w:type="dxa"/>
                  <w:vAlign w:val="center"/>
                </w:tcPr>
                <w:p w14:paraId="40E4B680">
                  <w:pPr>
                    <w:adjustRightInd w:val="0"/>
                    <w:snapToGrid w:val="0"/>
                    <w:jc w:val="center"/>
                    <w:rPr>
                      <w:bCs/>
                      <w:szCs w:val="21"/>
                    </w:rPr>
                  </w:pPr>
                  <w:r>
                    <w:rPr>
                      <w:bCs/>
                      <w:szCs w:val="21"/>
                    </w:rPr>
                    <w:t>1</w:t>
                  </w:r>
                </w:p>
              </w:tc>
              <w:tc>
                <w:tcPr>
                  <w:tcW w:w="2178" w:type="dxa"/>
                  <w:vAlign w:val="center"/>
                </w:tcPr>
                <w:p w14:paraId="2D9337D9">
                  <w:pPr>
                    <w:adjustRightInd w:val="0"/>
                    <w:snapToGrid w:val="0"/>
                    <w:jc w:val="center"/>
                    <w:rPr>
                      <w:bCs/>
                      <w:szCs w:val="21"/>
                    </w:rPr>
                  </w:pPr>
                  <w:r>
                    <w:rPr>
                      <w:bCs/>
                      <w:szCs w:val="21"/>
                    </w:rPr>
                    <w:t>分子量</w:t>
                  </w:r>
                </w:p>
              </w:tc>
              <w:tc>
                <w:tcPr>
                  <w:tcW w:w="2178" w:type="dxa"/>
                  <w:vAlign w:val="center"/>
                </w:tcPr>
                <w:p w14:paraId="710490AB">
                  <w:pPr>
                    <w:adjustRightInd w:val="0"/>
                    <w:snapToGrid w:val="0"/>
                    <w:jc w:val="center"/>
                    <w:rPr>
                      <w:bCs/>
                      <w:szCs w:val="21"/>
                    </w:rPr>
                  </w:pPr>
                  <w:r>
                    <w:rPr>
                      <w:bCs/>
                      <w:szCs w:val="21"/>
                    </w:rPr>
                    <w:t>-</w:t>
                  </w:r>
                </w:p>
              </w:tc>
              <w:tc>
                <w:tcPr>
                  <w:tcW w:w="2179" w:type="dxa"/>
                  <w:vAlign w:val="center"/>
                </w:tcPr>
                <w:p w14:paraId="141A3945">
                  <w:pPr>
                    <w:adjustRightInd w:val="0"/>
                    <w:snapToGrid w:val="0"/>
                    <w:jc w:val="center"/>
                    <w:rPr>
                      <w:bCs/>
                      <w:szCs w:val="21"/>
                    </w:rPr>
                  </w:pPr>
                  <w:r>
                    <w:rPr>
                      <w:bCs/>
                      <w:szCs w:val="21"/>
                    </w:rPr>
                    <w:t>98.9</w:t>
                  </w:r>
                </w:p>
              </w:tc>
            </w:tr>
            <w:tr w14:paraId="472DD6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78" w:type="dxa"/>
                  <w:vAlign w:val="center"/>
                </w:tcPr>
                <w:p w14:paraId="47C52E8E">
                  <w:pPr>
                    <w:adjustRightInd w:val="0"/>
                    <w:snapToGrid w:val="0"/>
                    <w:jc w:val="center"/>
                    <w:rPr>
                      <w:bCs/>
                      <w:szCs w:val="21"/>
                    </w:rPr>
                  </w:pPr>
                  <w:r>
                    <w:rPr>
                      <w:bCs/>
                      <w:szCs w:val="21"/>
                    </w:rPr>
                    <w:t>2</w:t>
                  </w:r>
                </w:p>
              </w:tc>
              <w:tc>
                <w:tcPr>
                  <w:tcW w:w="2178" w:type="dxa"/>
                  <w:vAlign w:val="center"/>
                </w:tcPr>
                <w:p w14:paraId="61F80567">
                  <w:pPr>
                    <w:adjustRightInd w:val="0"/>
                    <w:snapToGrid w:val="0"/>
                    <w:jc w:val="center"/>
                    <w:rPr>
                      <w:bCs/>
                      <w:szCs w:val="21"/>
                    </w:rPr>
                  </w:pPr>
                  <w:r>
                    <w:rPr>
                      <w:bCs/>
                      <w:szCs w:val="21"/>
                    </w:rPr>
                    <w:t>沸点</w:t>
                  </w:r>
                </w:p>
              </w:tc>
              <w:tc>
                <w:tcPr>
                  <w:tcW w:w="2178" w:type="dxa"/>
                  <w:vAlign w:val="center"/>
                </w:tcPr>
                <w:p w14:paraId="76B62ECA">
                  <w:pPr>
                    <w:adjustRightInd w:val="0"/>
                    <w:snapToGrid w:val="0"/>
                    <w:jc w:val="center"/>
                    <w:rPr>
                      <w:bCs/>
                      <w:szCs w:val="21"/>
                    </w:rPr>
                  </w:pPr>
                  <w:r>
                    <w:rPr>
                      <w:bCs/>
                      <w:szCs w:val="21"/>
                    </w:rPr>
                    <w:t>℃</w:t>
                  </w:r>
                </w:p>
              </w:tc>
              <w:tc>
                <w:tcPr>
                  <w:tcW w:w="2179" w:type="dxa"/>
                  <w:vAlign w:val="center"/>
                </w:tcPr>
                <w:p w14:paraId="743247E8">
                  <w:pPr>
                    <w:adjustRightInd w:val="0"/>
                    <w:snapToGrid w:val="0"/>
                    <w:jc w:val="center"/>
                    <w:rPr>
                      <w:bCs/>
                      <w:szCs w:val="21"/>
                    </w:rPr>
                  </w:pPr>
                  <w:r>
                    <w:rPr>
                      <w:bCs/>
                      <w:szCs w:val="21"/>
                    </w:rPr>
                    <w:t>-46.7</w:t>
                  </w:r>
                </w:p>
              </w:tc>
            </w:tr>
            <w:tr w14:paraId="7A08FE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78" w:type="dxa"/>
                  <w:vAlign w:val="center"/>
                </w:tcPr>
                <w:p w14:paraId="08D771FB">
                  <w:pPr>
                    <w:adjustRightInd w:val="0"/>
                    <w:snapToGrid w:val="0"/>
                    <w:jc w:val="center"/>
                    <w:rPr>
                      <w:bCs/>
                      <w:szCs w:val="21"/>
                    </w:rPr>
                  </w:pPr>
                  <w:r>
                    <w:rPr>
                      <w:bCs/>
                      <w:szCs w:val="21"/>
                    </w:rPr>
                    <w:t>3</w:t>
                  </w:r>
                </w:p>
              </w:tc>
              <w:tc>
                <w:tcPr>
                  <w:tcW w:w="2178" w:type="dxa"/>
                  <w:vAlign w:val="center"/>
                </w:tcPr>
                <w:p w14:paraId="646D6684">
                  <w:pPr>
                    <w:adjustRightInd w:val="0"/>
                    <w:snapToGrid w:val="0"/>
                    <w:jc w:val="center"/>
                    <w:rPr>
                      <w:bCs/>
                      <w:szCs w:val="21"/>
                    </w:rPr>
                  </w:pPr>
                  <w:r>
                    <w:rPr>
                      <w:bCs/>
                      <w:szCs w:val="21"/>
                    </w:rPr>
                    <w:t>临界温度</w:t>
                  </w:r>
                </w:p>
              </w:tc>
              <w:tc>
                <w:tcPr>
                  <w:tcW w:w="2178" w:type="dxa"/>
                  <w:vAlign w:val="center"/>
                </w:tcPr>
                <w:p w14:paraId="5FD5744C">
                  <w:pPr>
                    <w:adjustRightInd w:val="0"/>
                    <w:snapToGrid w:val="0"/>
                    <w:jc w:val="center"/>
                    <w:rPr>
                      <w:bCs/>
                      <w:szCs w:val="21"/>
                    </w:rPr>
                  </w:pPr>
                  <w:r>
                    <w:rPr>
                      <w:bCs/>
                      <w:szCs w:val="21"/>
                    </w:rPr>
                    <w:t>℃</w:t>
                  </w:r>
                </w:p>
              </w:tc>
              <w:tc>
                <w:tcPr>
                  <w:tcW w:w="2179" w:type="dxa"/>
                  <w:vAlign w:val="center"/>
                </w:tcPr>
                <w:p w14:paraId="0E743B85">
                  <w:pPr>
                    <w:adjustRightInd w:val="0"/>
                    <w:snapToGrid w:val="0"/>
                    <w:jc w:val="center"/>
                    <w:rPr>
                      <w:bCs/>
                      <w:szCs w:val="21"/>
                    </w:rPr>
                  </w:pPr>
                  <w:r>
                    <w:rPr>
                      <w:bCs/>
                      <w:szCs w:val="21"/>
                    </w:rPr>
                    <w:t>70.62</w:t>
                  </w:r>
                </w:p>
              </w:tc>
            </w:tr>
            <w:tr w14:paraId="55B0A3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78" w:type="dxa"/>
                  <w:vAlign w:val="center"/>
                </w:tcPr>
                <w:p w14:paraId="57647D29">
                  <w:pPr>
                    <w:adjustRightInd w:val="0"/>
                    <w:snapToGrid w:val="0"/>
                    <w:jc w:val="center"/>
                    <w:rPr>
                      <w:bCs/>
                      <w:szCs w:val="21"/>
                    </w:rPr>
                  </w:pPr>
                  <w:r>
                    <w:rPr>
                      <w:bCs/>
                      <w:szCs w:val="21"/>
                    </w:rPr>
                    <w:t>4</w:t>
                  </w:r>
                </w:p>
              </w:tc>
              <w:tc>
                <w:tcPr>
                  <w:tcW w:w="2178" w:type="dxa"/>
                  <w:vAlign w:val="center"/>
                </w:tcPr>
                <w:p w14:paraId="07E7FA1C">
                  <w:pPr>
                    <w:adjustRightInd w:val="0"/>
                    <w:snapToGrid w:val="0"/>
                    <w:jc w:val="center"/>
                    <w:rPr>
                      <w:bCs/>
                      <w:szCs w:val="21"/>
                    </w:rPr>
                  </w:pPr>
                  <w:r>
                    <w:rPr>
                      <w:bCs/>
                      <w:szCs w:val="21"/>
                    </w:rPr>
                    <w:t>临界压力</w:t>
                  </w:r>
                </w:p>
              </w:tc>
              <w:tc>
                <w:tcPr>
                  <w:tcW w:w="2178" w:type="dxa"/>
                  <w:vAlign w:val="center"/>
                </w:tcPr>
                <w:p w14:paraId="4C990109">
                  <w:pPr>
                    <w:adjustRightInd w:val="0"/>
                    <w:snapToGrid w:val="0"/>
                    <w:jc w:val="center"/>
                    <w:rPr>
                      <w:bCs/>
                      <w:szCs w:val="21"/>
                    </w:rPr>
                  </w:pPr>
                  <w:r>
                    <w:rPr>
                      <w:bCs/>
                      <w:szCs w:val="21"/>
                    </w:rPr>
                    <w:t>MPa</w:t>
                  </w:r>
                </w:p>
              </w:tc>
              <w:tc>
                <w:tcPr>
                  <w:tcW w:w="2179" w:type="dxa"/>
                  <w:vAlign w:val="center"/>
                </w:tcPr>
                <w:p w14:paraId="2A183279">
                  <w:pPr>
                    <w:adjustRightInd w:val="0"/>
                    <w:snapToGrid w:val="0"/>
                    <w:jc w:val="center"/>
                    <w:rPr>
                      <w:bCs/>
                      <w:szCs w:val="21"/>
                    </w:rPr>
                  </w:pPr>
                  <w:r>
                    <w:rPr>
                      <w:bCs/>
                      <w:szCs w:val="21"/>
                    </w:rPr>
                    <w:t>3.79</w:t>
                  </w:r>
                </w:p>
              </w:tc>
            </w:tr>
            <w:tr w14:paraId="563DBE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78" w:type="dxa"/>
                  <w:vAlign w:val="center"/>
                </w:tcPr>
                <w:p w14:paraId="0DE4760B">
                  <w:pPr>
                    <w:adjustRightInd w:val="0"/>
                    <w:snapToGrid w:val="0"/>
                    <w:jc w:val="center"/>
                    <w:rPr>
                      <w:bCs/>
                      <w:szCs w:val="21"/>
                    </w:rPr>
                  </w:pPr>
                  <w:r>
                    <w:rPr>
                      <w:bCs/>
                      <w:szCs w:val="21"/>
                    </w:rPr>
                    <w:t>5</w:t>
                  </w:r>
                </w:p>
              </w:tc>
              <w:tc>
                <w:tcPr>
                  <w:tcW w:w="2178" w:type="dxa"/>
                  <w:vAlign w:val="center"/>
                </w:tcPr>
                <w:p w14:paraId="5138F8E0">
                  <w:pPr>
                    <w:adjustRightInd w:val="0"/>
                    <w:snapToGrid w:val="0"/>
                    <w:jc w:val="center"/>
                    <w:rPr>
                      <w:bCs/>
                      <w:szCs w:val="21"/>
                    </w:rPr>
                  </w:pPr>
                  <w:r>
                    <w:rPr>
                      <w:bCs/>
                      <w:szCs w:val="21"/>
                    </w:rPr>
                    <w:t>溶解度(水中，25℃)</w:t>
                  </w:r>
                </w:p>
              </w:tc>
              <w:tc>
                <w:tcPr>
                  <w:tcW w:w="2178" w:type="dxa"/>
                  <w:vAlign w:val="center"/>
                </w:tcPr>
                <w:p w14:paraId="3D78027B">
                  <w:pPr>
                    <w:adjustRightInd w:val="0"/>
                    <w:snapToGrid w:val="0"/>
                    <w:jc w:val="center"/>
                    <w:rPr>
                      <w:bCs/>
                      <w:szCs w:val="21"/>
                    </w:rPr>
                  </w:pPr>
                  <w:r>
                    <w:rPr>
                      <w:bCs/>
                      <w:szCs w:val="21"/>
                    </w:rPr>
                    <w:t>%</w:t>
                  </w:r>
                </w:p>
              </w:tc>
              <w:tc>
                <w:tcPr>
                  <w:tcW w:w="2179" w:type="dxa"/>
                  <w:vAlign w:val="center"/>
                </w:tcPr>
                <w:p w14:paraId="4CC54677">
                  <w:pPr>
                    <w:adjustRightInd w:val="0"/>
                    <w:snapToGrid w:val="0"/>
                    <w:jc w:val="center"/>
                    <w:rPr>
                      <w:bCs/>
                      <w:szCs w:val="21"/>
                    </w:rPr>
                  </w:pPr>
                  <w:r>
                    <w:rPr>
                      <w:bCs/>
                      <w:szCs w:val="21"/>
                    </w:rPr>
                    <w:t>0.89</w:t>
                  </w:r>
                </w:p>
              </w:tc>
            </w:tr>
            <w:tr w14:paraId="3FA99C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78" w:type="dxa"/>
                  <w:vAlign w:val="center"/>
                </w:tcPr>
                <w:p w14:paraId="703488EA">
                  <w:pPr>
                    <w:adjustRightInd w:val="0"/>
                    <w:snapToGrid w:val="0"/>
                    <w:jc w:val="center"/>
                    <w:rPr>
                      <w:bCs/>
                      <w:szCs w:val="21"/>
                    </w:rPr>
                  </w:pPr>
                  <w:r>
                    <w:rPr>
                      <w:bCs/>
                      <w:szCs w:val="21"/>
                    </w:rPr>
                    <w:t>6</w:t>
                  </w:r>
                </w:p>
              </w:tc>
              <w:tc>
                <w:tcPr>
                  <w:tcW w:w="2178" w:type="dxa"/>
                  <w:vAlign w:val="center"/>
                </w:tcPr>
                <w:p w14:paraId="54D069C6">
                  <w:pPr>
                    <w:adjustRightInd w:val="0"/>
                    <w:snapToGrid w:val="0"/>
                    <w:jc w:val="center"/>
                    <w:rPr>
                      <w:bCs/>
                      <w:szCs w:val="21"/>
                    </w:rPr>
                  </w:pPr>
                  <w:r>
                    <w:rPr>
                      <w:bCs/>
                      <w:szCs w:val="21"/>
                    </w:rPr>
                    <w:t>蒸气压(25℃)</w:t>
                  </w:r>
                </w:p>
              </w:tc>
              <w:tc>
                <w:tcPr>
                  <w:tcW w:w="2178" w:type="dxa"/>
                  <w:vAlign w:val="center"/>
                </w:tcPr>
                <w:p w14:paraId="027F54AA">
                  <w:pPr>
                    <w:adjustRightInd w:val="0"/>
                    <w:snapToGrid w:val="0"/>
                    <w:jc w:val="center"/>
                    <w:rPr>
                      <w:bCs/>
                      <w:szCs w:val="21"/>
                    </w:rPr>
                  </w:pPr>
                  <w:r>
                    <w:rPr>
                      <w:bCs/>
                      <w:szCs w:val="21"/>
                    </w:rPr>
                    <w:t>kpa</w:t>
                  </w:r>
                </w:p>
              </w:tc>
              <w:tc>
                <w:tcPr>
                  <w:tcW w:w="2179" w:type="dxa"/>
                  <w:vAlign w:val="center"/>
                </w:tcPr>
                <w:p w14:paraId="6D8D69FB">
                  <w:pPr>
                    <w:adjustRightInd w:val="0"/>
                    <w:snapToGrid w:val="0"/>
                    <w:jc w:val="center"/>
                    <w:rPr>
                      <w:bCs/>
                      <w:szCs w:val="21"/>
                    </w:rPr>
                  </w:pPr>
                  <w:r>
                    <w:rPr>
                      <w:bCs/>
                      <w:szCs w:val="21"/>
                    </w:rPr>
                    <w:t>1287</w:t>
                  </w:r>
                </w:p>
              </w:tc>
            </w:tr>
            <w:tr w14:paraId="24CB54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78" w:type="dxa"/>
                  <w:vAlign w:val="center"/>
                </w:tcPr>
                <w:p w14:paraId="3E835A02">
                  <w:pPr>
                    <w:adjustRightInd w:val="0"/>
                    <w:snapToGrid w:val="0"/>
                    <w:jc w:val="center"/>
                    <w:rPr>
                      <w:bCs/>
                      <w:szCs w:val="21"/>
                    </w:rPr>
                  </w:pPr>
                  <w:r>
                    <w:rPr>
                      <w:bCs/>
                      <w:szCs w:val="21"/>
                    </w:rPr>
                    <w:t>7</w:t>
                  </w:r>
                </w:p>
              </w:tc>
              <w:tc>
                <w:tcPr>
                  <w:tcW w:w="2178" w:type="dxa"/>
                  <w:vAlign w:val="center"/>
                </w:tcPr>
                <w:p w14:paraId="1B16ABA3">
                  <w:pPr>
                    <w:adjustRightInd w:val="0"/>
                    <w:snapToGrid w:val="0"/>
                    <w:jc w:val="center"/>
                    <w:rPr>
                      <w:bCs/>
                      <w:szCs w:val="21"/>
                    </w:rPr>
                  </w:pPr>
                  <w:r>
                    <w:rPr>
                      <w:bCs/>
                      <w:szCs w:val="21"/>
                    </w:rPr>
                    <w:t>破坏臭氧潜能値</w:t>
                  </w:r>
                </w:p>
              </w:tc>
              <w:tc>
                <w:tcPr>
                  <w:tcW w:w="2178" w:type="dxa"/>
                  <w:vAlign w:val="center"/>
                </w:tcPr>
                <w:p w14:paraId="1CE7324B">
                  <w:pPr>
                    <w:adjustRightInd w:val="0"/>
                    <w:snapToGrid w:val="0"/>
                    <w:jc w:val="center"/>
                    <w:rPr>
                      <w:bCs/>
                      <w:szCs w:val="21"/>
                    </w:rPr>
                  </w:pPr>
                  <w:r>
                    <w:rPr>
                      <w:bCs/>
                      <w:szCs w:val="21"/>
                    </w:rPr>
                    <w:t>ODP</w:t>
                  </w:r>
                </w:p>
              </w:tc>
              <w:tc>
                <w:tcPr>
                  <w:tcW w:w="2179" w:type="dxa"/>
                  <w:vAlign w:val="center"/>
                </w:tcPr>
                <w:p w14:paraId="3743A9B9">
                  <w:pPr>
                    <w:adjustRightInd w:val="0"/>
                    <w:snapToGrid w:val="0"/>
                    <w:jc w:val="center"/>
                    <w:rPr>
                      <w:bCs/>
                      <w:szCs w:val="21"/>
                    </w:rPr>
                  </w:pPr>
                  <w:r>
                    <w:rPr>
                      <w:bCs/>
                      <w:szCs w:val="21"/>
                    </w:rPr>
                    <w:t>0</w:t>
                  </w:r>
                </w:p>
              </w:tc>
            </w:tr>
            <w:tr w14:paraId="207903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78" w:type="dxa"/>
                  <w:vAlign w:val="center"/>
                </w:tcPr>
                <w:p w14:paraId="1D2A1F8B">
                  <w:pPr>
                    <w:adjustRightInd w:val="0"/>
                    <w:snapToGrid w:val="0"/>
                    <w:jc w:val="center"/>
                    <w:rPr>
                      <w:bCs/>
                      <w:szCs w:val="21"/>
                    </w:rPr>
                  </w:pPr>
                  <w:r>
                    <w:rPr>
                      <w:bCs/>
                      <w:szCs w:val="21"/>
                    </w:rPr>
                    <w:t>8</w:t>
                  </w:r>
                </w:p>
              </w:tc>
              <w:tc>
                <w:tcPr>
                  <w:tcW w:w="2178" w:type="dxa"/>
                  <w:vAlign w:val="center"/>
                </w:tcPr>
                <w:p w14:paraId="4B9F5A4B">
                  <w:pPr>
                    <w:adjustRightInd w:val="0"/>
                    <w:snapToGrid w:val="0"/>
                    <w:jc w:val="center"/>
                    <w:rPr>
                      <w:bCs/>
                      <w:szCs w:val="21"/>
                    </w:rPr>
                  </w:pPr>
                  <w:r>
                    <w:rPr>
                      <w:bCs/>
                      <w:szCs w:val="21"/>
                    </w:rPr>
                    <w:t>全球变暖系数值</w:t>
                  </w:r>
                </w:p>
              </w:tc>
              <w:tc>
                <w:tcPr>
                  <w:tcW w:w="2178" w:type="dxa"/>
                  <w:vAlign w:val="center"/>
                </w:tcPr>
                <w:p w14:paraId="369586FA">
                  <w:pPr>
                    <w:adjustRightInd w:val="0"/>
                    <w:snapToGrid w:val="0"/>
                    <w:jc w:val="center"/>
                    <w:rPr>
                      <w:bCs/>
                      <w:szCs w:val="21"/>
                    </w:rPr>
                  </w:pPr>
                  <w:r>
                    <w:rPr>
                      <w:bCs/>
                      <w:szCs w:val="21"/>
                    </w:rPr>
                    <w:t>GWP</w:t>
                  </w:r>
                </w:p>
              </w:tc>
              <w:tc>
                <w:tcPr>
                  <w:tcW w:w="2179" w:type="dxa"/>
                  <w:vAlign w:val="center"/>
                </w:tcPr>
                <w:p w14:paraId="0671F253">
                  <w:pPr>
                    <w:adjustRightInd w:val="0"/>
                    <w:snapToGrid w:val="0"/>
                    <w:jc w:val="center"/>
                    <w:rPr>
                      <w:bCs/>
                      <w:szCs w:val="21"/>
                    </w:rPr>
                  </w:pPr>
                  <w:r>
                    <w:rPr>
                      <w:bCs/>
                      <w:szCs w:val="21"/>
                    </w:rPr>
                    <w:t>3990</w:t>
                  </w:r>
                </w:p>
              </w:tc>
            </w:tr>
          </w:tbl>
          <w:p w14:paraId="00A2D67F">
            <w:pPr>
              <w:adjustRightInd w:val="0"/>
              <w:snapToGrid w:val="0"/>
              <w:spacing w:line="360" w:lineRule="auto"/>
              <w:rPr>
                <w:b/>
                <w:sz w:val="24"/>
                <w:szCs w:val="24"/>
              </w:rPr>
            </w:pPr>
            <w:r>
              <w:rPr>
                <w:b/>
                <w:bCs/>
                <w:sz w:val="24"/>
                <w:szCs w:val="24"/>
              </w:rPr>
              <w:t>5 主要生产设备</w:t>
            </w:r>
          </w:p>
          <w:p w14:paraId="073BA6F0">
            <w:pPr>
              <w:adjustRightInd w:val="0"/>
              <w:snapToGrid w:val="0"/>
              <w:spacing w:line="360" w:lineRule="auto"/>
              <w:ind w:firstLine="480" w:firstLineChars="200"/>
              <w:rPr>
                <w:bCs/>
                <w:sz w:val="24"/>
                <w:szCs w:val="24"/>
              </w:rPr>
            </w:pPr>
            <w:r>
              <w:rPr>
                <w:bCs/>
                <w:sz w:val="24"/>
                <w:szCs w:val="24"/>
              </w:rPr>
              <w:t>项目主要生产设备情况见下表。</w:t>
            </w:r>
          </w:p>
          <w:p w14:paraId="61998F9A">
            <w:pPr>
              <w:spacing w:line="360" w:lineRule="auto"/>
              <w:jc w:val="center"/>
              <w:rPr>
                <w:b/>
                <w:bCs/>
                <w:kern w:val="0"/>
                <w:sz w:val="24"/>
                <w:szCs w:val="24"/>
              </w:rPr>
            </w:pPr>
            <w:r>
              <w:rPr>
                <w:b/>
                <w:bCs/>
                <w:kern w:val="0"/>
                <w:sz w:val="24"/>
                <w:szCs w:val="24"/>
              </w:rPr>
              <w:t>表2-</w:t>
            </w:r>
            <w:r>
              <w:rPr>
                <w:rFonts w:hint="eastAsia"/>
                <w:b/>
                <w:bCs/>
                <w:kern w:val="0"/>
                <w:sz w:val="24"/>
                <w:szCs w:val="24"/>
              </w:rPr>
              <w:t>7</w:t>
            </w:r>
            <w:r>
              <w:rPr>
                <w:b/>
                <w:bCs/>
                <w:kern w:val="0"/>
                <w:sz w:val="24"/>
                <w:szCs w:val="24"/>
              </w:rPr>
              <w:t xml:space="preserve">  生产设施信息表</w:t>
            </w:r>
          </w:p>
          <w:tbl>
            <w:tblPr>
              <w:tblStyle w:val="24"/>
              <w:tblW w:w="8547" w:type="dxa"/>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672"/>
              <w:gridCol w:w="1243"/>
              <w:gridCol w:w="2104"/>
              <w:gridCol w:w="3098"/>
              <w:gridCol w:w="1430"/>
            </w:tblGrid>
            <w:tr w14:paraId="5D36142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2" w:type="dxa"/>
                  <w:noWrap/>
                  <w:vAlign w:val="center"/>
                </w:tcPr>
                <w:p w14:paraId="27575CDC">
                  <w:pPr>
                    <w:widowControl/>
                    <w:jc w:val="center"/>
                    <w:rPr>
                      <w:color w:val="000000"/>
                      <w:kern w:val="0"/>
                      <w:szCs w:val="21"/>
                      <w:u w:val="single"/>
                    </w:rPr>
                  </w:pPr>
                  <w:r>
                    <w:rPr>
                      <w:color w:val="000000"/>
                      <w:kern w:val="0"/>
                      <w:szCs w:val="21"/>
                      <w:u w:val="single"/>
                    </w:rPr>
                    <w:t>序号</w:t>
                  </w:r>
                </w:p>
              </w:tc>
              <w:tc>
                <w:tcPr>
                  <w:tcW w:w="1243" w:type="dxa"/>
                  <w:noWrap/>
                  <w:vAlign w:val="center"/>
                </w:tcPr>
                <w:p w14:paraId="0E263C2C">
                  <w:pPr>
                    <w:widowControl/>
                    <w:jc w:val="center"/>
                    <w:rPr>
                      <w:color w:val="000000"/>
                      <w:kern w:val="0"/>
                      <w:szCs w:val="21"/>
                      <w:u w:val="single"/>
                    </w:rPr>
                  </w:pPr>
                  <w:r>
                    <w:rPr>
                      <w:color w:val="000000"/>
                      <w:kern w:val="0"/>
                      <w:szCs w:val="21"/>
                      <w:u w:val="single"/>
                    </w:rPr>
                    <w:t>对应工序</w:t>
                  </w:r>
                </w:p>
              </w:tc>
              <w:tc>
                <w:tcPr>
                  <w:tcW w:w="2104" w:type="dxa"/>
                  <w:noWrap/>
                  <w:vAlign w:val="center"/>
                </w:tcPr>
                <w:p w14:paraId="06C1D95D">
                  <w:pPr>
                    <w:widowControl/>
                    <w:jc w:val="center"/>
                    <w:rPr>
                      <w:color w:val="000000"/>
                      <w:kern w:val="0"/>
                      <w:szCs w:val="21"/>
                      <w:u w:val="single"/>
                    </w:rPr>
                  </w:pPr>
                  <w:r>
                    <w:rPr>
                      <w:color w:val="000000"/>
                      <w:kern w:val="0"/>
                      <w:szCs w:val="21"/>
                      <w:u w:val="single"/>
                    </w:rPr>
                    <w:t>设备名称</w:t>
                  </w:r>
                </w:p>
              </w:tc>
              <w:tc>
                <w:tcPr>
                  <w:tcW w:w="3098" w:type="dxa"/>
                  <w:vAlign w:val="center"/>
                </w:tcPr>
                <w:p w14:paraId="6F774F90">
                  <w:pPr>
                    <w:widowControl/>
                    <w:jc w:val="center"/>
                    <w:rPr>
                      <w:color w:val="000000"/>
                      <w:kern w:val="0"/>
                      <w:szCs w:val="21"/>
                      <w:u w:val="single"/>
                    </w:rPr>
                  </w:pPr>
                  <w:r>
                    <w:rPr>
                      <w:color w:val="000000"/>
                      <w:kern w:val="0"/>
                      <w:szCs w:val="21"/>
                      <w:u w:val="single"/>
                    </w:rPr>
                    <w:t>规格/型号</w:t>
                  </w:r>
                </w:p>
              </w:tc>
              <w:tc>
                <w:tcPr>
                  <w:tcW w:w="1430" w:type="dxa"/>
                  <w:noWrap/>
                  <w:vAlign w:val="center"/>
                </w:tcPr>
                <w:p w14:paraId="756802FC">
                  <w:pPr>
                    <w:widowControl/>
                    <w:jc w:val="center"/>
                    <w:rPr>
                      <w:color w:val="000000"/>
                      <w:kern w:val="0"/>
                      <w:szCs w:val="21"/>
                      <w:u w:val="single"/>
                    </w:rPr>
                  </w:pPr>
                  <w:r>
                    <w:rPr>
                      <w:color w:val="000000"/>
                      <w:kern w:val="0"/>
                      <w:szCs w:val="21"/>
                      <w:u w:val="single"/>
                    </w:rPr>
                    <w:t>数量（台/套）</w:t>
                  </w:r>
                </w:p>
              </w:tc>
            </w:tr>
            <w:tr w14:paraId="72BFAFDE">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2" w:type="dxa"/>
                  <w:noWrap/>
                  <w:vAlign w:val="center"/>
                </w:tcPr>
                <w:p w14:paraId="1DD9578A">
                  <w:pPr>
                    <w:widowControl/>
                    <w:jc w:val="center"/>
                    <w:rPr>
                      <w:color w:val="000000"/>
                      <w:kern w:val="0"/>
                      <w:szCs w:val="21"/>
                      <w:u w:val="single"/>
                    </w:rPr>
                  </w:pPr>
                  <w:r>
                    <w:rPr>
                      <w:color w:val="000000"/>
                      <w:kern w:val="0"/>
                      <w:szCs w:val="21"/>
                      <w:u w:val="single"/>
                    </w:rPr>
                    <w:t>1</w:t>
                  </w:r>
                </w:p>
              </w:tc>
              <w:tc>
                <w:tcPr>
                  <w:tcW w:w="1243" w:type="dxa"/>
                  <w:noWrap/>
                  <w:vAlign w:val="center"/>
                </w:tcPr>
                <w:p w14:paraId="3E53BDBE">
                  <w:pPr>
                    <w:widowControl/>
                    <w:jc w:val="center"/>
                    <w:rPr>
                      <w:color w:val="000000"/>
                      <w:kern w:val="0"/>
                      <w:szCs w:val="21"/>
                      <w:u w:val="single"/>
                    </w:rPr>
                  </w:pPr>
                  <w:r>
                    <w:rPr>
                      <w:color w:val="000000"/>
                      <w:kern w:val="0"/>
                      <w:szCs w:val="21"/>
                      <w:u w:val="single"/>
                    </w:rPr>
                    <w:t>前处理</w:t>
                  </w:r>
                </w:p>
              </w:tc>
              <w:tc>
                <w:tcPr>
                  <w:tcW w:w="2104" w:type="dxa"/>
                  <w:noWrap/>
                  <w:vAlign w:val="center"/>
                </w:tcPr>
                <w:p w14:paraId="1C352CF7">
                  <w:pPr>
                    <w:widowControl/>
                    <w:jc w:val="center"/>
                    <w:rPr>
                      <w:color w:val="000000"/>
                      <w:kern w:val="0"/>
                      <w:szCs w:val="21"/>
                      <w:u w:val="single"/>
                    </w:rPr>
                  </w:pPr>
                  <w:r>
                    <w:rPr>
                      <w:color w:val="000000"/>
                      <w:kern w:val="0"/>
                      <w:szCs w:val="21"/>
                      <w:u w:val="single"/>
                    </w:rPr>
                    <w:t>提升式解冻线</w:t>
                  </w:r>
                </w:p>
              </w:tc>
              <w:tc>
                <w:tcPr>
                  <w:tcW w:w="3098" w:type="dxa"/>
                  <w:noWrap/>
                  <w:vAlign w:val="center"/>
                </w:tcPr>
                <w:p w14:paraId="732C14A7">
                  <w:pPr>
                    <w:widowControl/>
                    <w:jc w:val="center"/>
                    <w:rPr>
                      <w:color w:val="000000"/>
                      <w:kern w:val="0"/>
                      <w:szCs w:val="21"/>
                      <w:u w:val="single"/>
                    </w:rPr>
                  </w:pPr>
                  <w:r>
                    <w:rPr>
                      <w:color w:val="000000"/>
                      <w:kern w:val="0"/>
                      <w:szCs w:val="21"/>
                      <w:u w:val="single"/>
                    </w:rPr>
                    <w:t>12000*1200*3200</w:t>
                  </w:r>
                </w:p>
              </w:tc>
              <w:tc>
                <w:tcPr>
                  <w:tcW w:w="1430" w:type="dxa"/>
                  <w:noWrap/>
                  <w:vAlign w:val="center"/>
                </w:tcPr>
                <w:p w14:paraId="59F41866">
                  <w:pPr>
                    <w:widowControl/>
                    <w:jc w:val="center"/>
                    <w:rPr>
                      <w:color w:val="000000"/>
                      <w:kern w:val="0"/>
                      <w:szCs w:val="21"/>
                      <w:u w:val="single"/>
                    </w:rPr>
                  </w:pPr>
                  <w:r>
                    <w:rPr>
                      <w:color w:val="000000"/>
                      <w:kern w:val="0"/>
                      <w:szCs w:val="21"/>
                      <w:u w:val="single"/>
                    </w:rPr>
                    <w:t>1</w:t>
                  </w:r>
                </w:p>
              </w:tc>
            </w:tr>
            <w:tr w14:paraId="4174770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2" w:type="dxa"/>
                  <w:noWrap/>
                  <w:vAlign w:val="center"/>
                </w:tcPr>
                <w:p w14:paraId="26C320BC">
                  <w:pPr>
                    <w:widowControl/>
                    <w:jc w:val="center"/>
                    <w:rPr>
                      <w:color w:val="000000"/>
                      <w:kern w:val="0"/>
                      <w:szCs w:val="21"/>
                      <w:u w:val="single"/>
                    </w:rPr>
                  </w:pPr>
                  <w:r>
                    <w:rPr>
                      <w:color w:val="000000"/>
                      <w:kern w:val="0"/>
                      <w:szCs w:val="21"/>
                      <w:u w:val="single"/>
                    </w:rPr>
                    <w:t>2</w:t>
                  </w:r>
                </w:p>
              </w:tc>
              <w:tc>
                <w:tcPr>
                  <w:tcW w:w="1243" w:type="dxa"/>
                  <w:noWrap/>
                  <w:vAlign w:val="center"/>
                </w:tcPr>
                <w:p w14:paraId="0B91C56E">
                  <w:pPr>
                    <w:widowControl/>
                    <w:jc w:val="center"/>
                    <w:rPr>
                      <w:color w:val="000000"/>
                      <w:kern w:val="0"/>
                      <w:szCs w:val="21"/>
                      <w:u w:val="single"/>
                    </w:rPr>
                  </w:pPr>
                  <w:r>
                    <w:rPr>
                      <w:color w:val="000000"/>
                      <w:kern w:val="0"/>
                      <w:szCs w:val="21"/>
                      <w:u w:val="single"/>
                    </w:rPr>
                    <w:t>前处理</w:t>
                  </w:r>
                </w:p>
              </w:tc>
              <w:tc>
                <w:tcPr>
                  <w:tcW w:w="2104" w:type="dxa"/>
                  <w:noWrap/>
                  <w:vAlign w:val="center"/>
                </w:tcPr>
                <w:p w14:paraId="2030509F">
                  <w:pPr>
                    <w:widowControl/>
                    <w:jc w:val="center"/>
                    <w:rPr>
                      <w:color w:val="000000"/>
                      <w:kern w:val="0"/>
                      <w:szCs w:val="21"/>
                      <w:u w:val="single"/>
                    </w:rPr>
                  </w:pPr>
                  <w:r>
                    <w:rPr>
                      <w:color w:val="000000"/>
                      <w:kern w:val="0"/>
                      <w:szCs w:val="21"/>
                      <w:u w:val="single"/>
                    </w:rPr>
                    <w:t>双层抽主筋输送机</w:t>
                  </w:r>
                </w:p>
              </w:tc>
              <w:tc>
                <w:tcPr>
                  <w:tcW w:w="3098" w:type="dxa"/>
                  <w:noWrap/>
                  <w:vAlign w:val="center"/>
                </w:tcPr>
                <w:p w14:paraId="1C6DEF17">
                  <w:pPr>
                    <w:widowControl/>
                    <w:jc w:val="center"/>
                    <w:rPr>
                      <w:color w:val="000000"/>
                      <w:kern w:val="0"/>
                      <w:szCs w:val="21"/>
                      <w:u w:val="single"/>
                    </w:rPr>
                  </w:pPr>
                  <w:r>
                    <w:rPr>
                      <w:color w:val="000000"/>
                      <w:kern w:val="0"/>
                      <w:szCs w:val="21"/>
                      <w:u w:val="single"/>
                    </w:rPr>
                    <w:t>19000*1500</w:t>
                  </w:r>
                </w:p>
              </w:tc>
              <w:tc>
                <w:tcPr>
                  <w:tcW w:w="1430" w:type="dxa"/>
                  <w:noWrap/>
                  <w:vAlign w:val="center"/>
                </w:tcPr>
                <w:p w14:paraId="6817542B">
                  <w:pPr>
                    <w:widowControl/>
                    <w:jc w:val="center"/>
                    <w:rPr>
                      <w:color w:val="000000"/>
                      <w:kern w:val="0"/>
                      <w:szCs w:val="21"/>
                      <w:u w:val="single"/>
                    </w:rPr>
                  </w:pPr>
                  <w:r>
                    <w:rPr>
                      <w:color w:val="000000"/>
                      <w:kern w:val="0"/>
                      <w:szCs w:val="21"/>
                      <w:u w:val="single"/>
                    </w:rPr>
                    <w:t>1</w:t>
                  </w:r>
                </w:p>
              </w:tc>
            </w:tr>
            <w:tr w14:paraId="1492C12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2" w:type="dxa"/>
                  <w:noWrap/>
                  <w:vAlign w:val="center"/>
                </w:tcPr>
                <w:p w14:paraId="07F0FC5A">
                  <w:pPr>
                    <w:widowControl/>
                    <w:jc w:val="center"/>
                    <w:rPr>
                      <w:color w:val="000000"/>
                      <w:kern w:val="0"/>
                      <w:szCs w:val="21"/>
                      <w:u w:val="single"/>
                    </w:rPr>
                  </w:pPr>
                  <w:r>
                    <w:rPr>
                      <w:color w:val="000000"/>
                      <w:kern w:val="0"/>
                      <w:szCs w:val="21"/>
                      <w:u w:val="single"/>
                    </w:rPr>
                    <w:t>3</w:t>
                  </w:r>
                </w:p>
              </w:tc>
              <w:tc>
                <w:tcPr>
                  <w:tcW w:w="1243" w:type="dxa"/>
                  <w:noWrap/>
                  <w:vAlign w:val="center"/>
                </w:tcPr>
                <w:p w14:paraId="244D5029">
                  <w:pPr>
                    <w:widowControl/>
                    <w:jc w:val="center"/>
                    <w:rPr>
                      <w:color w:val="000000"/>
                      <w:kern w:val="0"/>
                      <w:szCs w:val="21"/>
                      <w:u w:val="single"/>
                    </w:rPr>
                  </w:pPr>
                  <w:r>
                    <w:rPr>
                      <w:color w:val="000000"/>
                      <w:kern w:val="0"/>
                      <w:szCs w:val="21"/>
                      <w:u w:val="single"/>
                    </w:rPr>
                    <w:t>前处理</w:t>
                  </w:r>
                </w:p>
              </w:tc>
              <w:tc>
                <w:tcPr>
                  <w:tcW w:w="2104" w:type="dxa"/>
                  <w:noWrap/>
                  <w:vAlign w:val="center"/>
                </w:tcPr>
                <w:p w14:paraId="657AD15D">
                  <w:pPr>
                    <w:widowControl/>
                    <w:jc w:val="center"/>
                    <w:rPr>
                      <w:color w:val="000000"/>
                      <w:kern w:val="0"/>
                      <w:szCs w:val="21"/>
                      <w:u w:val="single"/>
                    </w:rPr>
                  </w:pPr>
                  <w:r>
                    <w:rPr>
                      <w:color w:val="000000"/>
                      <w:kern w:val="0"/>
                      <w:szCs w:val="21"/>
                      <w:u w:val="single"/>
                    </w:rPr>
                    <w:t>烧毛入料输送机</w:t>
                  </w:r>
                </w:p>
              </w:tc>
              <w:tc>
                <w:tcPr>
                  <w:tcW w:w="3098" w:type="dxa"/>
                  <w:noWrap/>
                  <w:vAlign w:val="center"/>
                </w:tcPr>
                <w:p w14:paraId="08867D61">
                  <w:pPr>
                    <w:widowControl/>
                    <w:jc w:val="center"/>
                    <w:rPr>
                      <w:color w:val="000000"/>
                      <w:kern w:val="0"/>
                      <w:szCs w:val="21"/>
                      <w:u w:val="single"/>
                    </w:rPr>
                  </w:pPr>
                  <w:r>
                    <w:rPr>
                      <w:color w:val="000000"/>
                      <w:kern w:val="0"/>
                      <w:szCs w:val="21"/>
                      <w:u w:val="single"/>
                    </w:rPr>
                    <w:t>11500*800</w:t>
                  </w:r>
                </w:p>
              </w:tc>
              <w:tc>
                <w:tcPr>
                  <w:tcW w:w="1430" w:type="dxa"/>
                  <w:noWrap/>
                  <w:vAlign w:val="center"/>
                </w:tcPr>
                <w:p w14:paraId="5B178DFE">
                  <w:pPr>
                    <w:widowControl/>
                    <w:jc w:val="center"/>
                    <w:rPr>
                      <w:color w:val="000000"/>
                      <w:kern w:val="0"/>
                      <w:szCs w:val="21"/>
                      <w:u w:val="single"/>
                    </w:rPr>
                  </w:pPr>
                  <w:r>
                    <w:rPr>
                      <w:color w:val="000000"/>
                      <w:kern w:val="0"/>
                      <w:szCs w:val="21"/>
                      <w:u w:val="single"/>
                    </w:rPr>
                    <w:t>1</w:t>
                  </w:r>
                </w:p>
              </w:tc>
            </w:tr>
            <w:tr w14:paraId="1DE3DE1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2" w:type="dxa"/>
                  <w:noWrap/>
                  <w:vAlign w:val="center"/>
                </w:tcPr>
                <w:p w14:paraId="1DF892D5">
                  <w:pPr>
                    <w:widowControl/>
                    <w:jc w:val="center"/>
                    <w:rPr>
                      <w:color w:val="000000"/>
                      <w:kern w:val="0"/>
                      <w:szCs w:val="21"/>
                      <w:u w:val="single"/>
                    </w:rPr>
                  </w:pPr>
                  <w:r>
                    <w:rPr>
                      <w:color w:val="000000"/>
                      <w:kern w:val="0"/>
                      <w:szCs w:val="21"/>
                      <w:u w:val="single"/>
                    </w:rPr>
                    <w:t>4</w:t>
                  </w:r>
                </w:p>
              </w:tc>
              <w:tc>
                <w:tcPr>
                  <w:tcW w:w="1243" w:type="dxa"/>
                  <w:noWrap/>
                  <w:vAlign w:val="center"/>
                </w:tcPr>
                <w:p w14:paraId="750333F4">
                  <w:pPr>
                    <w:widowControl/>
                    <w:jc w:val="center"/>
                    <w:rPr>
                      <w:color w:val="000000"/>
                      <w:kern w:val="0"/>
                      <w:szCs w:val="21"/>
                      <w:u w:val="single"/>
                    </w:rPr>
                  </w:pPr>
                  <w:r>
                    <w:rPr>
                      <w:color w:val="000000"/>
                      <w:kern w:val="0"/>
                      <w:szCs w:val="21"/>
                      <w:u w:val="single"/>
                    </w:rPr>
                    <w:t>前处理</w:t>
                  </w:r>
                </w:p>
              </w:tc>
              <w:tc>
                <w:tcPr>
                  <w:tcW w:w="2104" w:type="dxa"/>
                  <w:noWrap/>
                  <w:vAlign w:val="center"/>
                </w:tcPr>
                <w:p w14:paraId="4D8029CA">
                  <w:pPr>
                    <w:widowControl/>
                    <w:jc w:val="center"/>
                    <w:rPr>
                      <w:color w:val="000000"/>
                      <w:kern w:val="0"/>
                      <w:szCs w:val="21"/>
                      <w:u w:val="single"/>
                    </w:rPr>
                  </w:pPr>
                  <w:r>
                    <w:rPr>
                      <w:color w:val="000000"/>
                      <w:kern w:val="0"/>
                      <w:szCs w:val="21"/>
                      <w:u w:val="single"/>
                    </w:rPr>
                    <w:t>烧毛出料输送机</w:t>
                  </w:r>
                </w:p>
              </w:tc>
              <w:tc>
                <w:tcPr>
                  <w:tcW w:w="3098" w:type="dxa"/>
                  <w:noWrap/>
                  <w:vAlign w:val="center"/>
                </w:tcPr>
                <w:p w14:paraId="15078A67">
                  <w:pPr>
                    <w:widowControl/>
                    <w:jc w:val="center"/>
                    <w:rPr>
                      <w:color w:val="000000"/>
                      <w:kern w:val="0"/>
                      <w:szCs w:val="21"/>
                      <w:u w:val="single"/>
                    </w:rPr>
                  </w:pPr>
                  <w:r>
                    <w:rPr>
                      <w:color w:val="000000"/>
                      <w:kern w:val="0"/>
                      <w:szCs w:val="21"/>
                      <w:u w:val="single"/>
                    </w:rPr>
                    <w:t>13000*800</w:t>
                  </w:r>
                </w:p>
              </w:tc>
              <w:tc>
                <w:tcPr>
                  <w:tcW w:w="1430" w:type="dxa"/>
                  <w:noWrap/>
                  <w:vAlign w:val="center"/>
                </w:tcPr>
                <w:p w14:paraId="556567DA">
                  <w:pPr>
                    <w:widowControl/>
                    <w:jc w:val="center"/>
                    <w:rPr>
                      <w:color w:val="000000"/>
                      <w:kern w:val="0"/>
                      <w:szCs w:val="21"/>
                      <w:u w:val="single"/>
                    </w:rPr>
                  </w:pPr>
                  <w:r>
                    <w:rPr>
                      <w:color w:val="000000"/>
                      <w:kern w:val="0"/>
                      <w:szCs w:val="21"/>
                      <w:u w:val="single"/>
                    </w:rPr>
                    <w:t>1</w:t>
                  </w:r>
                </w:p>
              </w:tc>
            </w:tr>
            <w:tr w14:paraId="74995FEF">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2" w:type="dxa"/>
                  <w:noWrap/>
                  <w:vAlign w:val="center"/>
                </w:tcPr>
                <w:p w14:paraId="47B0CD7D">
                  <w:pPr>
                    <w:widowControl/>
                    <w:jc w:val="center"/>
                    <w:rPr>
                      <w:color w:val="000000"/>
                      <w:kern w:val="0"/>
                      <w:szCs w:val="21"/>
                      <w:u w:val="single"/>
                    </w:rPr>
                  </w:pPr>
                  <w:r>
                    <w:rPr>
                      <w:color w:val="000000"/>
                      <w:kern w:val="0"/>
                      <w:szCs w:val="21"/>
                      <w:u w:val="single"/>
                    </w:rPr>
                    <w:t>5</w:t>
                  </w:r>
                </w:p>
              </w:tc>
              <w:tc>
                <w:tcPr>
                  <w:tcW w:w="1243" w:type="dxa"/>
                  <w:noWrap/>
                  <w:vAlign w:val="center"/>
                </w:tcPr>
                <w:p w14:paraId="60B3F9A7">
                  <w:pPr>
                    <w:widowControl/>
                    <w:jc w:val="center"/>
                    <w:rPr>
                      <w:color w:val="000000"/>
                      <w:kern w:val="0"/>
                      <w:szCs w:val="21"/>
                      <w:u w:val="single"/>
                    </w:rPr>
                  </w:pPr>
                  <w:r>
                    <w:rPr>
                      <w:color w:val="000000"/>
                      <w:kern w:val="0"/>
                      <w:szCs w:val="21"/>
                      <w:u w:val="single"/>
                    </w:rPr>
                    <w:t>前处理</w:t>
                  </w:r>
                </w:p>
              </w:tc>
              <w:tc>
                <w:tcPr>
                  <w:tcW w:w="2104" w:type="dxa"/>
                  <w:noWrap/>
                  <w:vAlign w:val="center"/>
                </w:tcPr>
                <w:p w14:paraId="3F05AACE">
                  <w:pPr>
                    <w:widowControl/>
                    <w:jc w:val="center"/>
                    <w:rPr>
                      <w:color w:val="000000"/>
                      <w:kern w:val="0"/>
                      <w:szCs w:val="21"/>
                      <w:u w:val="single"/>
                    </w:rPr>
                  </w:pPr>
                  <w:r>
                    <w:rPr>
                      <w:color w:val="000000"/>
                      <w:kern w:val="0"/>
                      <w:szCs w:val="21"/>
                      <w:u w:val="single"/>
                    </w:rPr>
                    <w:t>双层烫脚趾输送机</w:t>
                  </w:r>
                </w:p>
              </w:tc>
              <w:tc>
                <w:tcPr>
                  <w:tcW w:w="3098" w:type="dxa"/>
                  <w:noWrap/>
                  <w:vAlign w:val="center"/>
                </w:tcPr>
                <w:p w14:paraId="0B906E58">
                  <w:pPr>
                    <w:widowControl/>
                    <w:jc w:val="center"/>
                    <w:rPr>
                      <w:color w:val="000000"/>
                      <w:kern w:val="0"/>
                      <w:szCs w:val="21"/>
                      <w:u w:val="single"/>
                    </w:rPr>
                  </w:pPr>
                  <w:r>
                    <w:rPr>
                      <w:color w:val="000000"/>
                      <w:kern w:val="0"/>
                      <w:szCs w:val="21"/>
                      <w:u w:val="single"/>
                    </w:rPr>
                    <w:t>17000*1500</w:t>
                  </w:r>
                </w:p>
              </w:tc>
              <w:tc>
                <w:tcPr>
                  <w:tcW w:w="1430" w:type="dxa"/>
                  <w:noWrap/>
                  <w:vAlign w:val="center"/>
                </w:tcPr>
                <w:p w14:paraId="1158AC6E">
                  <w:pPr>
                    <w:widowControl/>
                    <w:jc w:val="center"/>
                    <w:rPr>
                      <w:color w:val="000000"/>
                      <w:kern w:val="0"/>
                      <w:szCs w:val="21"/>
                      <w:u w:val="single"/>
                    </w:rPr>
                  </w:pPr>
                  <w:r>
                    <w:rPr>
                      <w:color w:val="000000"/>
                      <w:kern w:val="0"/>
                      <w:szCs w:val="21"/>
                      <w:u w:val="single"/>
                    </w:rPr>
                    <w:t>1</w:t>
                  </w:r>
                </w:p>
              </w:tc>
            </w:tr>
            <w:tr w14:paraId="32F4E653">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2" w:type="dxa"/>
                  <w:noWrap/>
                  <w:vAlign w:val="center"/>
                </w:tcPr>
                <w:p w14:paraId="6FE4CF8F">
                  <w:pPr>
                    <w:widowControl/>
                    <w:jc w:val="center"/>
                    <w:rPr>
                      <w:color w:val="000000"/>
                      <w:kern w:val="0"/>
                      <w:szCs w:val="21"/>
                      <w:u w:val="single"/>
                    </w:rPr>
                  </w:pPr>
                  <w:r>
                    <w:rPr>
                      <w:color w:val="000000"/>
                      <w:kern w:val="0"/>
                      <w:szCs w:val="21"/>
                      <w:u w:val="single"/>
                    </w:rPr>
                    <w:t>6</w:t>
                  </w:r>
                </w:p>
              </w:tc>
              <w:tc>
                <w:tcPr>
                  <w:tcW w:w="1243" w:type="dxa"/>
                  <w:noWrap/>
                  <w:vAlign w:val="center"/>
                </w:tcPr>
                <w:p w14:paraId="71D43F87">
                  <w:pPr>
                    <w:widowControl/>
                    <w:jc w:val="center"/>
                    <w:rPr>
                      <w:color w:val="000000"/>
                      <w:kern w:val="0"/>
                      <w:szCs w:val="21"/>
                      <w:u w:val="single"/>
                    </w:rPr>
                  </w:pPr>
                  <w:r>
                    <w:rPr>
                      <w:color w:val="000000"/>
                      <w:kern w:val="0"/>
                      <w:szCs w:val="21"/>
                      <w:u w:val="single"/>
                    </w:rPr>
                    <w:t>前处理</w:t>
                  </w:r>
                </w:p>
              </w:tc>
              <w:tc>
                <w:tcPr>
                  <w:tcW w:w="2104" w:type="dxa"/>
                  <w:noWrap/>
                  <w:vAlign w:val="center"/>
                </w:tcPr>
                <w:p w14:paraId="6A749E34">
                  <w:pPr>
                    <w:widowControl/>
                    <w:jc w:val="center"/>
                    <w:rPr>
                      <w:color w:val="000000"/>
                      <w:kern w:val="0"/>
                      <w:szCs w:val="21"/>
                      <w:u w:val="single"/>
                    </w:rPr>
                  </w:pPr>
                  <w:r>
                    <w:rPr>
                      <w:color w:val="000000"/>
                      <w:kern w:val="0"/>
                      <w:szCs w:val="21"/>
                      <w:u w:val="single"/>
                    </w:rPr>
                    <w:t>清洗分料输送机</w:t>
                  </w:r>
                </w:p>
              </w:tc>
              <w:tc>
                <w:tcPr>
                  <w:tcW w:w="3098" w:type="dxa"/>
                  <w:noWrap/>
                  <w:vAlign w:val="center"/>
                </w:tcPr>
                <w:p w14:paraId="01B07F86">
                  <w:pPr>
                    <w:widowControl/>
                    <w:jc w:val="center"/>
                    <w:rPr>
                      <w:color w:val="000000"/>
                      <w:kern w:val="0"/>
                      <w:szCs w:val="21"/>
                      <w:u w:val="single"/>
                    </w:rPr>
                  </w:pPr>
                  <w:r>
                    <w:rPr>
                      <w:color w:val="000000"/>
                      <w:kern w:val="0"/>
                      <w:szCs w:val="21"/>
                      <w:u w:val="single"/>
                    </w:rPr>
                    <w:t>11000*700</w:t>
                  </w:r>
                </w:p>
              </w:tc>
              <w:tc>
                <w:tcPr>
                  <w:tcW w:w="1430" w:type="dxa"/>
                  <w:noWrap/>
                  <w:vAlign w:val="center"/>
                </w:tcPr>
                <w:p w14:paraId="6179BE8C">
                  <w:pPr>
                    <w:widowControl/>
                    <w:jc w:val="center"/>
                    <w:rPr>
                      <w:color w:val="000000"/>
                      <w:kern w:val="0"/>
                      <w:szCs w:val="21"/>
                      <w:u w:val="single"/>
                    </w:rPr>
                  </w:pPr>
                  <w:r>
                    <w:rPr>
                      <w:color w:val="000000"/>
                      <w:kern w:val="0"/>
                      <w:szCs w:val="21"/>
                      <w:u w:val="single"/>
                    </w:rPr>
                    <w:t>1</w:t>
                  </w:r>
                </w:p>
              </w:tc>
            </w:tr>
            <w:tr w14:paraId="4B2916B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2" w:type="dxa"/>
                  <w:noWrap/>
                  <w:vAlign w:val="center"/>
                </w:tcPr>
                <w:p w14:paraId="3A8AED42">
                  <w:pPr>
                    <w:widowControl/>
                    <w:jc w:val="center"/>
                    <w:rPr>
                      <w:color w:val="000000"/>
                      <w:kern w:val="0"/>
                      <w:szCs w:val="21"/>
                      <w:u w:val="single"/>
                    </w:rPr>
                  </w:pPr>
                  <w:r>
                    <w:rPr>
                      <w:color w:val="000000"/>
                      <w:kern w:val="0"/>
                      <w:szCs w:val="21"/>
                      <w:u w:val="single"/>
                    </w:rPr>
                    <w:t>7</w:t>
                  </w:r>
                </w:p>
              </w:tc>
              <w:tc>
                <w:tcPr>
                  <w:tcW w:w="1243" w:type="dxa"/>
                  <w:noWrap/>
                  <w:vAlign w:val="center"/>
                </w:tcPr>
                <w:p w14:paraId="420555C4">
                  <w:pPr>
                    <w:widowControl/>
                    <w:jc w:val="center"/>
                    <w:rPr>
                      <w:color w:val="000000"/>
                      <w:kern w:val="0"/>
                      <w:szCs w:val="21"/>
                      <w:u w:val="single"/>
                    </w:rPr>
                  </w:pPr>
                  <w:r>
                    <w:rPr>
                      <w:color w:val="000000"/>
                      <w:kern w:val="0"/>
                      <w:szCs w:val="21"/>
                      <w:u w:val="single"/>
                    </w:rPr>
                    <w:t>前处理</w:t>
                  </w:r>
                </w:p>
              </w:tc>
              <w:tc>
                <w:tcPr>
                  <w:tcW w:w="2104" w:type="dxa"/>
                  <w:noWrap/>
                  <w:vAlign w:val="center"/>
                </w:tcPr>
                <w:p w14:paraId="3A94787C">
                  <w:pPr>
                    <w:widowControl/>
                    <w:jc w:val="center"/>
                    <w:rPr>
                      <w:color w:val="000000"/>
                      <w:kern w:val="0"/>
                      <w:szCs w:val="21"/>
                      <w:u w:val="single"/>
                    </w:rPr>
                  </w:pPr>
                  <w:r>
                    <w:rPr>
                      <w:color w:val="000000"/>
                      <w:kern w:val="0"/>
                      <w:szCs w:val="21"/>
                      <w:u w:val="single"/>
                    </w:rPr>
                    <w:t>毛辊清洗机</w:t>
                  </w:r>
                </w:p>
              </w:tc>
              <w:tc>
                <w:tcPr>
                  <w:tcW w:w="3098" w:type="dxa"/>
                  <w:noWrap/>
                  <w:vAlign w:val="center"/>
                </w:tcPr>
                <w:p w14:paraId="366FE7D3">
                  <w:pPr>
                    <w:widowControl/>
                    <w:jc w:val="center"/>
                    <w:rPr>
                      <w:color w:val="000000"/>
                      <w:kern w:val="0"/>
                      <w:szCs w:val="21"/>
                      <w:u w:val="single"/>
                    </w:rPr>
                  </w:pPr>
                  <w:r>
                    <w:rPr>
                      <w:color w:val="000000"/>
                      <w:kern w:val="0"/>
                      <w:szCs w:val="21"/>
                      <w:u w:val="single"/>
                    </w:rPr>
                    <w:t>2700*1000</w:t>
                  </w:r>
                </w:p>
              </w:tc>
              <w:tc>
                <w:tcPr>
                  <w:tcW w:w="1430" w:type="dxa"/>
                  <w:noWrap/>
                  <w:vAlign w:val="center"/>
                </w:tcPr>
                <w:p w14:paraId="1DE75E21">
                  <w:pPr>
                    <w:widowControl/>
                    <w:jc w:val="center"/>
                    <w:rPr>
                      <w:color w:val="000000"/>
                      <w:kern w:val="0"/>
                      <w:szCs w:val="21"/>
                      <w:u w:val="single"/>
                    </w:rPr>
                  </w:pPr>
                  <w:r>
                    <w:rPr>
                      <w:color w:val="000000"/>
                      <w:kern w:val="0"/>
                      <w:szCs w:val="21"/>
                      <w:u w:val="single"/>
                    </w:rPr>
                    <w:t>3</w:t>
                  </w:r>
                </w:p>
              </w:tc>
            </w:tr>
            <w:tr w14:paraId="275F5077">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2" w:type="dxa"/>
                  <w:noWrap/>
                  <w:vAlign w:val="center"/>
                </w:tcPr>
                <w:p w14:paraId="3CF83CE8">
                  <w:pPr>
                    <w:widowControl/>
                    <w:jc w:val="center"/>
                    <w:rPr>
                      <w:color w:val="000000"/>
                      <w:kern w:val="0"/>
                      <w:szCs w:val="21"/>
                      <w:u w:val="single"/>
                    </w:rPr>
                  </w:pPr>
                  <w:r>
                    <w:rPr>
                      <w:color w:val="000000"/>
                      <w:kern w:val="0"/>
                      <w:szCs w:val="21"/>
                      <w:u w:val="single"/>
                    </w:rPr>
                    <w:t>8</w:t>
                  </w:r>
                </w:p>
              </w:tc>
              <w:tc>
                <w:tcPr>
                  <w:tcW w:w="1243" w:type="dxa"/>
                  <w:noWrap/>
                  <w:vAlign w:val="center"/>
                </w:tcPr>
                <w:p w14:paraId="6A12E252">
                  <w:pPr>
                    <w:widowControl/>
                    <w:jc w:val="center"/>
                    <w:rPr>
                      <w:color w:val="000000"/>
                      <w:kern w:val="0"/>
                      <w:szCs w:val="21"/>
                      <w:u w:val="single"/>
                    </w:rPr>
                  </w:pPr>
                  <w:r>
                    <w:rPr>
                      <w:color w:val="000000"/>
                      <w:kern w:val="0"/>
                      <w:szCs w:val="21"/>
                      <w:u w:val="single"/>
                    </w:rPr>
                    <w:t>前处理</w:t>
                  </w:r>
                </w:p>
              </w:tc>
              <w:tc>
                <w:tcPr>
                  <w:tcW w:w="2104" w:type="dxa"/>
                  <w:noWrap/>
                  <w:vAlign w:val="center"/>
                </w:tcPr>
                <w:p w14:paraId="0D1D3453">
                  <w:pPr>
                    <w:widowControl/>
                    <w:jc w:val="center"/>
                    <w:rPr>
                      <w:color w:val="000000"/>
                      <w:kern w:val="0"/>
                      <w:szCs w:val="21"/>
                      <w:u w:val="single"/>
                    </w:rPr>
                  </w:pPr>
                  <w:r>
                    <w:rPr>
                      <w:color w:val="000000"/>
                      <w:kern w:val="0"/>
                      <w:szCs w:val="21"/>
                      <w:u w:val="single"/>
                    </w:rPr>
                    <w:t>清洗出料输送机</w:t>
                  </w:r>
                </w:p>
              </w:tc>
              <w:tc>
                <w:tcPr>
                  <w:tcW w:w="3098" w:type="dxa"/>
                  <w:noWrap/>
                  <w:vAlign w:val="center"/>
                </w:tcPr>
                <w:p w14:paraId="7A9E428E">
                  <w:pPr>
                    <w:widowControl/>
                    <w:jc w:val="center"/>
                    <w:rPr>
                      <w:color w:val="000000"/>
                      <w:kern w:val="0"/>
                      <w:szCs w:val="21"/>
                      <w:u w:val="single"/>
                    </w:rPr>
                  </w:pPr>
                  <w:r>
                    <w:rPr>
                      <w:color w:val="000000"/>
                      <w:kern w:val="0"/>
                      <w:szCs w:val="21"/>
                      <w:u w:val="single"/>
                    </w:rPr>
                    <w:t>12500*700</w:t>
                  </w:r>
                </w:p>
              </w:tc>
              <w:tc>
                <w:tcPr>
                  <w:tcW w:w="1430" w:type="dxa"/>
                  <w:noWrap/>
                  <w:vAlign w:val="center"/>
                </w:tcPr>
                <w:p w14:paraId="3A6CE169">
                  <w:pPr>
                    <w:widowControl/>
                    <w:jc w:val="center"/>
                    <w:rPr>
                      <w:color w:val="000000"/>
                      <w:kern w:val="0"/>
                      <w:szCs w:val="21"/>
                      <w:u w:val="single"/>
                    </w:rPr>
                  </w:pPr>
                  <w:r>
                    <w:rPr>
                      <w:color w:val="000000"/>
                      <w:kern w:val="0"/>
                      <w:szCs w:val="21"/>
                      <w:u w:val="single"/>
                    </w:rPr>
                    <w:t>1</w:t>
                  </w:r>
                </w:p>
              </w:tc>
            </w:tr>
            <w:tr w14:paraId="22C0B99C">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2" w:type="dxa"/>
                  <w:noWrap/>
                  <w:vAlign w:val="center"/>
                </w:tcPr>
                <w:p w14:paraId="65E2E780">
                  <w:pPr>
                    <w:widowControl/>
                    <w:jc w:val="center"/>
                    <w:rPr>
                      <w:color w:val="000000"/>
                      <w:kern w:val="0"/>
                      <w:szCs w:val="21"/>
                      <w:u w:val="single"/>
                    </w:rPr>
                  </w:pPr>
                  <w:r>
                    <w:rPr>
                      <w:color w:val="000000"/>
                      <w:kern w:val="0"/>
                      <w:szCs w:val="21"/>
                      <w:u w:val="single"/>
                    </w:rPr>
                    <w:t>9</w:t>
                  </w:r>
                </w:p>
              </w:tc>
              <w:tc>
                <w:tcPr>
                  <w:tcW w:w="1243" w:type="dxa"/>
                  <w:noWrap/>
                  <w:vAlign w:val="center"/>
                </w:tcPr>
                <w:p w14:paraId="1A955D44">
                  <w:pPr>
                    <w:widowControl/>
                    <w:jc w:val="center"/>
                    <w:rPr>
                      <w:color w:val="000000"/>
                      <w:kern w:val="0"/>
                      <w:szCs w:val="21"/>
                      <w:u w:val="single"/>
                    </w:rPr>
                  </w:pPr>
                  <w:r>
                    <w:rPr>
                      <w:color w:val="000000"/>
                      <w:kern w:val="0"/>
                      <w:szCs w:val="21"/>
                      <w:u w:val="single"/>
                    </w:rPr>
                    <w:t>前处理</w:t>
                  </w:r>
                </w:p>
              </w:tc>
              <w:tc>
                <w:tcPr>
                  <w:tcW w:w="2104" w:type="dxa"/>
                  <w:noWrap/>
                  <w:vAlign w:val="center"/>
                </w:tcPr>
                <w:p w14:paraId="00DE83A2">
                  <w:pPr>
                    <w:widowControl/>
                    <w:jc w:val="center"/>
                    <w:rPr>
                      <w:color w:val="000000"/>
                      <w:kern w:val="0"/>
                      <w:szCs w:val="21"/>
                      <w:u w:val="single"/>
                    </w:rPr>
                  </w:pPr>
                  <w:r>
                    <w:rPr>
                      <w:color w:val="000000"/>
                      <w:kern w:val="0"/>
                      <w:szCs w:val="21"/>
                      <w:u w:val="single"/>
                    </w:rPr>
                    <w:t>双层修毛输送机</w:t>
                  </w:r>
                </w:p>
              </w:tc>
              <w:tc>
                <w:tcPr>
                  <w:tcW w:w="3098" w:type="dxa"/>
                  <w:noWrap/>
                  <w:vAlign w:val="center"/>
                </w:tcPr>
                <w:p w14:paraId="458C7FA7">
                  <w:pPr>
                    <w:widowControl/>
                    <w:jc w:val="center"/>
                    <w:rPr>
                      <w:color w:val="000000"/>
                      <w:kern w:val="0"/>
                      <w:szCs w:val="21"/>
                      <w:u w:val="single"/>
                    </w:rPr>
                  </w:pPr>
                  <w:r>
                    <w:rPr>
                      <w:color w:val="000000"/>
                      <w:kern w:val="0"/>
                      <w:szCs w:val="21"/>
                      <w:u w:val="single"/>
                    </w:rPr>
                    <w:t>7000*1500</w:t>
                  </w:r>
                </w:p>
              </w:tc>
              <w:tc>
                <w:tcPr>
                  <w:tcW w:w="1430" w:type="dxa"/>
                  <w:noWrap/>
                  <w:vAlign w:val="center"/>
                </w:tcPr>
                <w:p w14:paraId="2C913EE5">
                  <w:pPr>
                    <w:widowControl/>
                    <w:jc w:val="center"/>
                    <w:rPr>
                      <w:color w:val="000000"/>
                      <w:kern w:val="0"/>
                      <w:szCs w:val="21"/>
                      <w:u w:val="single"/>
                    </w:rPr>
                  </w:pPr>
                  <w:r>
                    <w:rPr>
                      <w:color w:val="000000"/>
                      <w:kern w:val="0"/>
                      <w:szCs w:val="21"/>
                      <w:u w:val="single"/>
                    </w:rPr>
                    <w:t>1</w:t>
                  </w:r>
                </w:p>
              </w:tc>
            </w:tr>
            <w:tr w14:paraId="360C0B8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2" w:type="dxa"/>
                  <w:noWrap/>
                  <w:vAlign w:val="center"/>
                </w:tcPr>
                <w:p w14:paraId="1A68F135">
                  <w:pPr>
                    <w:widowControl/>
                    <w:jc w:val="center"/>
                    <w:rPr>
                      <w:color w:val="000000"/>
                      <w:kern w:val="0"/>
                      <w:szCs w:val="21"/>
                      <w:u w:val="single"/>
                    </w:rPr>
                  </w:pPr>
                  <w:r>
                    <w:rPr>
                      <w:color w:val="000000"/>
                      <w:kern w:val="0"/>
                      <w:szCs w:val="21"/>
                      <w:u w:val="single"/>
                    </w:rPr>
                    <w:t>10</w:t>
                  </w:r>
                </w:p>
              </w:tc>
              <w:tc>
                <w:tcPr>
                  <w:tcW w:w="1243" w:type="dxa"/>
                  <w:noWrap/>
                  <w:vAlign w:val="center"/>
                </w:tcPr>
                <w:p w14:paraId="24B158A3">
                  <w:pPr>
                    <w:widowControl/>
                    <w:jc w:val="center"/>
                    <w:rPr>
                      <w:color w:val="000000"/>
                      <w:kern w:val="0"/>
                      <w:szCs w:val="21"/>
                      <w:u w:val="single"/>
                    </w:rPr>
                  </w:pPr>
                  <w:r>
                    <w:rPr>
                      <w:color w:val="000000"/>
                      <w:kern w:val="0"/>
                      <w:szCs w:val="21"/>
                      <w:u w:val="single"/>
                    </w:rPr>
                    <w:t>前处理</w:t>
                  </w:r>
                </w:p>
              </w:tc>
              <w:tc>
                <w:tcPr>
                  <w:tcW w:w="2104" w:type="dxa"/>
                  <w:noWrap/>
                  <w:vAlign w:val="center"/>
                </w:tcPr>
                <w:p w14:paraId="03F51282">
                  <w:pPr>
                    <w:widowControl/>
                    <w:jc w:val="center"/>
                    <w:rPr>
                      <w:color w:val="000000"/>
                      <w:kern w:val="0"/>
                      <w:szCs w:val="21"/>
                      <w:u w:val="single"/>
                    </w:rPr>
                  </w:pPr>
                  <w:r>
                    <w:rPr>
                      <w:color w:val="000000"/>
                      <w:kern w:val="0"/>
                      <w:szCs w:val="21"/>
                      <w:u w:val="single"/>
                    </w:rPr>
                    <w:t>分级出料输送机 1</w:t>
                  </w:r>
                </w:p>
              </w:tc>
              <w:tc>
                <w:tcPr>
                  <w:tcW w:w="3098" w:type="dxa"/>
                  <w:noWrap/>
                  <w:vAlign w:val="center"/>
                </w:tcPr>
                <w:p w14:paraId="7F2C1E42">
                  <w:pPr>
                    <w:widowControl/>
                    <w:jc w:val="center"/>
                    <w:rPr>
                      <w:color w:val="000000"/>
                      <w:kern w:val="0"/>
                      <w:szCs w:val="21"/>
                      <w:u w:val="single"/>
                    </w:rPr>
                  </w:pPr>
                  <w:r>
                    <w:rPr>
                      <w:color w:val="000000"/>
                      <w:kern w:val="0"/>
                      <w:szCs w:val="21"/>
                      <w:u w:val="single"/>
                    </w:rPr>
                    <w:t>2000*800</w:t>
                  </w:r>
                </w:p>
              </w:tc>
              <w:tc>
                <w:tcPr>
                  <w:tcW w:w="1430" w:type="dxa"/>
                  <w:noWrap/>
                  <w:vAlign w:val="center"/>
                </w:tcPr>
                <w:p w14:paraId="5909181A">
                  <w:pPr>
                    <w:widowControl/>
                    <w:jc w:val="center"/>
                    <w:rPr>
                      <w:color w:val="000000"/>
                      <w:kern w:val="0"/>
                      <w:szCs w:val="21"/>
                      <w:u w:val="single"/>
                    </w:rPr>
                  </w:pPr>
                  <w:r>
                    <w:rPr>
                      <w:color w:val="000000"/>
                      <w:kern w:val="0"/>
                      <w:szCs w:val="21"/>
                      <w:u w:val="single"/>
                    </w:rPr>
                    <w:t>1</w:t>
                  </w:r>
                </w:p>
              </w:tc>
            </w:tr>
            <w:tr w14:paraId="39DD7532">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2" w:type="dxa"/>
                  <w:noWrap/>
                  <w:vAlign w:val="center"/>
                </w:tcPr>
                <w:p w14:paraId="26059D79">
                  <w:pPr>
                    <w:widowControl/>
                    <w:jc w:val="center"/>
                    <w:rPr>
                      <w:color w:val="000000"/>
                      <w:kern w:val="0"/>
                      <w:szCs w:val="21"/>
                      <w:u w:val="single"/>
                    </w:rPr>
                  </w:pPr>
                  <w:r>
                    <w:rPr>
                      <w:color w:val="000000"/>
                      <w:kern w:val="0"/>
                      <w:szCs w:val="21"/>
                      <w:u w:val="single"/>
                    </w:rPr>
                    <w:t>11</w:t>
                  </w:r>
                </w:p>
              </w:tc>
              <w:tc>
                <w:tcPr>
                  <w:tcW w:w="1243" w:type="dxa"/>
                  <w:noWrap/>
                  <w:vAlign w:val="center"/>
                </w:tcPr>
                <w:p w14:paraId="38AE4E33">
                  <w:pPr>
                    <w:widowControl/>
                    <w:jc w:val="center"/>
                    <w:rPr>
                      <w:color w:val="000000"/>
                      <w:kern w:val="0"/>
                      <w:szCs w:val="21"/>
                      <w:u w:val="single"/>
                    </w:rPr>
                  </w:pPr>
                  <w:r>
                    <w:rPr>
                      <w:color w:val="000000"/>
                      <w:kern w:val="0"/>
                      <w:szCs w:val="21"/>
                      <w:u w:val="single"/>
                    </w:rPr>
                    <w:t>前处理</w:t>
                  </w:r>
                </w:p>
              </w:tc>
              <w:tc>
                <w:tcPr>
                  <w:tcW w:w="2104" w:type="dxa"/>
                  <w:noWrap/>
                  <w:vAlign w:val="center"/>
                </w:tcPr>
                <w:p w14:paraId="5366D7B6">
                  <w:pPr>
                    <w:widowControl/>
                    <w:jc w:val="center"/>
                    <w:rPr>
                      <w:color w:val="000000"/>
                      <w:kern w:val="0"/>
                      <w:szCs w:val="21"/>
                      <w:u w:val="single"/>
                    </w:rPr>
                  </w:pPr>
                  <w:r>
                    <w:rPr>
                      <w:color w:val="000000"/>
                      <w:kern w:val="0"/>
                      <w:szCs w:val="21"/>
                      <w:u w:val="single"/>
                    </w:rPr>
                    <w:t>分级出料双层输送机</w:t>
                  </w:r>
                </w:p>
              </w:tc>
              <w:tc>
                <w:tcPr>
                  <w:tcW w:w="3098" w:type="dxa"/>
                  <w:noWrap/>
                  <w:vAlign w:val="center"/>
                </w:tcPr>
                <w:p w14:paraId="1C188641">
                  <w:pPr>
                    <w:widowControl/>
                    <w:jc w:val="center"/>
                    <w:rPr>
                      <w:color w:val="000000"/>
                      <w:kern w:val="0"/>
                      <w:szCs w:val="21"/>
                      <w:u w:val="single"/>
                    </w:rPr>
                  </w:pPr>
                  <w:r>
                    <w:rPr>
                      <w:color w:val="000000"/>
                      <w:kern w:val="0"/>
                      <w:szCs w:val="21"/>
                      <w:u w:val="single"/>
                    </w:rPr>
                    <w:t>9000*600</w:t>
                  </w:r>
                </w:p>
              </w:tc>
              <w:tc>
                <w:tcPr>
                  <w:tcW w:w="1430" w:type="dxa"/>
                  <w:noWrap/>
                  <w:vAlign w:val="center"/>
                </w:tcPr>
                <w:p w14:paraId="55A4F3EB">
                  <w:pPr>
                    <w:widowControl/>
                    <w:jc w:val="center"/>
                    <w:rPr>
                      <w:color w:val="000000"/>
                      <w:kern w:val="0"/>
                      <w:szCs w:val="21"/>
                      <w:u w:val="single"/>
                    </w:rPr>
                  </w:pPr>
                  <w:r>
                    <w:rPr>
                      <w:color w:val="000000"/>
                      <w:kern w:val="0"/>
                      <w:szCs w:val="21"/>
                      <w:u w:val="single"/>
                    </w:rPr>
                    <w:t>1</w:t>
                  </w:r>
                </w:p>
              </w:tc>
            </w:tr>
            <w:tr w14:paraId="35B7E42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2" w:type="dxa"/>
                  <w:noWrap/>
                  <w:vAlign w:val="center"/>
                </w:tcPr>
                <w:p w14:paraId="65B8FB6A">
                  <w:pPr>
                    <w:widowControl/>
                    <w:jc w:val="center"/>
                    <w:rPr>
                      <w:color w:val="000000"/>
                      <w:kern w:val="0"/>
                      <w:szCs w:val="21"/>
                      <w:u w:val="single"/>
                    </w:rPr>
                  </w:pPr>
                  <w:r>
                    <w:rPr>
                      <w:color w:val="000000"/>
                      <w:kern w:val="0"/>
                      <w:szCs w:val="21"/>
                      <w:u w:val="single"/>
                    </w:rPr>
                    <w:t>16</w:t>
                  </w:r>
                </w:p>
              </w:tc>
              <w:tc>
                <w:tcPr>
                  <w:tcW w:w="1243" w:type="dxa"/>
                  <w:noWrap/>
                  <w:vAlign w:val="center"/>
                </w:tcPr>
                <w:p w14:paraId="5A66730E">
                  <w:pPr>
                    <w:widowControl/>
                    <w:jc w:val="center"/>
                    <w:rPr>
                      <w:color w:val="000000"/>
                      <w:kern w:val="0"/>
                      <w:szCs w:val="21"/>
                      <w:u w:val="single"/>
                    </w:rPr>
                  </w:pPr>
                  <w:r>
                    <w:rPr>
                      <w:color w:val="000000"/>
                      <w:kern w:val="0"/>
                      <w:szCs w:val="21"/>
                      <w:u w:val="single"/>
                    </w:rPr>
                    <w:t>前处理</w:t>
                  </w:r>
                </w:p>
              </w:tc>
              <w:tc>
                <w:tcPr>
                  <w:tcW w:w="2104" w:type="dxa"/>
                  <w:noWrap/>
                  <w:vAlign w:val="center"/>
                </w:tcPr>
                <w:p w14:paraId="1D71DDB9">
                  <w:pPr>
                    <w:widowControl/>
                    <w:jc w:val="center"/>
                    <w:rPr>
                      <w:color w:val="000000"/>
                      <w:kern w:val="0"/>
                      <w:szCs w:val="21"/>
                      <w:u w:val="single"/>
                    </w:rPr>
                  </w:pPr>
                  <w:r>
                    <w:rPr>
                      <w:color w:val="000000"/>
                      <w:kern w:val="0"/>
                      <w:szCs w:val="21"/>
                      <w:u w:val="single"/>
                    </w:rPr>
                    <w:t>切块清洗机</w:t>
                  </w:r>
                </w:p>
              </w:tc>
              <w:tc>
                <w:tcPr>
                  <w:tcW w:w="3098" w:type="dxa"/>
                  <w:noWrap/>
                  <w:vAlign w:val="center"/>
                </w:tcPr>
                <w:p w14:paraId="69015387">
                  <w:pPr>
                    <w:widowControl/>
                    <w:jc w:val="center"/>
                    <w:rPr>
                      <w:color w:val="000000"/>
                      <w:kern w:val="0"/>
                      <w:szCs w:val="21"/>
                      <w:u w:val="single"/>
                    </w:rPr>
                  </w:pPr>
                  <w:r>
                    <w:rPr>
                      <w:color w:val="000000"/>
                      <w:kern w:val="0"/>
                      <w:szCs w:val="21"/>
                      <w:u w:val="single"/>
                    </w:rPr>
                    <w:t>8000*1000</w:t>
                  </w:r>
                </w:p>
              </w:tc>
              <w:tc>
                <w:tcPr>
                  <w:tcW w:w="1430" w:type="dxa"/>
                  <w:noWrap/>
                  <w:vAlign w:val="center"/>
                </w:tcPr>
                <w:p w14:paraId="59A9A568">
                  <w:pPr>
                    <w:widowControl/>
                    <w:jc w:val="center"/>
                    <w:rPr>
                      <w:color w:val="000000"/>
                      <w:kern w:val="0"/>
                      <w:szCs w:val="21"/>
                      <w:u w:val="single"/>
                    </w:rPr>
                  </w:pPr>
                  <w:r>
                    <w:rPr>
                      <w:color w:val="000000"/>
                      <w:kern w:val="0"/>
                      <w:szCs w:val="21"/>
                      <w:u w:val="single"/>
                    </w:rPr>
                    <w:t>2</w:t>
                  </w:r>
                </w:p>
              </w:tc>
            </w:tr>
            <w:tr w14:paraId="38E61D3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2" w:type="dxa"/>
                  <w:noWrap/>
                  <w:vAlign w:val="center"/>
                </w:tcPr>
                <w:p w14:paraId="69436A92">
                  <w:pPr>
                    <w:widowControl/>
                    <w:jc w:val="center"/>
                    <w:rPr>
                      <w:color w:val="000000"/>
                      <w:kern w:val="0"/>
                      <w:szCs w:val="21"/>
                      <w:u w:val="single"/>
                    </w:rPr>
                  </w:pPr>
                  <w:r>
                    <w:rPr>
                      <w:color w:val="000000"/>
                      <w:kern w:val="0"/>
                      <w:szCs w:val="21"/>
                      <w:u w:val="single"/>
                    </w:rPr>
                    <w:t>17</w:t>
                  </w:r>
                </w:p>
              </w:tc>
              <w:tc>
                <w:tcPr>
                  <w:tcW w:w="1243" w:type="dxa"/>
                  <w:noWrap/>
                  <w:vAlign w:val="center"/>
                </w:tcPr>
                <w:p w14:paraId="438D5FD6">
                  <w:pPr>
                    <w:widowControl/>
                    <w:jc w:val="center"/>
                    <w:rPr>
                      <w:color w:val="000000"/>
                      <w:kern w:val="0"/>
                      <w:szCs w:val="21"/>
                      <w:u w:val="single"/>
                    </w:rPr>
                  </w:pPr>
                  <w:r>
                    <w:rPr>
                      <w:color w:val="000000"/>
                      <w:kern w:val="0"/>
                      <w:szCs w:val="21"/>
                      <w:u w:val="single"/>
                    </w:rPr>
                    <w:t>前处理</w:t>
                  </w:r>
                </w:p>
              </w:tc>
              <w:tc>
                <w:tcPr>
                  <w:tcW w:w="2104" w:type="dxa"/>
                  <w:noWrap/>
                  <w:vAlign w:val="center"/>
                </w:tcPr>
                <w:p w14:paraId="176F7AEC">
                  <w:pPr>
                    <w:widowControl/>
                    <w:jc w:val="center"/>
                    <w:rPr>
                      <w:color w:val="000000"/>
                      <w:kern w:val="0"/>
                      <w:szCs w:val="21"/>
                      <w:u w:val="single"/>
                    </w:rPr>
                  </w:pPr>
                  <w:r>
                    <w:rPr>
                      <w:color w:val="000000"/>
                      <w:kern w:val="0"/>
                      <w:szCs w:val="21"/>
                      <w:u w:val="single"/>
                    </w:rPr>
                    <w:t>380g 输送机 1</w:t>
                  </w:r>
                </w:p>
              </w:tc>
              <w:tc>
                <w:tcPr>
                  <w:tcW w:w="3098" w:type="dxa"/>
                  <w:noWrap/>
                  <w:vAlign w:val="center"/>
                </w:tcPr>
                <w:p w14:paraId="0881CEA7">
                  <w:pPr>
                    <w:widowControl/>
                    <w:jc w:val="center"/>
                    <w:rPr>
                      <w:color w:val="000000"/>
                      <w:kern w:val="0"/>
                      <w:szCs w:val="21"/>
                      <w:u w:val="single"/>
                    </w:rPr>
                  </w:pPr>
                  <w:r>
                    <w:rPr>
                      <w:color w:val="000000"/>
                      <w:kern w:val="0"/>
                      <w:szCs w:val="21"/>
                      <w:u w:val="single"/>
                    </w:rPr>
                    <w:t>3500*600</w:t>
                  </w:r>
                </w:p>
              </w:tc>
              <w:tc>
                <w:tcPr>
                  <w:tcW w:w="1430" w:type="dxa"/>
                  <w:noWrap/>
                  <w:vAlign w:val="center"/>
                </w:tcPr>
                <w:p w14:paraId="4F548327">
                  <w:pPr>
                    <w:widowControl/>
                    <w:jc w:val="center"/>
                    <w:rPr>
                      <w:color w:val="000000"/>
                      <w:kern w:val="0"/>
                      <w:szCs w:val="21"/>
                      <w:u w:val="single"/>
                    </w:rPr>
                  </w:pPr>
                  <w:r>
                    <w:rPr>
                      <w:color w:val="000000"/>
                      <w:kern w:val="0"/>
                      <w:szCs w:val="21"/>
                      <w:u w:val="single"/>
                    </w:rPr>
                    <w:t>1</w:t>
                  </w:r>
                </w:p>
              </w:tc>
            </w:tr>
            <w:tr w14:paraId="40A4917E">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2" w:type="dxa"/>
                  <w:noWrap/>
                  <w:vAlign w:val="center"/>
                </w:tcPr>
                <w:p w14:paraId="09EF462E">
                  <w:pPr>
                    <w:widowControl/>
                    <w:jc w:val="center"/>
                    <w:rPr>
                      <w:color w:val="000000"/>
                      <w:kern w:val="0"/>
                      <w:szCs w:val="21"/>
                      <w:u w:val="single"/>
                    </w:rPr>
                  </w:pPr>
                  <w:r>
                    <w:rPr>
                      <w:color w:val="000000"/>
                      <w:kern w:val="0"/>
                      <w:szCs w:val="21"/>
                      <w:u w:val="single"/>
                    </w:rPr>
                    <w:t>18</w:t>
                  </w:r>
                </w:p>
              </w:tc>
              <w:tc>
                <w:tcPr>
                  <w:tcW w:w="1243" w:type="dxa"/>
                  <w:noWrap/>
                  <w:vAlign w:val="center"/>
                </w:tcPr>
                <w:p w14:paraId="27EA2CE3">
                  <w:pPr>
                    <w:widowControl/>
                    <w:jc w:val="center"/>
                    <w:rPr>
                      <w:color w:val="000000"/>
                      <w:kern w:val="0"/>
                      <w:szCs w:val="21"/>
                      <w:u w:val="single"/>
                    </w:rPr>
                  </w:pPr>
                  <w:r>
                    <w:rPr>
                      <w:color w:val="000000"/>
                      <w:kern w:val="0"/>
                      <w:szCs w:val="21"/>
                      <w:u w:val="single"/>
                    </w:rPr>
                    <w:t>前处理</w:t>
                  </w:r>
                </w:p>
              </w:tc>
              <w:tc>
                <w:tcPr>
                  <w:tcW w:w="2104" w:type="dxa"/>
                  <w:noWrap/>
                  <w:vAlign w:val="center"/>
                </w:tcPr>
                <w:p w14:paraId="289099CF">
                  <w:pPr>
                    <w:widowControl/>
                    <w:jc w:val="center"/>
                    <w:rPr>
                      <w:color w:val="000000"/>
                      <w:kern w:val="0"/>
                      <w:szCs w:val="21"/>
                      <w:u w:val="single"/>
                    </w:rPr>
                  </w:pPr>
                  <w:r>
                    <w:rPr>
                      <w:color w:val="000000"/>
                      <w:kern w:val="0"/>
                      <w:szCs w:val="21"/>
                      <w:u w:val="single"/>
                    </w:rPr>
                    <w:t>380g 输送机 2</w:t>
                  </w:r>
                </w:p>
              </w:tc>
              <w:tc>
                <w:tcPr>
                  <w:tcW w:w="3098" w:type="dxa"/>
                  <w:noWrap/>
                  <w:vAlign w:val="center"/>
                </w:tcPr>
                <w:p w14:paraId="0D472C3B">
                  <w:pPr>
                    <w:widowControl/>
                    <w:jc w:val="center"/>
                    <w:rPr>
                      <w:color w:val="000000"/>
                      <w:kern w:val="0"/>
                      <w:szCs w:val="21"/>
                      <w:u w:val="single"/>
                    </w:rPr>
                  </w:pPr>
                  <w:r>
                    <w:rPr>
                      <w:color w:val="000000"/>
                      <w:kern w:val="0"/>
                      <w:szCs w:val="21"/>
                      <w:u w:val="single"/>
                    </w:rPr>
                    <w:t>4500*800</w:t>
                  </w:r>
                </w:p>
              </w:tc>
              <w:tc>
                <w:tcPr>
                  <w:tcW w:w="1430" w:type="dxa"/>
                  <w:noWrap/>
                  <w:vAlign w:val="center"/>
                </w:tcPr>
                <w:p w14:paraId="2C01834E">
                  <w:pPr>
                    <w:widowControl/>
                    <w:jc w:val="center"/>
                    <w:rPr>
                      <w:color w:val="000000"/>
                      <w:kern w:val="0"/>
                      <w:szCs w:val="21"/>
                      <w:u w:val="single"/>
                    </w:rPr>
                  </w:pPr>
                  <w:r>
                    <w:rPr>
                      <w:color w:val="000000"/>
                      <w:kern w:val="0"/>
                      <w:szCs w:val="21"/>
                      <w:u w:val="single"/>
                    </w:rPr>
                    <w:t>1</w:t>
                  </w:r>
                </w:p>
              </w:tc>
            </w:tr>
            <w:tr w14:paraId="2E4F9666">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2" w:type="dxa"/>
                  <w:noWrap/>
                  <w:vAlign w:val="center"/>
                </w:tcPr>
                <w:p w14:paraId="3C4E5A27">
                  <w:pPr>
                    <w:widowControl/>
                    <w:jc w:val="center"/>
                    <w:rPr>
                      <w:color w:val="000000"/>
                      <w:kern w:val="0"/>
                      <w:szCs w:val="21"/>
                      <w:u w:val="single"/>
                    </w:rPr>
                  </w:pPr>
                  <w:r>
                    <w:rPr>
                      <w:color w:val="000000"/>
                      <w:kern w:val="0"/>
                      <w:szCs w:val="21"/>
                      <w:u w:val="single"/>
                    </w:rPr>
                    <w:t>19</w:t>
                  </w:r>
                </w:p>
              </w:tc>
              <w:tc>
                <w:tcPr>
                  <w:tcW w:w="1243" w:type="dxa"/>
                  <w:noWrap/>
                  <w:vAlign w:val="center"/>
                </w:tcPr>
                <w:p w14:paraId="00797F89">
                  <w:pPr>
                    <w:widowControl/>
                    <w:jc w:val="center"/>
                    <w:rPr>
                      <w:color w:val="000000"/>
                      <w:kern w:val="0"/>
                      <w:szCs w:val="21"/>
                      <w:u w:val="single"/>
                    </w:rPr>
                  </w:pPr>
                  <w:r>
                    <w:rPr>
                      <w:color w:val="000000"/>
                      <w:kern w:val="0"/>
                      <w:szCs w:val="21"/>
                      <w:u w:val="single"/>
                    </w:rPr>
                    <w:t>前处理</w:t>
                  </w:r>
                </w:p>
              </w:tc>
              <w:tc>
                <w:tcPr>
                  <w:tcW w:w="2104" w:type="dxa"/>
                  <w:vAlign w:val="center"/>
                </w:tcPr>
                <w:p w14:paraId="4EF062D2">
                  <w:pPr>
                    <w:widowControl/>
                    <w:jc w:val="center"/>
                    <w:rPr>
                      <w:color w:val="000000"/>
                      <w:kern w:val="0"/>
                      <w:szCs w:val="21"/>
                      <w:u w:val="single"/>
                    </w:rPr>
                  </w:pPr>
                  <w:r>
                    <w:rPr>
                      <w:color w:val="000000"/>
                      <w:kern w:val="0"/>
                      <w:szCs w:val="21"/>
                      <w:u w:val="single"/>
                    </w:rPr>
                    <w:t>天然气烧毛机</w:t>
                  </w:r>
                </w:p>
              </w:tc>
              <w:tc>
                <w:tcPr>
                  <w:tcW w:w="3098" w:type="dxa"/>
                  <w:noWrap/>
                  <w:vAlign w:val="center"/>
                </w:tcPr>
                <w:p w14:paraId="7D194785">
                  <w:pPr>
                    <w:widowControl/>
                    <w:jc w:val="center"/>
                    <w:rPr>
                      <w:color w:val="000000"/>
                      <w:kern w:val="0"/>
                      <w:szCs w:val="21"/>
                      <w:u w:val="single"/>
                    </w:rPr>
                  </w:pPr>
                  <w:r>
                    <w:rPr>
                      <w:color w:val="000000"/>
                      <w:kern w:val="0"/>
                      <w:szCs w:val="21"/>
                      <w:u w:val="single"/>
                    </w:rPr>
                    <w:t>4500*800</w:t>
                  </w:r>
                </w:p>
              </w:tc>
              <w:tc>
                <w:tcPr>
                  <w:tcW w:w="1430" w:type="dxa"/>
                  <w:noWrap/>
                  <w:vAlign w:val="center"/>
                </w:tcPr>
                <w:p w14:paraId="2A9248AC">
                  <w:pPr>
                    <w:widowControl/>
                    <w:jc w:val="center"/>
                    <w:rPr>
                      <w:color w:val="000000"/>
                      <w:kern w:val="0"/>
                      <w:szCs w:val="21"/>
                      <w:u w:val="single"/>
                    </w:rPr>
                  </w:pPr>
                  <w:r>
                    <w:rPr>
                      <w:color w:val="000000"/>
                      <w:kern w:val="0"/>
                      <w:szCs w:val="21"/>
                      <w:u w:val="single"/>
                    </w:rPr>
                    <w:t>2</w:t>
                  </w:r>
                </w:p>
              </w:tc>
            </w:tr>
            <w:tr w14:paraId="689664A2">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2" w:type="dxa"/>
                  <w:noWrap/>
                  <w:vAlign w:val="center"/>
                </w:tcPr>
                <w:p w14:paraId="1F3CE7E7">
                  <w:pPr>
                    <w:widowControl/>
                    <w:jc w:val="center"/>
                    <w:rPr>
                      <w:color w:val="000000"/>
                      <w:kern w:val="0"/>
                      <w:szCs w:val="21"/>
                      <w:u w:val="single"/>
                    </w:rPr>
                  </w:pPr>
                  <w:r>
                    <w:rPr>
                      <w:color w:val="000000"/>
                      <w:kern w:val="0"/>
                      <w:szCs w:val="21"/>
                      <w:u w:val="single"/>
                    </w:rPr>
                    <w:t>20</w:t>
                  </w:r>
                </w:p>
              </w:tc>
              <w:tc>
                <w:tcPr>
                  <w:tcW w:w="1243" w:type="dxa"/>
                  <w:noWrap/>
                  <w:vAlign w:val="center"/>
                </w:tcPr>
                <w:p w14:paraId="5114B25A">
                  <w:pPr>
                    <w:widowControl/>
                    <w:jc w:val="center"/>
                    <w:rPr>
                      <w:color w:val="000000"/>
                      <w:kern w:val="0"/>
                      <w:szCs w:val="21"/>
                      <w:u w:val="single"/>
                    </w:rPr>
                  </w:pPr>
                  <w:r>
                    <w:rPr>
                      <w:color w:val="000000"/>
                      <w:kern w:val="0"/>
                      <w:szCs w:val="21"/>
                      <w:u w:val="single"/>
                    </w:rPr>
                    <w:t>前处理</w:t>
                  </w:r>
                </w:p>
              </w:tc>
              <w:tc>
                <w:tcPr>
                  <w:tcW w:w="2104" w:type="dxa"/>
                  <w:noWrap/>
                  <w:vAlign w:val="center"/>
                </w:tcPr>
                <w:p w14:paraId="5846ED6D">
                  <w:pPr>
                    <w:widowControl/>
                    <w:jc w:val="center"/>
                    <w:rPr>
                      <w:color w:val="000000"/>
                      <w:kern w:val="0"/>
                      <w:szCs w:val="21"/>
                      <w:u w:val="single"/>
                    </w:rPr>
                  </w:pPr>
                  <w:r>
                    <w:rPr>
                      <w:color w:val="000000"/>
                      <w:kern w:val="0"/>
                      <w:szCs w:val="21"/>
                      <w:u w:val="single"/>
                    </w:rPr>
                    <w:t>分选机</w:t>
                  </w:r>
                </w:p>
              </w:tc>
              <w:tc>
                <w:tcPr>
                  <w:tcW w:w="3098" w:type="dxa"/>
                  <w:vAlign w:val="center"/>
                </w:tcPr>
                <w:p w14:paraId="45479BBA">
                  <w:pPr>
                    <w:widowControl/>
                    <w:jc w:val="center"/>
                    <w:rPr>
                      <w:color w:val="000000"/>
                      <w:kern w:val="0"/>
                      <w:szCs w:val="21"/>
                      <w:u w:val="single"/>
                    </w:rPr>
                  </w:pPr>
                  <w:r>
                    <w:rPr>
                      <w:color w:val="000000"/>
                      <w:kern w:val="0"/>
                      <w:szCs w:val="21"/>
                      <w:u w:val="single"/>
                    </w:rPr>
                    <w:t>JRFCS-1000Gg-FY</w:t>
                  </w:r>
                </w:p>
              </w:tc>
              <w:tc>
                <w:tcPr>
                  <w:tcW w:w="1430" w:type="dxa"/>
                  <w:noWrap/>
                  <w:vAlign w:val="center"/>
                </w:tcPr>
                <w:p w14:paraId="07C41621">
                  <w:pPr>
                    <w:widowControl/>
                    <w:jc w:val="center"/>
                    <w:rPr>
                      <w:color w:val="000000"/>
                      <w:kern w:val="0"/>
                      <w:szCs w:val="21"/>
                      <w:u w:val="single"/>
                    </w:rPr>
                  </w:pPr>
                  <w:r>
                    <w:rPr>
                      <w:color w:val="000000"/>
                      <w:kern w:val="0"/>
                      <w:szCs w:val="21"/>
                      <w:u w:val="single"/>
                    </w:rPr>
                    <w:t>2</w:t>
                  </w:r>
                </w:p>
              </w:tc>
            </w:tr>
            <w:tr w14:paraId="782E999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2" w:type="dxa"/>
                  <w:noWrap/>
                  <w:vAlign w:val="center"/>
                </w:tcPr>
                <w:p w14:paraId="4DC39E10">
                  <w:pPr>
                    <w:widowControl/>
                    <w:jc w:val="center"/>
                    <w:rPr>
                      <w:color w:val="000000"/>
                      <w:kern w:val="0"/>
                      <w:szCs w:val="21"/>
                      <w:u w:val="single"/>
                    </w:rPr>
                  </w:pPr>
                  <w:r>
                    <w:rPr>
                      <w:color w:val="000000"/>
                      <w:kern w:val="0"/>
                      <w:szCs w:val="21"/>
                      <w:u w:val="single"/>
                    </w:rPr>
                    <w:t>21</w:t>
                  </w:r>
                </w:p>
              </w:tc>
              <w:tc>
                <w:tcPr>
                  <w:tcW w:w="1243" w:type="dxa"/>
                  <w:noWrap/>
                  <w:vAlign w:val="center"/>
                </w:tcPr>
                <w:p w14:paraId="1CAD4FF7">
                  <w:pPr>
                    <w:widowControl/>
                    <w:jc w:val="center"/>
                    <w:rPr>
                      <w:color w:val="000000"/>
                      <w:kern w:val="0"/>
                      <w:szCs w:val="21"/>
                      <w:u w:val="single"/>
                    </w:rPr>
                  </w:pPr>
                  <w:r>
                    <w:rPr>
                      <w:color w:val="000000"/>
                      <w:kern w:val="0"/>
                      <w:szCs w:val="21"/>
                      <w:u w:val="single"/>
                    </w:rPr>
                    <w:t>卤房</w:t>
                  </w:r>
                </w:p>
              </w:tc>
              <w:tc>
                <w:tcPr>
                  <w:tcW w:w="2104" w:type="dxa"/>
                  <w:noWrap/>
                  <w:vAlign w:val="center"/>
                </w:tcPr>
                <w:p w14:paraId="155B1D06">
                  <w:pPr>
                    <w:widowControl/>
                    <w:jc w:val="center"/>
                    <w:rPr>
                      <w:color w:val="000000"/>
                      <w:kern w:val="0"/>
                      <w:szCs w:val="21"/>
                      <w:u w:val="single"/>
                    </w:rPr>
                  </w:pPr>
                  <w:r>
                    <w:rPr>
                      <w:color w:val="000000"/>
                      <w:kern w:val="0"/>
                      <w:szCs w:val="21"/>
                      <w:u w:val="single"/>
                    </w:rPr>
                    <w:t>进料提升机</w:t>
                  </w:r>
                </w:p>
              </w:tc>
              <w:tc>
                <w:tcPr>
                  <w:tcW w:w="3098" w:type="dxa"/>
                  <w:noWrap/>
                  <w:vAlign w:val="center"/>
                </w:tcPr>
                <w:p w14:paraId="4D65F94A">
                  <w:pPr>
                    <w:widowControl/>
                    <w:jc w:val="center"/>
                    <w:rPr>
                      <w:color w:val="000000"/>
                      <w:kern w:val="0"/>
                      <w:szCs w:val="21"/>
                      <w:u w:val="single"/>
                    </w:rPr>
                  </w:pPr>
                  <w:r>
                    <w:rPr>
                      <w:color w:val="000000"/>
                      <w:kern w:val="0"/>
                      <w:szCs w:val="21"/>
                      <w:u w:val="single"/>
                    </w:rPr>
                    <w:t>3000*600</w:t>
                  </w:r>
                </w:p>
              </w:tc>
              <w:tc>
                <w:tcPr>
                  <w:tcW w:w="1430" w:type="dxa"/>
                  <w:noWrap/>
                  <w:vAlign w:val="center"/>
                </w:tcPr>
                <w:p w14:paraId="583B7C9F">
                  <w:pPr>
                    <w:widowControl/>
                    <w:jc w:val="center"/>
                    <w:rPr>
                      <w:color w:val="000000"/>
                      <w:kern w:val="0"/>
                      <w:szCs w:val="21"/>
                      <w:u w:val="single"/>
                    </w:rPr>
                  </w:pPr>
                  <w:r>
                    <w:rPr>
                      <w:color w:val="000000"/>
                      <w:kern w:val="0"/>
                      <w:szCs w:val="21"/>
                      <w:u w:val="single"/>
                    </w:rPr>
                    <w:t>2</w:t>
                  </w:r>
                </w:p>
              </w:tc>
            </w:tr>
            <w:tr w14:paraId="63DB18A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2" w:type="dxa"/>
                  <w:noWrap/>
                  <w:vAlign w:val="center"/>
                </w:tcPr>
                <w:p w14:paraId="57816D0E">
                  <w:pPr>
                    <w:widowControl/>
                    <w:jc w:val="center"/>
                    <w:rPr>
                      <w:color w:val="000000"/>
                      <w:kern w:val="0"/>
                      <w:szCs w:val="21"/>
                      <w:u w:val="single"/>
                    </w:rPr>
                  </w:pPr>
                  <w:r>
                    <w:rPr>
                      <w:color w:val="000000"/>
                      <w:kern w:val="0"/>
                      <w:szCs w:val="21"/>
                      <w:u w:val="single"/>
                    </w:rPr>
                    <w:t>22</w:t>
                  </w:r>
                </w:p>
              </w:tc>
              <w:tc>
                <w:tcPr>
                  <w:tcW w:w="1243" w:type="dxa"/>
                  <w:noWrap/>
                  <w:vAlign w:val="center"/>
                </w:tcPr>
                <w:p w14:paraId="402BC750">
                  <w:pPr>
                    <w:widowControl/>
                    <w:jc w:val="center"/>
                    <w:rPr>
                      <w:color w:val="000000"/>
                      <w:kern w:val="0"/>
                      <w:szCs w:val="21"/>
                      <w:u w:val="single"/>
                    </w:rPr>
                  </w:pPr>
                  <w:r>
                    <w:rPr>
                      <w:color w:val="000000"/>
                      <w:kern w:val="0"/>
                      <w:szCs w:val="21"/>
                      <w:u w:val="single"/>
                    </w:rPr>
                    <w:t>卤房</w:t>
                  </w:r>
                </w:p>
              </w:tc>
              <w:tc>
                <w:tcPr>
                  <w:tcW w:w="2104" w:type="dxa"/>
                  <w:noWrap/>
                  <w:vAlign w:val="center"/>
                </w:tcPr>
                <w:p w14:paraId="022BB422">
                  <w:pPr>
                    <w:widowControl/>
                    <w:jc w:val="center"/>
                    <w:rPr>
                      <w:color w:val="000000"/>
                      <w:kern w:val="0"/>
                      <w:szCs w:val="21"/>
                      <w:u w:val="single"/>
                    </w:rPr>
                  </w:pPr>
                  <w:r>
                    <w:rPr>
                      <w:color w:val="000000"/>
                      <w:kern w:val="0"/>
                      <w:szCs w:val="21"/>
                      <w:u w:val="single"/>
                    </w:rPr>
                    <w:t>滚揉机</w:t>
                  </w:r>
                </w:p>
              </w:tc>
              <w:tc>
                <w:tcPr>
                  <w:tcW w:w="3098" w:type="dxa"/>
                  <w:noWrap/>
                  <w:vAlign w:val="center"/>
                </w:tcPr>
                <w:p w14:paraId="6E6C328C">
                  <w:pPr>
                    <w:widowControl/>
                    <w:jc w:val="center"/>
                    <w:rPr>
                      <w:color w:val="000000"/>
                      <w:kern w:val="0"/>
                      <w:szCs w:val="21"/>
                      <w:u w:val="single"/>
                    </w:rPr>
                  </w:pPr>
                  <w:r>
                    <w:rPr>
                      <w:color w:val="000000"/>
                      <w:kern w:val="0"/>
                      <w:szCs w:val="21"/>
                      <w:u w:val="single"/>
                    </w:rPr>
                    <w:t>/</w:t>
                  </w:r>
                </w:p>
              </w:tc>
              <w:tc>
                <w:tcPr>
                  <w:tcW w:w="1430" w:type="dxa"/>
                  <w:noWrap/>
                  <w:vAlign w:val="center"/>
                </w:tcPr>
                <w:p w14:paraId="5888C4AE">
                  <w:pPr>
                    <w:widowControl/>
                    <w:jc w:val="center"/>
                    <w:rPr>
                      <w:color w:val="000000"/>
                      <w:kern w:val="0"/>
                      <w:szCs w:val="21"/>
                      <w:u w:val="single"/>
                    </w:rPr>
                  </w:pPr>
                  <w:r>
                    <w:rPr>
                      <w:color w:val="000000"/>
                      <w:kern w:val="0"/>
                      <w:szCs w:val="21"/>
                      <w:u w:val="single"/>
                    </w:rPr>
                    <w:t>2</w:t>
                  </w:r>
                </w:p>
              </w:tc>
            </w:tr>
            <w:tr w14:paraId="4A2ED112">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2" w:type="dxa"/>
                  <w:noWrap/>
                  <w:vAlign w:val="center"/>
                </w:tcPr>
                <w:p w14:paraId="7E7E2F47">
                  <w:pPr>
                    <w:widowControl/>
                    <w:jc w:val="center"/>
                    <w:rPr>
                      <w:color w:val="000000"/>
                      <w:kern w:val="0"/>
                      <w:szCs w:val="21"/>
                      <w:u w:val="single"/>
                    </w:rPr>
                  </w:pPr>
                  <w:r>
                    <w:rPr>
                      <w:color w:val="000000"/>
                      <w:kern w:val="0"/>
                      <w:szCs w:val="21"/>
                      <w:u w:val="single"/>
                    </w:rPr>
                    <w:t>23</w:t>
                  </w:r>
                </w:p>
              </w:tc>
              <w:tc>
                <w:tcPr>
                  <w:tcW w:w="1243" w:type="dxa"/>
                  <w:noWrap/>
                  <w:vAlign w:val="center"/>
                </w:tcPr>
                <w:p w14:paraId="2F2AB61B">
                  <w:pPr>
                    <w:widowControl/>
                    <w:jc w:val="center"/>
                    <w:rPr>
                      <w:color w:val="000000"/>
                      <w:kern w:val="0"/>
                      <w:szCs w:val="21"/>
                      <w:u w:val="single"/>
                    </w:rPr>
                  </w:pPr>
                  <w:r>
                    <w:rPr>
                      <w:color w:val="000000"/>
                      <w:kern w:val="0"/>
                      <w:szCs w:val="21"/>
                      <w:u w:val="single"/>
                    </w:rPr>
                    <w:t>卤房</w:t>
                  </w:r>
                </w:p>
              </w:tc>
              <w:tc>
                <w:tcPr>
                  <w:tcW w:w="2104" w:type="dxa"/>
                  <w:noWrap/>
                  <w:vAlign w:val="center"/>
                </w:tcPr>
                <w:p w14:paraId="3F79B2AD">
                  <w:pPr>
                    <w:widowControl/>
                    <w:jc w:val="center"/>
                    <w:rPr>
                      <w:color w:val="000000"/>
                      <w:kern w:val="0"/>
                      <w:szCs w:val="21"/>
                      <w:u w:val="single"/>
                    </w:rPr>
                  </w:pPr>
                  <w:r>
                    <w:rPr>
                      <w:color w:val="000000"/>
                      <w:kern w:val="0"/>
                      <w:szCs w:val="21"/>
                      <w:u w:val="single"/>
                    </w:rPr>
                    <w:t>焯水卤煮线</w:t>
                  </w:r>
                </w:p>
              </w:tc>
              <w:tc>
                <w:tcPr>
                  <w:tcW w:w="3098" w:type="dxa"/>
                  <w:vAlign w:val="center"/>
                </w:tcPr>
                <w:p w14:paraId="11E2A2C9">
                  <w:pPr>
                    <w:widowControl/>
                    <w:jc w:val="center"/>
                    <w:rPr>
                      <w:color w:val="000000"/>
                      <w:kern w:val="0"/>
                      <w:szCs w:val="21"/>
                      <w:u w:val="single"/>
                    </w:rPr>
                  </w:pPr>
                  <w:r>
                    <w:rPr>
                      <w:color w:val="000000"/>
                      <w:kern w:val="0"/>
                      <w:szCs w:val="21"/>
                      <w:u w:val="single"/>
                    </w:rPr>
                    <w:t>焯水800型*7</w:t>
                  </w:r>
                </w:p>
              </w:tc>
              <w:tc>
                <w:tcPr>
                  <w:tcW w:w="1430" w:type="dxa"/>
                  <w:noWrap/>
                  <w:vAlign w:val="center"/>
                </w:tcPr>
                <w:p w14:paraId="45CC6D6B">
                  <w:pPr>
                    <w:widowControl/>
                    <w:jc w:val="center"/>
                    <w:rPr>
                      <w:color w:val="000000"/>
                      <w:kern w:val="0"/>
                      <w:szCs w:val="21"/>
                      <w:u w:val="single"/>
                    </w:rPr>
                  </w:pPr>
                  <w:r>
                    <w:rPr>
                      <w:color w:val="000000"/>
                      <w:kern w:val="0"/>
                      <w:szCs w:val="21"/>
                      <w:u w:val="single"/>
                    </w:rPr>
                    <w:t>1</w:t>
                  </w:r>
                </w:p>
              </w:tc>
            </w:tr>
            <w:tr w14:paraId="30998CD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2" w:type="dxa"/>
                  <w:noWrap/>
                  <w:vAlign w:val="center"/>
                </w:tcPr>
                <w:p w14:paraId="65918A69">
                  <w:pPr>
                    <w:widowControl/>
                    <w:jc w:val="center"/>
                    <w:rPr>
                      <w:color w:val="000000"/>
                      <w:kern w:val="0"/>
                      <w:szCs w:val="21"/>
                      <w:u w:val="single"/>
                    </w:rPr>
                  </w:pPr>
                  <w:r>
                    <w:rPr>
                      <w:color w:val="000000"/>
                      <w:kern w:val="0"/>
                      <w:szCs w:val="21"/>
                      <w:u w:val="single"/>
                    </w:rPr>
                    <w:t>23</w:t>
                  </w:r>
                </w:p>
              </w:tc>
              <w:tc>
                <w:tcPr>
                  <w:tcW w:w="1243" w:type="dxa"/>
                  <w:noWrap/>
                  <w:vAlign w:val="center"/>
                </w:tcPr>
                <w:p w14:paraId="3C4ABC10">
                  <w:pPr>
                    <w:widowControl/>
                    <w:jc w:val="center"/>
                    <w:rPr>
                      <w:color w:val="000000"/>
                      <w:kern w:val="0"/>
                      <w:szCs w:val="21"/>
                      <w:u w:val="single"/>
                    </w:rPr>
                  </w:pPr>
                  <w:r>
                    <w:rPr>
                      <w:color w:val="000000"/>
                      <w:kern w:val="0"/>
                      <w:szCs w:val="21"/>
                      <w:u w:val="single"/>
                    </w:rPr>
                    <w:t>卤房</w:t>
                  </w:r>
                </w:p>
              </w:tc>
              <w:tc>
                <w:tcPr>
                  <w:tcW w:w="2104" w:type="dxa"/>
                  <w:noWrap/>
                  <w:vAlign w:val="center"/>
                </w:tcPr>
                <w:p w14:paraId="340AEAA1">
                  <w:pPr>
                    <w:widowControl/>
                    <w:jc w:val="center"/>
                    <w:rPr>
                      <w:color w:val="000000"/>
                      <w:kern w:val="0"/>
                      <w:szCs w:val="21"/>
                      <w:u w:val="single"/>
                    </w:rPr>
                  </w:pPr>
                  <w:r>
                    <w:rPr>
                      <w:color w:val="000000"/>
                      <w:kern w:val="0"/>
                      <w:szCs w:val="21"/>
                      <w:u w:val="single"/>
                    </w:rPr>
                    <w:t>焯水卤煮线</w:t>
                  </w:r>
                </w:p>
              </w:tc>
              <w:tc>
                <w:tcPr>
                  <w:tcW w:w="3098" w:type="dxa"/>
                  <w:vAlign w:val="center"/>
                </w:tcPr>
                <w:p w14:paraId="12185E71">
                  <w:pPr>
                    <w:widowControl/>
                    <w:jc w:val="center"/>
                    <w:rPr>
                      <w:color w:val="000000"/>
                      <w:kern w:val="0"/>
                      <w:szCs w:val="21"/>
                      <w:u w:val="single"/>
                    </w:rPr>
                  </w:pPr>
                  <w:r>
                    <w:rPr>
                      <w:color w:val="000000"/>
                      <w:kern w:val="0"/>
                      <w:szCs w:val="21"/>
                      <w:u w:val="single"/>
                    </w:rPr>
                    <w:t>卤煮1000型*5</w:t>
                  </w:r>
                </w:p>
              </w:tc>
              <w:tc>
                <w:tcPr>
                  <w:tcW w:w="1430" w:type="dxa"/>
                  <w:noWrap/>
                  <w:vAlign w:val="center"/>
                </w:tcPr>
                <w:p w14:paraId="654DD0FA">
                  <w:pPr>
                    <w:widowControl/>
                    <w:jc w:val="center"/>
                    <w:rPr>
                      <w:color w:val="000000"/>
                      <w:kern w:val="0"/>
                      <w:szCs w:val="21"/>
                      <w:u w:val="single"/>
                    </w:rPr>
                  </w:pPr>
                  <w:r>
                    <w:rPr>
                      <w:color w:val="000000"/>
                      <w:kern w:val="0"/>
                      <w:szCs w:val="21"/>
                      <w:u w:val="single"/>
                    </w:rPr>
                    <w:t>1</w:t>
                  </w:r>
                </w:p>
              </w:tc>
            </w:tr>
            <w:tr w14:paraId="301620D7">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2" w:type="dxa"/>
                  <w:noWrap/>
                  <w:vAlign w:val="center"/>
                </w:tcPr>
                <w:p w14:paraId="1611EE5B">
                  <w:pPr>
                    <w:widowControl/>
                    <w:jc w:val="center"/>
                    <w:rPr>
                      <w:color w:val="000000"/>
                      <w:kern w:val="0"/>
                      <w:szCs w:val="21"/>
                      <w:u w:val="single"/>
                    </w:rPr>
                  </w:pPr>
                  <w:r>
                    <w:rPr>
                      <w:color w:val="000000"/>
                      <w:kern w:val="0"/>
                      <w:szCs w:val="21"/>
                      <w:u w:val="single"/>
                    </w:rPr>
                    <w:t>24</w:t>
                  </w:r>
                </w:p>
              </w:tc>
              <w:tc>
                <w:tcPr>
                  <w:tcW w:w="1243" w:type="dxa"/>
                  <w:noWrap/>
                  <w:vAlign w:val="center"/>
                </w:tcPr>
                <w:p w14:paraId="3092ED62">
                  <w:pPr>
                    <w:widowControl/>
                    <w:jc w:val="center"/>
                    <w:rPr>
                      <w:color w:val="000000"/>
                      <w:kern w:val="0"/>
                      <w:szCs w:val="21"/>
                      <w:u w:val="single"/>
                    </w:rPr>
                  </w:pPr>
                  <w:r>
                    <w:rPr>
                      <w:color w:val="000000"/>
                      <w:kern w:val="0"/>
                      <w:szCs w:val="21"/>
                      <w:u w:val="single"/>
                    </w:rPr>
                    <w:t>摊晾+拌料</w:t>
                  </w:r>
                </w:p>
              </w:tc>
              <w:tc>
                <w:tcPr>
                  <w:tcW w:w="2104" w:type="dxa"/>
                  <w:noWrap/>
                  <w:vAlign w:val="center"/>
                </w:tcPr>
                <w:p w14:paraId="3210E5C2">
                  <w:pPr>
                    <w:widowControl/>
                    <w:jc w:val="center"/>
                    <w:rPr>
                      <w:color w:val="000000"/>
                      <w:kern w:val="0"/>
                      <w:szCs w:val="21"/>
                      <w:u w:val="single"/>
                    </w:rPr>
                  </w:pPr>
                  <w:r>
                    <w:rPr>
                      <w:color w:val="000000"/>
                      <w:kern w:val="0"/>
                      <w:szCs w:val="21"/>
                      <w:u w:val="single"/>
                    </w:rPr>
                    <w:t>摊晾线</w:t>
                  </w:r>
                </w:p>
              </w:tc>
              <w:tc>
                <w:tcPr>
                  <w:tcW w:w="3098" w:type="dxa"/>
                  <w:noWrap/>
                  <w:vAlign w:val="center"/>
                </w:tcPr>
                <w:p w14:paraId="31286A99">
                  <w:pPr>
                    <w:widowControl/>
                    <w:jc w:val="center"/>
                    <w:rPr>
                      <w:color w:val="000000"/>
                      <w:kern w:val="0"/>
                      <w:szCs w:val="21"/>
                      <w:u w:val="single"/>
                    </w:rPr>
                  </w:pPr>
                  <w:r>
                    <w:rPr>
                      <w:color w:val="000000"/>
                      <w:kern w:val="0"/>
                      <w:szCs w:val="21"/>
                      <w:u w:val="single"/>
                    </w:rPr>
                    <w:t>10000*1200</w:t>
                  </w:r>
                </w:p>
              </w:tc>
              <w:tc>
                <w:tcPr>
                  <w:tcW w:w="1430" w:type="dxa"/>
                  <w:noWrap/>
                  <w:vAlign w:val="center"/>
                </w:tcPr>
                <w:p w14:paraId="22A60E80">
                  <w:pPr>
                    <w:widowControl/>
                    <w:jc w:val="center"/>
                    <w:rPr>
                      <w:color w:val="000000"/>
                      <w:kern w:val="0"/>
                      <w:szCs w:val="21"/>
                      <w:u w:val="single"/>
                    </w:rPr>
                  </w:pPr>
                  <w:r>
                    <w:rPr>
                      <w:color w:val="000000"/>
                      <w:kern w:val="0"/>
                      <w:szCs w:val="21"/>
                      <w:u w:val="single"/>
                    </w:rPr>
                    <w:t>1</w:t>
                  </w:r>
                </w:p>
              </w:tc>
            </w:tr>
            <w:tr w14:paraId="67D7DDB7">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2" w:type="dxa"/>
                  <w:noWrap/>
                  <w:vAlign w:val="center"/>
                </w:tcPr>
                <w:p w14:paraId="7D3B4AD6">
                  <w:pPr>
                    <w:widowControl/>
                    <w:jc w:val="center"/>
                    <w:rPr>
                      <w:color w:val="000000"/>
                      <w:kern w:val="0"/>
                      <w:szCs w:val="21"/>
                      <w:u w:val="single"/>
                    </w:rPr>
                  </w:pPr>
                  <w:r>
                    <w:rPr>
                      <w:color w:val="000000"/>
                      <w:kern w:val="0"/>
                      <w:szCs w:val="21"/>
                      <w:u w:val="single"/>
                    </w:rPr>
                    <w:t>25</w:t>
                  </w:r>
                </w:p>
              </w:tc>
              <w:tc>
                <w:tcPr>
                  <w:tcW w:w="1243" w:type="dxa"/>
                  <w:noWrap/>
                  <w:vAlign w:val="center"/>
                </w:tcPr>
                <w:p w14:paraId="53D93375">
                  <w:pPr>
                    <w:widowControl/>
                    <w:jc w:val="center"/>
                    <w:rPr>
                      <w:color w:val="000000"/>
                      <w:kern w:val="0"/>
                      <w:szCs w:val="21"/>
                      <w:u w:val="single"/>
                    </w:rPr>
                  </w:pPr>
                  <w:r>
                    <w:rPr>
                      <w:color w:val="000000"/>
                      <w:kern w:val="0"/>
                      <w:szCs w:val="21"/>
                      <w:u w:val="single"/>
                    </w:rPr>
                    <w:t>摊晾+拌料</w:t>
                  </w:r>
                </w:p>
              </w:tc>
              <w:tc>
                <w:tcPr>
                  <w:tcW w:w="2104" w:type="dxa"/>
                  <w:noWrap/>
                  <w:vAlign w:val="center"/>
                </w:tcPr>
                <w:p w14:paraId="37B41812">
                  <w:pPr>
                    <w:widowControl/>
                    <w:jc w:val="center"/>
                    <w:rPr>
                      <w:color w:val="000000"/>
                      <w:kern w:val="0"/>
                      <w:szCs w:val="21"/>
                      <w:u w:val="single"/>
                    </w:rPr>
                  </w:pPr>
                  <w:r>
                    <w:rPr>
                      <w:color w:val="000000"/>
                      <w:kern w:val="0"/>
                      <w:szCs w:val="21"/>
                      <w:u w:val="single"/>
                    </w:rPr>
                    <w:t>真空预冷机</w:t>
                  </w:r>
                </w:p>
              </w:tc>
              <w:tc>
                <w:tcPr>
                  <w:tcW w:w="3098" w:type="dxa"/>
                  <w:vAlign w:val="center"/>
                </w:tcPr>
                <w:p w14:paraId="6C25AA20">
                  <w:pPr>
                    <w:widowControl/>
                    <w:jc w:val="center"/>
                    <w:rPr>
                      <w:color w:val="000000"/>
                      <w:kern w:val="0"/>
                      <w:szCs w:val="21"/>
                      <w:u w:val="single"/>
                    </w:rPr>
                  </w:pPr>
                  <w:r>
                    <w:rPr>
                      <w:color w:val="000000"/>
                      <w:kern w:val="0"/>
                      <w:szCs w:val="21"/>
                      <w:u w:val="single"/>
                    </w:rPr>
                    <w:t>4.1m³</w:t>
                  </w:r>
                </w:p>
              </w:tc>
              <w:tc>
                <w:tcPr>
                  <w:tcW w:w="1430" w:type="dxa"/>
                  <w:noWrap/>
                  <w:vAlign w:val="center"/>
                </w:tcPr>
                <w:p w14:paraId="5D91F49A">
                  <w:pPr>
                    <w:widowControl/>
                    <w:jc w:val="center"/>
                    <w:rPr>
                      <w:color w:val="000000"/>
                      <w:kern w:val="0"/>
                      <w:szCs w:val="21"/>
                      <w:u w:val="single"/>
                    </w:rPr>
                  </w:pPr>
                  <w:r>
                    <w:rPr>
                      <w:color w:val="000000"/>
                      <w:kern w:val="0"/>
                      <w:szCs w:val="21"/>
                      <w:u w:val="single"/>
                    </w:rPr>
                    <w:t>1</w:t>
                  </w:r>
                </w:p>
              </w:tc>
            </w:tr>
            <w:tr w14:paraId="760A281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2" w:type="dxa"/>
                  <w:noWrap/>
                  <w:vAlign w:val="center"/>
                </w:tcPr>
                <w:p w14:paraId="3ED86D32">
                  <w:pPr>
                    <w:widowControl/>
                    <w:jc w:val="center"/>
                    <w:rPr>
                      <w:color w:val="000000"/>
                      <w:kern w:val="0"/>
                      <w:szCs w:val="21"/>
                      <w:u w:val="single"/>
                    </w:rPr>
                  </w:pPr>
                  <w:r>
                    <w:rPr>
                      <w:color w:val="000000"/>
                      <w:kern w:val="0"/>
                      <w:szCs w:val="21"/>
                      <w:u w:val="single"/>
                    </w:rPr>
                    <w:t>26</w:t>
                  </w:r>
                </w:p>
              </w:tc>
              <w:tc>
                <w:tcPr>
                  <w:tcW w:w="1243" w:type="dxa"/>
                  <w:noWrap/>
                  <w:vAlign w:val="center"/>
                </w:tcPr>
                <w:p w14:paraId="7CCCE97C">
                  <w:pPr>
                    <w:widowControl/>
                    <w:jc w:val="center"/>
                    <w:rPr>
                      <w:color w:val="000000"/>
                      <w:kern w:val="0"/>
                      <w:szCs w:val="21"/>
                      <w:u w:val="single"/>
                    </w:rPr>
                  </w:pPr>
                  <w:r>
                    <w:rPr>
                      <w:color w:val="000000"/>
                      <w:kern w:val="0"/>
                      <w:szCs w:val="21"/>
                      <w:u w:val="single"/>
                    </w:rPr>
                    <w:t>摊晾+拌料</w:t>
                  </w:r>
                </w:p>
              </w:tc>
              <w:tc>
                <w:tcPr>
                  <w:tcW w:w="2104" w:type="dxa"/>
                  <w:noWrap/>
                  <w:vAlign w:val="center"/>
                </w:tcPr>
                <w:p w14:paraId="291E72F2">
                  <w:pPr>
                    <w:widowControl/>
                    <w:jc w:val="center"/>
                    <w:rPr>
                      <w:color w:val="000000"/>
                      <w:kern w:val="0"/>
                      <w:szCs w:val="21"/>
                      <w:u w:val="single"/>
                    </w:rPr>
                  </w:pPr>
                  <w:r>
                    <w:rPr>
                      <w:color w:val="000000"/>
                      <w:kern w:val="0"/>
                      <w:szCs w:val="21"/>
                      <w:u w:val="single"/>
                    </w:rPr>
                    <w:t>提升机</w:t>
                  </w:r>
                </w:p>
              </w:tc>
              <w:tc>
                <w:tcPr>
                  <w:tcW w:w="3098" w:type="dxa"/>
                  <w:vAlign w:val="center"/>
                </w:tcPr>
                <w:p w14:paraId="2E96833A">
                  <w:pPr>
                    <w:widowControl/>
                    <w:jc w:val="center"/>
                    <w:rPr>
                      <w:color w:val="000000"/>
                      <w:kern w:val="0"/>
                      <w:szCs w:val="21"/>
                      <w:u w:val="single"/>
                    </w:rPr>
                  </w:pPr>
                  <w:r>
                    <w:rPr>
                      <w:color w:val="000000"/>
                      <w:kern w:val="0"/>
                      <w:szCs w:val="21"/>
                      <w:u w:val="single"/>
                    </w:rPr>
                    <w:t>4000*600</w:t>
                  </w:r>
                </w:p>
              </w:tc>
              <w:tc>
                <w:tcPr>
                  <w:tcW w:w="1430" w:type="dxa"/>
                  <w:noWrap/>
                  <w:vAlign w:val="center"/>
                </w:tcPr>
                <w:p w14:paraId="5D27402F">
                  <w:pPr>
                    <w:widowControl/>
                    <w:jc w:val="center"/>
                    <w:rPr>
                      <w:color w:val="000000"/>
                      <w:kern w:val="0"/>
                      <w:szCs w:val="21"/>
                      <w:u w:val="single"/>
                    </w:rPr>
                  </w:pPr>
                  <w:r>
                    <w:rPr>
                      <w:color w:val="000000"/>
                      <w:kern w:val="0"/>
                      <w:szCs w:val="21"/>
                      <w:u w:val="single"/>
                    </w:rPr>
                    <w:t>1</w:t>
                  </w:r>
                </w:p>
              </w:tc>
            </w:tr>
            <w:tr w14:paraId="171439C3">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2" w:type="dxa"/>
                  <w:noWrap/>
                  <w:vAlign w:val="center"/>
                </w:tcPr>
                <w:p w14:paraId="0E5C323B">
                  <w:pPr>
                    <w:widowControl/>
                    <w:jc w:val="center"/>
                    <w:rPr>
                      <w:color w:val="000000"/>
                      <w:kern w:val="0"/>
                      <w:szCs w:val="21"/>
                      <w:u w:val="single"/>
                    </w:rPr>
                  </w:pPr>
                  <w:r>
                    <w:rPr>
                      <w:color w:val="000000"/>
                      <w:kern w:val="0"/>
                      <w:szCs w:val="21"/>
                      <w:u w:val="single"/>
                    </w:rPr>
                    <w:t>27</w:t>
                  </w:r>
                </w:p>
              </w:tc>
              <w:tc>
                <w:tcPr>
                  <w:tcW w:w="1243" w:type="dxa"/>
                  <w:noWrap/>
                  <w:vAlign w:val="center"/>
                </w:tcPr>
                <w:p w14:paraId="6F3BDDBD">
                  <w:pPr>
                    <w:widowControl/>
                    <w:jc w:val="center"/>
                    <w:rPr>
                      <w:color w:val="000000"/>
                      <w:kern w:val="0"/>
                      <w:szCs w:val="21"/>
                      <w:u w:val="single"/>
                    </w:rPr>
                  </w:pPr>
                  <w:r>
                    <w:rPr>
                      <w:color w:val="000000"/>
                      <w:kern w:val="0"/>
                      <w:szCs w:val="21"/>
                      <w:u w:val="single"/>
                    </w:rPr>
                    <w:t>摊晾+拌料</w:t>
                  </w:r>
                </w:p>
              </w:tc>
              <w:tc>
                <w:tcPr>
                  <w:tcW w:w="2104" w:type="dxa"/>
                  <w:noWrap/>
                  <w:vAlign w:val="center"/>
                </w:tcPr>
                <w:p w14:paraId="35217F9A">
                  <w:pPr>
                    <w:widowControl/>
                    <w:jc w:val="center"/>
                    <w:rPr>
                      <w:color w:val="000000"/>
                      <w:kern w:val="0"/>
                      <w:szCs w:val="21"/>
                      <w:u w:val="single"/>
                    </w:rPr>
                  </w:pPr>
                  <w:r>
                    <w:rPr>
                      <w:color w:val="000000"/>
                      <w:kern w:val="0"/>
                      <w:szCs w:val="21"/>
                      <w:u w:val="single"/>
                    </w:rPr>
                    <w:t>正反传送带</w:t>
                  </w:r>
                </w:p>
              </w:tc>
              <w:tc>
                <w:tcPr>
                  <w:tcW w:w="3098" w:type="dxa"/>
                  <w:vAlign w:val="center"/>
                </w:tcPr>
                <w:p w14:paraId="7F3D72C9">
                  <w:pPr>
                    <w:widowControl/>
                    <w:jc w:val="center"/>
                    <w:rPr>
                      <w:color w:val="000000"/>
                      <w:kern w:val="0"/>
                      <w:szCs w:val="21"/>
                      <w:u w:val="single"/>
                    </w:rPr>
                  </w:pPr>
                  <w:r>
                    <w:rPr>
                      <w:color w:val="000000"/>
                      <w:kern w:val="0"/>
                      <w:szCs w:val="21"/>
                      <w:u w:val="single"/>
                    </w:rPr>
                    <w:t>3000*400</w:t>
                  </w:r>
                </w:p>
              </w:tc>
              <w:tc>
                <w:tcPr>
                  <w:tcW w:w="1430" w:type="dxa"/>
                  <w:noWrap/>
                  <w:vAlign w:val="center"/>
                </w:tcPr>
                <w:p w14:paraId="66C693F8">
                  <w:pPr>
                    <w:widowControl/>
                    <w:jc w:val="center"/>
                    <w:rPr>
                      <w:color w:val="000000"/>
                      <w:kern w:val="0"/>
                      <w:szCs w:val="21"/>
                      <w:u w:val="single"/>
                    </w:rPr>
                  </w:pPr>
                  <w:r>
                    <w:rPr>
                      <w:color w:val="000000"/>
                      <w:kern w:val="0"/>
                      <w:szCs w:val="21"/>
                      <w:u w:val="single"/>
                    </w:rPr>
                    <w:t>1</w:t>
                  </w:r>
                </w:p>
              </w:tc>
            </w:tr>
            <w:tr w14:paraId="42C87F09">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2" w:type="dxa"/>
                  <w:noWrap/>
                  <w:vAlign w:val="center"/>
                </w:tcPr>
                <w:p w14:paraId="1893D248">
                  <w:pPr>
                    <w:widowControl/>
                    <w:jc w:val="center"/>
                    <w:rPr>
                      <w:color w:val="000000"/>
                      <w:kern w:val="0"/>
                      <w:szCs w:val="21"/>
                      <w:u w:val="single"/>
                    </w:rPr>
                  </w:pPr>
                  <w:r>
                    <w:rPr>
                      <w:color w:val="000000"/>
                      <w:kern w:val="0"/>
                      <w:szCs w:val="21"/>
                      <w:u w:val="single"/>
                    </w:rPr>
                    <w:t>28</w:t>
                  </w:r>
                </w:p>
              </w:tc>
              <w:tc>
                <w:tcPr>
                  <w:tcW w:w="1243" w:type="dxa"/>
                  <w:noWrap/>
                  <w:vAlign w:val="center"/>
                </w:tcPr>
                <w:p w14:paraId="7805FB94">
                  <w:pPr>
                    <w:widowControl/>
                    <w:jc w:val="center"/>
                    <w:rPr>
                      <w:color w:val="000000"/>
                      <w:kern w:val="0"/>
                      <w:szCs w:val="21"/>
                      <w:u w:val="single"/>
                    </w:rPr>
                  </w:pPr>
                  <w:r>
                    <w:rPr>
                      <w:color w:val="000000"/>
                      <w:kern w:val="0"/>
                      <w:szCs w:val="21"/>
                      <w:u w:val="single"/>
                    </w:rPr>
                    <w:t>摊晾+拌料</w:t>
                  </w:r>
                </w:p>
              </w:tc>
              <w:tc>
                <w:tcPr>
                  <w:tcW w:w="2104" w:type="dxa"/>
                  <w:noWrap/>
                  <w:vAlign w:val="center"/>
                </w:tcPr>
                <w:p w14:paraId="7B987177">
                  <w:pPr>
                    <w:widowControl/>
                    <w:jc w:val="center"/>
                    <w:rPr>
                      <w:color w:val="000000"/>
                      <w:kern w:val="0"/>
                      <w:szCs w:val="21"/>
                      <w:u w:val="single"/>
                    </w:rPr>
                  </w:pPr>
                  <w:r>
                    <w:rPr>
                      <w:color w:val="000000"/>
                      <w:kern w:val="0"/>
                      <w:szCs w:val="21"/>
                      <w:u w:val="single"/>
                    </w:rPr>
                    <w:t>拌料机</w:t>
                  </w:r>
                </w:p>
              </w:tc>
              <w:tc>
                <w:tcPr>
                  <w:tcW w:w="3098" w:type="dxa"/>
                  <w:vAlign w:val="center"/>
                </w:tcPr>
                <w:p w14:paraId="6E90A8B2">
                  <w:pPr>
                    <w:widowControl/>
                    <w:jc w:val="center"/>
                    <w:rPr>
                      <w:color w:val="000000"/>
                      <w:kern w:val="0"/>
                      <w:szCs w:val="21"/>
                      <w:u w:val="single"/>
                    </w:rPr>
                  </w:pPr>
                  <w:r>
                    <w:rPr>
                      <w:color w:val="000000"/>
                      <w:kern w:val="0"/>
                      <w:szCs w:val="21"/>
                      <w:u w:val="single"/>
                    </w:rPr>
                    <w:t>直径1300</w:t>
                  </w:r>
                </w:p>
              </w:tc>
              <w:tc>
                <w:tcPr>
                  <w:tcW w:w="1430" w:type="dxa"/>
                  <w:noWrap/>
                  <w:vAlign w:val="center"/>
                </w:tcPr>
                <w:p w14:paraId="53E7EB0C">
                  <w:pPr>
                    <w:widowControl/>
                    <w:jc w:val="center"/>
                    <w:rPr>
                      <w:color w:val="000000"/>
                      <w:kern w:val="0"/>
                      <w:szCs w:val="21"/>
                      <w:u w:val="single"/>
                    </w:rPr>
                  </w:pPr>
                  <w:r>
                    <w:rPr>
                      <w:color w:val="000000"/>
                      <w:kern w:val="0"/>
                      <w:szCs w:val="21"/>
                      <w:u w:val="single"/>
                    </w:rPr>
                    <w:t>2</w:t>
                  </w:r>
                </w:p>
              </w:tc>
            </w:tr>
            <w:tr w14:paraId="19839D0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2" w:type="dxa"/>
                  <w:noWrap/>
                  <w:vAlign w:val="center"/>
                </w:tcPr>
                <w:p w14:paraId="347AECA0">
                  <w:pPr>
                    <w:widowControl/>
                    <w:jc w:val="center"/>
                    <w:rPr>
                      <w:color w:val="000000"/>
                      <w:kern w:val="0"/>
                      <w:szCs w:val="21"/>
                      <w:u w:val="single"/>
                    </w:rPr>
                  </w:pPr>
                  <w:r>
                    <w:rPr>
                      <w:color w:val="000000"/>
                      <w:kern w:val="0"/>
                      <w:szCs w:val="21"/>
                      <w:u w:val="single"/>
                    </w:rPr>
                    <w:t>29</w:t>
                  </w:r>
                </w:p>
              </w:tc>
              <w:tc>
                <w:tcPr>
                  <w:tcW w:w="1243" w:type="dxa"/>
                  <w:noWrap/>
                  <w:vAlign w:val="center"/>
                </w:tcPr>
                <w:p w14:paraId="158E9386">
                  <w:pPr>
                    <w:widowControl/>
                    <w:jc w:val="center"/>
                    <w:rPr>
                      <w:color w:val="000000"/>
                      <w:kern w:val="0"/>
                      <w:szCs w:val="21"/>
                      <w:u w:val="single"/>
                    </w:rPr>
                  </w:pPr>
                  <w:r>
                    <w:rPr>
                      <w:color w:val="000000"/>
                      <w:kern w:val="0"/>
                      <w:szCs w:val="21"/>
                      <w:u w:val="single"/>
                    </w:rPr>
                    <w:t>内包</w:t>
                  </w:r>
                </w:p>
              </w:tc>
              <w:tc>
                <w:tcPr>
                  <w:tcW w:w="2104" w:type="dxa"/>
                  <w:noWrap/>
                  <w:vAlign w:val="center"/>
                </w:tcPr>
                <w:p w14:paraId="0BA769C9">
                  <w:pPr>
                    <w:widowControl/>
                    <w:jc w:val="center"/>
                    <w:rPr>
                      <w:color w:val="000000"/>
                      <w:kern w:val="0"/>
                      <w:szCs w:val="21"/>
                      <w:u w:val="single"/>
                    </w:rPr>
                  </w:pPr>
                  <w:r>
                    <w:rPr>
                      <w:color w:val="000000"/>
                      <w:kern w:val="0"/>
                      <w:szCs w:val="21"/>
                      <w:u w:val="single"/>
                    </w:rPr>
                    <w:t>真空包装机</w:t>
                  </w:r>
                </w:p>
              </w:tc>
              <w:tc>
                <w:tcPr>
                  <w:tcW w:w="3098" w:type="dxa"/>
                  <w:vAlign w:val="center"/>
                </w:tcPr>
                <w:p w14:paraId="14F00FC2">
                  <w:pPr>
                    <w:widowControl/>
                    <w:jc w:val="center"/>
                    <w:rPr>
                      <w:color w:val="000000"/>
                      <w:kern w:val="0"/>
                      <w:szCs w:val="21"/>
                      <w:u w:val="single"/>
                    </w:rPr>
                  </w:pPr>
                  <w:r>
                    <w:rPr>
                      <w:color w:val="000000"/>
                      <w:kern w:val="0"/>
                      <w:szCs w:val="21"/>
                      <w:u w:val="single"/>
                    </w:rPr>
                    <w:t>MRZK12-130D</w:t>
                  </w:r>
                </w:p>
              </w:tc>
              <w:tc>
                <w:tcPr>
                  <w:tcW w:w="1430" w:type="dxa"/>
                  <w:noWrap/>
                  <w:vAlign w:val="center"/>
                </w:tcPr>
                <w:p w14:paraId="1ECA197A">
                  <w:pPr>
                    <w:widowControl/>
                    <w:jc w:val="center"/>
                    <w:rPr>
                      <w:color w:val="000000"/>
                      <w:kern w:val="0"/>
                      <w:szCs w:val="21"/>
                      <w:u w:val="single"/>
                    </w:rPr>
                  </w:pPr>
                  <w:r>
                    <w:rPr>
                      <w:rFonts w:hint="eastAsia"/>
                      <w:color w:val="000000"/>
                      <w:kern w:val="0"/>
                      <w:szCs w:val="21"/>
                      <w:u w:val="single"/>
                    </w:rPr>
                    <w:t>4</w:t>
                  </w:r>
                </w:p>
              </w:tc>
            </w:tr>
            <w:tr w14:paraId="6E4785E4">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2" w:type="dxa"/>
                  <w:noWrap/>
                  <w:vAlign w:val="center"/>
                </w:tcPr>
                <w:p w14:paraId="10D96D9C">
                  <w:pPr>
                    <w:widowControl/>
                    <w:jc w:val="center"/>
                    <w:rPr>
                      <w:color w:val="000000"/>
                      <w:kern w:val="0"/>
                      <w:szCs w:val="21"/>
                      <w:u w:val="single"/>
                    </w:rPr>
                  </w:pPr>
                  <w:r>
                    <w:rPr>
                      <w:color w:val="000000"/>
                      <w:kern w:val="0"/>
                      <w:szCs w:val="21"/>
                      <w:u w:val="single"/>
                    </w:rPr>
                    <w:t>30</w:t>
                  </w:r>
                </w:p>
              </w:tc>
              <w:tc>
                <w:tcPr>
                  <w:tcW w:w="1243" w:type="dxa"/>
                  <w:noWrap/>
                  <w:vAlign w:val="center"/>
                </w:tcPr>
                <w:p w14:paraId="23B45609">
                  <w:pPr>
                    <w:widowControl/>
                    <w:jc w:val="center"/>
                    <w:rPr>
                      <w:color w:val="000000"/>
                      <w:kern w:val="0"/>
                      <w:szCs w:val="21"/>
                      <w:u w:val="single"/>
                    </w:rPr>
                  </w:pPr>
                  <w:r>
                    <w:rPr>
                      <w:color w:val="000000"/>
                      <w:kern w:val="0"/>
                      <w:szCs w:val="21"/>
                      <w:u w:val="single"/>
                    </w:rPr>
                    <w:t>内包</w:t>
                  </w:r>
                </w:p>
              </w:tc>
              <w:tc>
                <w:tcPr>
                  <w:tcW w:w="2104" w:type="dxa"/>
                  <w:noWrap/>
                  <w:vAlign w:val="center"/>
                </w:tcPr>
                <w:p w14:paraId="504415DE">
                  <w:pPr>
                    <w:widowControl/>
                    <w:jc w:val="center"/>
                    <w:rPr>
                      <w:color w:val="000000"/>
                      <w:kern w:val="0"/>
                      <w:szCs w:val="21"/>
                      <w:u w:val="single"/>
                    </w:rPr>
                  </w:pPr>
                  <w:r>
                    <w:rPr>
                      <w:color w:val="000000"/>
                      <w:kern w:val="0"/>
                      <w:szCs w:val="21"/>
                      <w:u w:val="single"/>
                    </w:rPr>
                    <w:t>升降提升机</w:t>
                  </w:r>
                </w:p>
              </w:tc>
              <w:tc>
                <w:tcPr>
                  <w:tcW w:w="3098" w:type="dxa"/>
                  <w:noWrap/>
                  <w:vAlign w:val="center"/>
                </w:tcPr>
                <w:p w14:paraId="00BA9E7F">
                  <w:pPr>
                    <w:widowControl/>
                    <w:jc w:val="center"/>
                    <w:rPr>
                      <w:color w:val="000000"/>
                      <w:kern w:val="0"/>
                      <w:szCs w:val="21"/>
                      <w:u w:val="single"/>
                    </w:rPr>
                  </w:pPr>
                  <w:r>
                    <w:rPr>
                      <w:color w:val="000000"/>
                      <w:kern w:val="0"/>
                      <w:szCs w:val="21"/>
                      <w:u w:val="single"/>
                    </w:rPr>
                    <w:t>2500*600</w:t>
                  </w:r>
                </w:p>
              </w:tc>
              <w:tc>
                <w:tcPr>
                  <w:tcW w:w="1430" w:type="dxa"/>
                  <w:noWrap/>
                  <w:vAlign w:val="center"/>
                </w:tcPr>
                <w:p w14:paraId="71ADFA30">
                  <w:pPr>
                    <w:widowControl/>
                    <w:jc w:val="center"/>
                    <w:rPr>
                      <w:color w:val="000000"/>
                      <w:kern w:val="0"/>
                      <w:szCs w:val="21"/>
                      <w:u w:val="single"/>
                    </w:rPr>
                  </w:pPr>
                  <w:r>
                    <w:rPr>
                      <w:color w:val="000000"/>
                      <w:kern w:val="0"/>
                      <w:szCs w:val="21"/>
                      <w:u w:val="single"/>
                    </w:rPr>
                    <w:t>1</w:t>
                  </w:r>
                </w:p>
              </w:tc>
            </w:tr>
            <w:tr w14:paraId="42EE6F4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2" w:type="dxa"/>
                  <w:noWrap/>
                  <w:vAlign w:val="center"/>
                </w:tcPr>
                <w:p w14:paraId="0E3D82A8">
                  <w:pPr>
                    <w:widowControl/>
                    <w:jc w:val="center"/>
                    <w:rPr>
                      <w:color w:val="000000"/>
                      <w:kern w:val="0"/>
                      <w:szCs w:val="21"/>
                      <w:u w:val="single"/>
                    </w:rPr>
                  </w:pPr>
                  <w:r>
                    <w:rPr>
                      <w:color w:val="000000"/>
                      <w:kern w:val="0"/>
                      <w:szCs w:val="21"/>
                      <w:u w:val="single"/>
                    </w:rPr>
                    <w:t>31</w:t>
                  </w:r>
                </w:p>
              </w:tc>
              <w:tc>
                <w:tcPr>
                  <w:tcW w:w="1243" w:type="dxa"/>
                  <w:noWrap/>
                  <w:vAlign w:val="center"/>
                </w:tcPr>
                <w:p w14:paraId="28A57881">
                  <w:pPr>
                    <w:widowControl/>
                    <w:jc w:val="center"/>
                    <w:rPr>
                      <w:color w:val="000000"/>
                      <w:kern w:val="0"/>
                      <w:szCs w:val="21"/>
                      <w:u w:val="single"/>
                    </w:rPr>
                  </w:pPr>
                  <w:r>
                    <w:rPr>
                      <w:color w:val="000000"/>
                      <w:kern w:val="0"/>
                      <w:szCs w:val="21"/>
                      <w:u w:val="single"/>
                    </w:rPr>
                    <w:t>内包</w:t>
                  </w:r>
                </w:p>
              </w:tc>
              <w:tc>
                <w:tcPr>
                  <w:tcW w:w="2104" w:type="dxa"/>
                  <w:noWrap/>
                  <w:vAlign w:val="center"/>
                </w:tcPr>
                <w:p w14:paraId="3A955BD6">
                  <w:pPr>
                    <w:widowControl/>
                    <w:jc w:val="center"/>
                    <w:rPr>
                      <w:color w:val="000000"/>
                      <w:kern w:val="0"/>
                      <w:szCs w:val="21"/>
                      <w:u w:val="single"/>
                    </w:rPr>
                  </w:pPr>
                  <w:r>
                    <w:rPr>
                      <w:color w:val="000000"/>
                      <w:kern w:val="0"/>
                      <w:szCs w:val="21"/>
                      <w:u w:val="single"/>
                    </w:rPr>
                    <w:t>杀菌前过水机</w:t>
                  </w:r>
                </w:p>
              </w:tc>
              <w:tc>
                <w:tcPr>
                  <w:tcW w:w="3098" w:type="dxa"/>
                  <w:noWrap/>
                  <w:vAlign w:val="center"/>
                </w:tcPr>
                <w:p w14:paraId="7BCCA07E">
                  <w:pPr>
                    <w:widowControl/>
                    <w:jc w:val="center"/>
                    <w:rPr>
                      <w:color w:val="000000"/>
                      <w:kern w:val="0"/>
                      <w:szCs w:val="21"/>
                      <w:u w:val="single"/>
                    </w:rPr>
                  </w:pPr>
                  <w:r>
                    <w:rPr>
                      <w:color w:val="000000"/>
                      <w:kern w:val="0"/>
                      <w:szCs w:val="21"/>
                      <w:u w:val="single"/>
                    </w:rPr>
                    <w:t>5000*1000</w:t>
                  </w:r>
                </w:p>
              </w:tc>
              <w:tc>
                <w:tcPr>
                  <w:tcW w:w="1430" w:type="dxa"/>
                  <w:noWrap/>
                  <w:vAlign w:val="center"/>
                </w:tcPr>
                <w:p w14:paraId="3812F1B5">
                  <w:pPr>
                    <w:widowControl/>
                    <w:jc w:val="center"/>
                    <w:rPr>
                      <w:color w:val="000000"/>
                      <w:kern w:val="0"/>
                      <w:szCs w:val="21"/>
                      <w:u w:val="single"/>
                    </w:rPr>
                  </w:pPr>
                  <w:r>
                    <w:rPr>
                      <w:color w:val="000000"/>
                      <w:kern w:val="0"/>
                      <w:szCs w:val="21"/>
                      <w:u w:val="single"/>
                    </w:rPr>
                    <w:t>1</w:t>
                  </w:r>
                </w:p>
              </w:tc>
            </w:tr>
            <w:tr w14:paraId="1B9E3B5C">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2" w:type="dxa"/>
                  <w:noWrap/>
                  <w:vAlign w:val="center"/>
                </w:tcPr>
                <w:p w14:paraId="52BDF0C7">
                  <w:pPr>
                    <w:widowControl/>
                    <w:jc w:val="center"/>
                    <w:rPr>
                      <w:color w:val="000000"/>
                      <w:kern w:val="0"/>
                      <w:szCs w:val="21"/>
                      <w:u w:val="single"/>
                    </w:rPr>
                  </w:pPr>
                  <w:r>
                    <w:rPr>
                      <w:color w:val="000000"/>
                      <w:kern w:val="0"/>
                      <w:szCs w:val="21"/>
                      <w:u w:val="single"/>
                    </w:rPr>
                    <w:t>32</w:t>
                  </w:r>
                </w:p>
              </w:tc>
              <w:tc>
                <w:tcPr>
                  <w:tcW w:w="1243" w:type="dxa"/>
                  <w:noWrap/>
                  <w:vAlign w:val="center"/>
                </w:tcPr>
                <w:p w14:paraId="5CF54FDB">
                  <w:pPr>
                    <w:widowControl/>
                    <w:jc w:val="center"/>
                    <w:rPr>
                      <w:color w:val="000000"/>
                      <w:kern w:val="0"/>
                      <w:szCs w:val="21"/>
                      <w:u w:val="single"/>
                    </w:rPr>
                  </w:pPr>
                  <w:r>
                    <w:rPr>
                      <w:color w:val="000000"/>
                      <w:kern w:val="0"/>
                      <w:szCs w:val="21"/>
                      <w:u w:val="single"/>
                    </w:rPr>
                    <w:t>杀菌</w:t>
                  </w:r>
                </w:p>
              </w:tc>
              <w:tc>
                <w:tcPr>
                  <w:tcW w:w="2104" w:type="dxa"/>
                  <w:noWrap/>
                  <w:vAlign w:val="center"/>
                </w:tcPr>
                <w:p w14:paraId="36CF3086">
                  <w:pPr>
                    <w:widowControl/>
                    <w:jc w:val="center"/>
                    <w:rPr>
                      <w:color w:val="000000"/>
                      <w:kern w:val="0"/>
                      <w:szCs w:val="21"/>
                      <w:u w:val="single"/>
                    </w:rPr>
                  </w:pPr>
                  <w:r>
                    <w:rPr>
                      <w:color w:val="000000"/>
                      <w:kern w:val="0"/>
                      <w:szCs w:val="21"/>
                      <w:u w:val="single"/>
                    </w:rPr>
                    <w:t>杀菌釜</w:t>
                  </w:r>
                </w:p>
              </w:tc>
              <w:tc>
                <w:tcPr>
                  <w:tcW w:w="3098" w:type="dxa"/>
                  <w:vAlign w:val="center"/>
                </w:tcPr>
                <w:p w14:paraId="2D71602F">
                  <w:pPr>
                    <w:widowControl/>
                    <w:jc w:val="center"/>
                    <w:rPr>
                      <w:color w:val="000000"/>
                      <w:kern w:val="0"/>
                      <w:szCs w:val="21"/>
                      <w:u w:val="single"/>
                    </w:rPr>
                  </w:pPr>
                  <w:r>
                    <w:rPr>
                      <w:color w:val="000000"/>
                      <w:kern w:val="0"/>
                      <w:szCs w:val="21"/>
                      <w:u w:val="single"/>
                    </w:rPr>
                    <w:t>1200.3600双层水浴</w:t>
                  </w:r>
                </w:p>
              </w:tc>
              <w:tc>
                <w:tcPr>
                  <w:tcW w:w="1430" w:type="dxa"/>
                  <w:noWrap/>
                  <w:vAlign w:val="center"/>
                </w:tcPr>
                <w:p w14:paraId="77C0BC9A">
                  <w:pPr>
                    <w:widowControl/>
                    <w:jc w:val="center"/>
                    <w:rPr>
                      <w:color w:val="000000"/>
                      <w:kern w:val="0"/>
                      <w:szCs w:val="21"/>
                      <w:u w:val="single"/>
                    </w:rPr>
                  </w:pPr>
                  <w:r>
                    <w:rPr>
                      <w:color w:val="000000"/>
                      <w:kern w:val="0"/>
                      <w:szCs w:val="21"/>
                      <w:u w:val="single"/>
                    </w:rPr>
                    <w:t>1</w:t>
                  </w:r>
                </w:p>
              </w:tc>
            </w:tr>
            <w:tr w14:paraId="409FA6E9">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2" w:type="dxa"/>
                  <w:noWrap/>
                  <w:vAlign w:val="center"/>
                </w:tcPr>
                <w:p w14:paraId="170AAC71">
                  <w:pPr>
                    <w:widowControl/>
                    <w:jc w:val="center"/>
                    <w:rPr>
                      <w:color w:val="000000"/>
                      <w:kern w:val="0"/>
                      <w:szCs w:val="21"/>
                      <w:u w:val="single"/>
                    </w:rPr>
                  </w:pPr>
                  <w:r>
                    <w:rPr>
                      <w:color w:val="000000"/>
                      <w:kern w:val="0"/>
                      <w:szCs w:val="21"/>
                      <w:u w:val="single"/>
                    </w:rPr>
                    <w:t>33</w:t>
                  </w:r>
                </w:p>
              </w:tc>
              <w:tc>
                <w:tcPr>
                  <w:tcW w:w="1243" w:type="dxa"/>
                  <w:noWrap/>
                  <w:vAlign w:val="center"/>
                </w:tcPr>
                <w:p w14:paraId="2350F59B">
                  <w:pPr>
                    <w:widowControl/>
                    <w:jc w:val="center"/>
                    <w:rPr>
                      <w:color w:val="000000"/>
                      <w:kern w:val="0"/>
                      <w:szCs w:val="21"/>
                      <w:u w:val="single"/>
                    </w:rPr>
                  </w:pPr>
                  <w:r>
                    <w:rPr>
                      <w:color w:val="000000"/>
                      <w:kern w:val="0"/>
                      <w:szCs w:val="21"/>
                      <w:u w:val="single"/>
                    </w:rPr>
                    <w:t>清洗烘干</w:t>
                  </w:r>
                </w:p>
              </w:tc>
              <w:tc>
                <w:tcPr>
                  <w:tcW w:w="2104" w:type="dxa"/>
                  <w:noWrap/>
                  <w:vAlign w:val="center"/>
                </w:tcPr>
                <w:p w14:paraId="4015A583">
                  <w:pPr>
                    <w:widowControl/>
                    <w:jc w:val="center"/>
                    <w:rPr>
                      <w:color w:val="000000"/>
                      <w:kern w:val="0"/>
                      <w:szCs w:val="21"/>
                      <w:u w:val="single"/>
                    </w:rPr>
                  </w:pPr>
                  <w:r>
                    <w:rPr>
                      <w:color w:val="000000"/>
                      <w:kern w:val="0"/>
                      <w:szCs w:val="21"/>
                      <w:u w:val="single"/>
                    </w:rPr>
                    <w:t>提升机</w:t>
                  </w:r>
                </w:p>
              </w:tc>
              <w:tc>
                <w:tcPr>
                  <w:tcW w:w="3098" w:type="dxa"/>
                  <w:vAlign w:val="center"/>
                </w:tcPr>
                <w:p w14:paraId="04167F15">
                  <w:pPr>
                    <w:widowControl/>
                    <w:jc w:val="center"/>
                    <w:rPr>
                      <w:color w:val="000000"/>
                      <w:kern w:val="0"/>
                      <w:szCs w:val="21"/>
                      <w:u w:val="single"/>
                    </w:rPr>
                  </w:pPr>
                  <w:r>
                    <w:rPr>
                      <w:color w:val="000000"/>
                      <w:kern w:val="0"/>
                      <w:szCs w:val="21"/>
                      <w:u w:val="single"/>
                    </w:rPr>
                    <w:t>3000*600PVC 皮带304 材质</w:t>
                  </w:r>
                </w:p>
              </w:tc>
              <w:tc>
                <w:tcPr>
                  <w:tcW w:w="1430" w:type="dxa"/>
                  <w:noWrap/>
                  <w:vAlign w:val="center"/>
                </w:tcPr>
                <w:p w14:paraId="5F2D6833">
                  <w:pPr>
                    <w:widowControl/>
                    <w:jc w:val="center"/>
                    <w:rPr>
                      <w:color w:val="000000"/>
                      <w:kern w:val="0"/>
                      <w:szCs w:val="21"/>
                      <w:u w:val="single"/>
                    </w:rPr>
                  </w:pPr>
                  <w:r>
                    <w:rPr>
                      <w:color w:val="000000"/>
                      <w:kern w:val="0"/>
                      <w:szCs w:val="21"/>
                      <w:u w:val="single"/>
                    </w:rPr>
                    <w:t>1</w:t>
                  </w:r>
                </w:p>
              </w:tc>
            </w:tr>
            <w:tr w14:paraId="2E17F220">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2" w:type="dxa"/>
                  <w:noWrap/>
                  <w:vAlign w:val="center"/>
                </w:tcPr>
                <w:p w14:paraId="061F69A3">
                  <w:pPr>
                    <w:widowControl/>
                    <w:jc w:val="center"/>
                    <w:rPr>
                      <w:color w:val="000000"/>
                      <w:kern w:val="0"/>
                      <w:szCs w:val="21"/>
                      <w:u w:val="single"/>
                    </w:rPr>
                  </w:pPr>
                  <w:r>
                    <w:rPr>
                      <w:color w:val="000000"/>
                      <w:kern w:val="0"/>
                      <w:szCs w:val="21"/>
                      <w:u w:val="single"/>
                    </w:rPr>
                    <w:t>34</w:t>
                  </w:r>
                </w:p>
              </w:tc>
              <w:tc>
                <w:tcPr>
                  <w:tcW w:w="1243" w:type="dxa"/>
                  <w:noWrap/>
                  <w:vAlign w:val="center"/>
                </w:tcPr>
                <w:p w14:paraId="6BE57139">
                  <w:pPr>
                    <w:widowControl/>
                    <w:jc w:val="center"/>
                    <w:rPr>
                      <w:color w:val="000000"/>
                      <w:kern w:val="0"/>
                      <w:szCs w:val="21"/>
                      <w:u w:val="single"/>
                    </w:rPr>
                  </w:pPr>
                  <w:r>
                    <w:rPr>
                      <w:color w:val="000000"/>
                      <w:kern w:val="0"/>
                      <w:szCs w:val="21"/>
                      <w:u w:val="single"/>
                    </w:rPr>
                    <w:t>清洗烘干</w:t>
                  </w:r>
                </w:p>
              </w:tc>
              <w:tc>
                <w:tcPr>
                  <w:tcW w:w="2104" w:type="dxa"/>
                  <w:noWrap/>
                  <w:vAlign w:val="center"/>
                </w:tcPr>
                <w:p w14:paraId="670B6578">
                  <w:pPr>
                    <w:widowControl/>
                    <w:jc w:val="center"/>
                    <w:rPr>
                      <w:color w:val="000000"/>
                      <w:kern w:val="0"/>
                      <w:szCs w:val="21"/>
                      <w:u w:val="single"/>
                    </w:rPr>
                  </w:pPr>
                  <w:r>
                    <w:rPr>
                      <w:color w:val="000000"/>
                      <w:kern w:val="0"/>
                      <w:szCs w:val="21"/>
                      <w:u w:val="single"/>
                    </w:rPr>
                    <w:t>传动带</w:t>
                  </w:r>
                </w:p>
              </w:tc>
              <w:tc>
                <w:tcPr>
                  <w:tcW w:w="3098" w:type="dxa"/>
                  <w:vAlign w:val="center"/>
                </w:tcPr>
                <w:p w14:paraId="6C34F3D8">
                  <w:pPr>
                    <w:widowControl/>
                    <w:jc w:val="center"/>
                    <w:rPr>
                      <w:color w:val="000000"/>
                      <w:kern w:val="0"/>
                      <w:szCs w:val="21"/>
                      <w:u w:val="single"/>
                    </w:rPr>
                  </w:pPr>
                  <w:r>
                    <w:rPr>
                      <w:color w:val="000000"/>
                      <w:kern w:val="0"/>
                      <w:szCs w:val="21"/>
                      <w:u w:val="single"/>
                    </w:rPr>
                    <w:t>32000*600PVC 皮带</w:t>
                  </w:r>
                </w:p>
              </w:tc>
              <w:tc>
                <w:tcPr>
                  <w:tcW w:w="1430" w:type="dxa"/>
                  <w:noWrap/>
                  <w:vAlign w:val="center"/>
                </w:tcPr>
                <w:p w14:paraId="6B00C975">
                  <w:pPr>
                    <w:widowControl/>
                    <w:jc w:val="center"/>
                    <w:rPr>
                      <w:color w:val="000000"/>
                      <w:kern w:val="0"/>
                      <w:szCs w:val="21"/>
                      <w:u w:val="single"/>
                    </w:rPr>
                  </w:pPr>
                  <w:r>
                    <w:rPr>
                      <w:color w:val="000000"/>
                      <w:kern w:val="0"/>
                      <w:szCs w:val="21"/>
                      <w:u w:val="single"/>
                    </w:rPr>
                    <w:t>1</w:t>
                  </w:r>
                </w:p>
              </w:tc>
            </w:tr>
            <w:tr w14:paraId="7084BEDE">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2" w:type="dxa"/>
                  <w:noWrap/>
                  <w:vAlign w:val="center"/>
                </w:tcPr>
                <w:p w14:paraId="047B8BF4">
                  <w:pPr>
                    <w:widowControl/>
                    <w:jc w:val="center"/>
                    <w:rPr>
                      <w:color w:val="000000"/>
                      <w:kern w:val="0"/>
                      <w:szCs w:val="21"/>
                      <w:u w:val="single"/>
                    </w:rPr>
                  </w:pPr>
                  <w:r>
                    <w:rPr>
                      <w:color w:val="000000"/>
                      <w:kern w:val="0"/>
                      <w:szCs w:val="21"/>
                      <w:u w:val="single"/>
                    </w:rPr>
                    <w:t>35</w:t>
                  </w:r>
                </w:p>
              </w:tc>
              <w:tc>
                <w:tcPr>
                  <w:tcW w:w="1243" w:type="dxa"/>
                  <w:noWrap/>
                  <w:vAlign w:val="center"/>
                </w:tcPr>
                <w:p w14:paraId="3964FBD9">
                  <w:pPr>
                    <w:widowControl/>
                    <w:jc w:val="center"/>
                    <w:rPr>
                      <w:color w:val="000000"/>
                      <w:kern w:val="0"/>
                      <w:szCs w:val="21"/>
                      <w:u w:val="single"/>
                    </w:rPr>
                  </w:pPr>
                  <w:r>
                    <w:rPr>
                      <w:color w:val="000000"/>
                      <w:kern w:val="0"/>
                      <w:szCs w:val="21"/>
                      <w:u w:val="single"/>
                    </w:rPr>
                    <w:t>清洗烘干</w:t>
                  </w:r>
                </w:p>
              </w:tc>
              <w:tc>
                <w:tcPr>
                  <w:tcW w:w="2104" w:type="dxa"/>
                  <w:noWrap/>
                  <w:vAlign w:val="center"/>
                </w:tcPr>
                <w:p w14:paraId="5E77625F">
                  <w:pPr>
                    <w:widowControl/>
                    <w:jc w:val="center"/>
                    <w:rPr>
                      <w:color w:val="000000"/>
                      <w:kern w:val="0"/>
                      <w:szCs w:val="21"/>
                      <w:u w:val="single"/>
                    </w:rPr>
                  </w:pPr>
                  <w:r>
                    <w:rPr>
                      <w:color w:val="000000"/>
                      <w:kern w:val="0"/>
                      <w:szCs w:val="21"/>
                      <w:u w:val="single"/>
                    </w:rPr>
                    <w:t>机械手</w:t>
                  </w:r>
                </w:p>
              </w:tc>
              <w:tc>
                <w:tcPr>
                  <w:tcW w:w="3098" w:type="dxa"/>
                  <w:vAlign w:val="center"/>
                </w:tcPr>
                <w:p w14:paraId="46578B17">
                  <w:pPr>
                    <w:widowControl/>
                    <w:jc w:val="center"/>
                    <w:rPr>
                      <w:color w:val="000000"/>
                      <w:kern w:val="0"/>
                      <w:szCs w:val="21"/>
                      <w:u w:val="single"/>
                    </w:rPr>
                  </w:pPr>
                  <w:r>
                    <w:rPr>
                      <w:color w:val="000000"/>
                      <w:kern w:val="0"/>
                      <w:szCs w:val="21"/>
                      <w:u w:val="single"/>
                    </w:rPr>
                    <w:t>4000 长工字钢</w:t>
                  </w:r>
                </w:p>
              </w:tc>
              <w:tc>
                <w:tcPr>
                  <w:tcW w:w="1430" w:type="dxa"/>
                  <w:noWrap/>
                  <w:vAlign w:val="center"/>
                </w:tcPr>
                <w:p w14:paraId="78021A10">
                  <w:pPr>
                    <w:widowControl/>
                    <w:jc w:val="center"/>
                    <w:rPr>
                      <w:color w:val="000000"/>
                      <w:kern w:val="0"/>
                      <w:szCs w:val="21"/>
                      <w:u w:val="single"/>
                    </w:rPr>
                  </w:pPr>
                  <w:r>
                    <w:rPr>
                      <w:color w:val="000000"/>
                      <w:kern w:val="0"/>
                      <w:szCs w:val="21"/>
                      <w:u w:val="single"/>
                    </w:rPr>
                    <w:t>1</w:t>
                  </w:r>
                </w:p>
              </w:tc>
            </w:tr>
            <w:tr w14:paraId="37204023">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2" w:type="dxa"/>
                  <w:noWrap/>
                  <w:vAlign w:val="center"/>
                </w:tcPr>
                <w:p w14:paraId="5437EA77">
                  <w:pPr>
                    <w:widowControl/>
                    <w:jc w:val="center"/>
                    <w:rPr>
                      <w:color w:val="000000"/>
                      <w:kern w:val="0"/>
                      <w:szCs w:val="21"/>
                      <w:u w:val="single"/>
                    </w:rPr>
                  </w:pPr>
                  <w:r>
                    <w:rPr>
                      <w:color w:val="000000"/>
                      <w:kern w:val="0"/>
                      <w:szCs w:val="21"/>
                      <w:u w:val="single"/>
                    </w:rPr>
                    <w:t>36</w:t>
                  </w:r>
                </w:p>
              </w:tc>
              <w:tc>
                <w:tcPr>
                  <w:tcW w:w="1243" w:type="dxa"/>
                  <w:noWrap/>
                  <w:vAlign w:val="center"/>
                </w:tcPr>
                <w:p w14:paraId="183B1E5E">
                  <w:pPr>
                    <w:widowControl/>
                    <w:jc w:val="center"/>
                    <w:rPr>
                      <w:color w:val="000000"/>
                      <w:kern w:val="0"/>
                      <w:szCs w:val="21"/>
                      <w:u w:val="single"/>
                    </w:rPr>
                  </w:pPr>
                  <w:r>
                    <w:rPr>
                      <w:color w:val="000000"/>
                      <w:kern w:val="0"/>
                      <w:szCs w:val="21"/>
                      <w:u w:val="single"/>
                    </w:rPr>
                    <w:t>清洗烘干</w:t>
                  </w:r>
                </w:p>
              </w:tc>
              <w:tc>
                <w:tcPr>
                  <w:tcW w:w="2104" w:type="dxa"/>
                  <w:noWrap/>
                  <w:vAlign w:val="center"/>
                </w:tcPr>
                <w:p w14:paraId="23B6E690">
                  <w:pPr>
                    <w:widowControl/>
                    <w:jc w:val="center"/>
                    <w:rPr>
                      <w:color w:val="000000"/>
                      <w:kern w:val="0"/>
                      <w:szCs w:val="21"/>
                      <w:u w:val="single"/>
                    </w:rPr>
                  </w:pPr>
                  <w:r>
                    <w:rPr>
                      <w:color w:val="000000"/>
                      <w:kern w:val="0"/>
                      <w:szCs w:val="21"/>
                      <w:u w:val="single"/>
                    </w:rPr>
                    <w:t>上楼提升机</w:t>
                  </w:r>
                </w:p>
              </w:tc>
              <w:tc>
                <w:tcPr>
                  <w:tcW w:w="3098" w:type="dxa"/>
                  <w:vAlign w:val="center"/>
                </w:tcPr>
                <w:p w14:paraId="1E841B8F">
                  <w:pPr>
                    <w:widowControl/>
                    <w:jc w:val="center"/>
                    <w:rPr>
                      <w:color w:val="000000"/>
                      <w:kern w:val="0"/>
                      <w:szCs w:val="21"/>
                      <w:u w:val="single"/>
                    </w:rPr>
                  </w:pPr>
                  <w:r>
                    <w:rPr>
                      <w:color w:val="000000"/>
                      <w:kern w:val="0"/>
                      <w:szCs w:val="21"/>
                      <w:u w:val="single"/>
                    </w:rPr>
                    <w:t>10000*600PP 板链</w:t>
                  </w:r>
                </w:p>
              </w:tc>
              <w:tc>
                <w:tcPr>
                  <w:tcW w:w="1430" w:type="dxa"/>
                  <w:noWrap/>
                  <w:vAlign w:val="center"/>
                </w:tcPr>
                <w:p w14:paraId="3F01B2E8">
                  <w:pPr>
                    <w:widowControl/>
                    <w:jc w:val="center"/>
                    <w:rPr>
                      <w:color w:val="000000"/>
                      <w:kern w:val="0"/>
                      <w:szCs w:val="21"/>
                      <w:u w:val="single"/>
                    </w:rPr>
                  </w:pPr>
                  <w:r>
                    <w:rPr>
                      <w:color w:val="000000"/>
                      <w:kern w:val="0"/>
                      <w:szCs w:val="21"/>
                      <w:u w:val="single"/>
                    </w:rPr>
                    <w:t>1</w:t>
                  </w:r>
                </w:p>
              </w:tc>
            </w:tr>
            <w:tr w14:paraId="5FE1EB7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2" w:type="dxa"/>
                  <w:noWrap/>
                  <w:vAlign w:val="center"/>
                </w:tcPr>
                <w:p w14:paraId="5F6BF1AB">
                  <w:pPr>
                    <w:widowControl/>
                    <w:jc w:val="center"/>
                    <w:rPr>
                      <w:color w:val="000000"/>
                      <w:kern w:val="0"/>
                      <w:szCs w:val="21"/>
                      <w:u w:val="single"/>
                    </w:rPr>
                  </w:pPr>
                  <w:r>
                    <w:rPr>
                      <w:color w:val="000000"/>
                      <w:kern w:val="0"/>
                      <w:szCs w:val="21"/>
                      <w:u w:val="single"/>
                    </w:rPr>
                    <w:t>37</w:t>
                  </w:r>
                </w:p>
              </w:tc>
              <w:tc>
                <w:tcPr>
                  <w:tcW w:w="1243" w:type="dxa"/>
                  <w:noWrap/>
                  <w:vAlign w:val="center"/>
                </w:tcPr>
                <w:p w14:paraId="0D880D1B">
                  <w:pPr>
                    <w:widowControl/>
                    <w:jc w:val="center"/>
                    <w:rPr>
                      <w:color w:val="000000"/>
                      <w:kern w:val="0"/>
                      <w:szCs w:val="21"/>
                      <w:u w:val="single"/>
                    </w:rPr>
                  </w:pPr>
                  <w:r>
                    <w:rPr>
                      <w:color w:val="000000"/>
                      <w:kern w:val="0"/>
                      <w:szCs w:val="21"/>
                      <w:u w:val="single"/>
                    </w:rPr>
                    <w:t>清洗烘干</w:t>
                  </w:r>
                </w:p>
              </w:tc>
              <w:tc>
                <w:tcPr>
                  <w:tcW w:w="2104" w:type="dxa"/>
                  <w:noWrap/>
                  <w:vAlign w:val="center"/>
                </w:tcPr>
                <w:p w14:paraId="2F71A6BA">
                  <w:pPr>
                    <w:widowControl/>
                    <w:jc w:val="center"/>
                    <w:rPr>
                      <w:color w:val="000000"/>
                      <w:kern w:val="0"/>
                      <w:szCs w:val="21"/>
                      <w:u w:val="single"/>
                    </w:rPr>
                  </w:pPr>
                  <w:r>
                    <w:rPr>
                      <w:color w:val="000000"/>
                      <w:kern w:val="0"/>
                      <w:szCs w:val="21"/>
                      <w:u w:val="single"/>
                    </w:rPr>
                    <w:t>上楼提升机</w:t>
                  </w:r>
                </w:p>
              </w:tc>
              <w:tc>
                <w:tcPr>
                  <w:tcW w:w="3098" w:type="dxa"/>
                  <w:vAlign w:val="center"/>
                </w:tcPr>
                <w:p w14:paraId="2418D192">
                  <w:pPr>
                    <w:widowControl/>
                    <w:jc w:val="center"/>
                    <w:rPr>
                      <w:color w:val="000000"/>
                      <w:kern w:val="0"/>
                      <w:szCs w:val="21"/>
                      <w:u w:val="single"/>
                    </w:rPr>
                  </w:pPr>
                  <w:r>
                    <w:rPr>
                      <w:color w:val="000000"/>
                      <w:kern w:val="0"/>
                      <w:szCs w:val="21"/>
                      <w:u w:val="single"/>
                    </w:rPr>
                    <w:t>6000*600PP 板链</w:t>
                  </w:r>
                </w:p>
              </w:tc>
              <w:tc>
                <w:tcPr>
                  <w:tcW w:w="1430" w:type="dxa"/>
                  <w:noWrap/>
                  <w:vAlign w:val="center"/>
                </w:tcPr>
                <w:p w14:paraId="26210725">
                  <w:pPr>
                    <w:widowControl/>
                    <w:jc w:val="center"/>
                    <w:rPr>
                      <w:color w:val="000000"/>
                      <w:kern w:val="0"/>
                      <w:szCs w:val="21"/>
                      <w:u w:val="single"/>
                    </w:rPr>
                  </w:pPr>
                  <w:r>
                    <w:rPr>
                      <w:color w:val="000000"/>
                      <w:kern w:val="0"/>
                      <w:szCs w:val="21"/>
                      <w:u w:val="single"/>
                    </w:rPr>
                    <w:t>1</w:t>
                  </w:r>
                </w:p>
              </w:tc>
            </w:tr>
            <w:tr w14:paraId="7D37D73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2" w:type="dxa"/>
                  <w:noWrap/>
                  <w:vAlign w:val="center"/>
                </w:tcPr>
                <w:p w14:paraId="76ACEE14">
                  <w:pPr>
                    <w:widowControl/>
                    <w:jc w:val="center"/>
                    <w:rPr>
                      <w:color w:val="000000"/>
                      <w:kern w:val="0"/>
                      <w:szCs w:val="21"/>
                      <w:u w:val="single"/>
                    </w:rPr>
                  </w:pPr>
                  <w:r>
                    <w:rPr>
                      <w:color w:val="000000"/>
                      <w:kern w:val="0"/>
                      <w:szCs w:val="21"/>
                      <w:u w:val="single"/>
                    </w:rPr>
                    <w:t>38</w:t>
                  </w:r>
                </w:p>
              </w:tc>
              <w:tc>
                <w:tcPr>
                  <w:tcW w:w="1243" w:type="dxa"/>
                  <w:noWrap/>
                  <w:vAlign w:val="center"/>
                </w:tcPr>
                <w:p w14:paraId="3FE86A37">
                  <w:pPr>
                    <w:widowControl/>
                    <w:jc w:val="center"/>
                    <w:rPr>
                      <w:color w:val="000000"/>
                      <w:kern w:val="0"/>
                      <w:szCs w:val="21"/>
                      <w:u w:val="single"/>
                    </w:rPr>
                  </w:pPr>
                  <w:r>
                    <w:rPr>
                      <w:color w:val="000000"/>
                      <w:kern w:val="0"/>
                      <w:szCs w:val="21"/>
                      <w:u w:val="single"/>
                    </w:rPr>
                    <w:t>清洗烘干</w:t>
                  </w:r>
                </w:p>
              </w:tc>
              <w:tc>
                <w:tcPr>
                  <w:tcW w:w="2104" w:type="dxa"/>
                  <w:noWrap/>
                  <w:vAlign w:val="center"/>
                </w:tcPr>
                <w:p w14:paraId="01FA0EEE">
                  <w:pPr>
                    <w:widowControl/>
                    <w:jc w:val="center"/>
                    <w:rPr>
                      <w:color w:val="000000"/>
                      <w:kern w:val="0"/>
                      <w:szCs w:val="21"/>
                      <w:u w:val="single"/>
                    </w:rPr>
                  </w:pPr>
                  <w:r>
                    <w:rPr>
                      <w:color w:val="000000"/>
                      <w:kern w:val="0"/>
                      <w:szCs w:val="21"/>
                      <w:u w:val="single"/>
                    </w:rPr>
                    <w:t>清洗过水机</w:t>
                  </w:r>
                </w:p>
              </w:tc>
              <w:tc>
                <w:tcPr>
                  <w:tcW w:w="3098" w:type="dxa"/>
                  <w:vAlign w:val="center"/>
                </w:tcPr>
                <w:p w14:paraId="7ED37706">
                  <w:pPr>
                    <w:widowControl/>
                    <w:jc w:val="center"/>
                    <w:rPr>
                      <w:color w:val="000000"/>
                      <w:kern w:val="0"/>
                      <w:szCs w:val="21"/>
                      <w:u w:val="single"/>
                    </w:rPr>
                  </w:pPr>
                  <w:r>
                    <w:rPr>
                      <w:color w:val="000000"/>
                      <w:kern w:val="0"/>
                      <w:szCs w:val="21"/>
                      <w:u w:val="single"/>
                    </w:rPr>
                    <w:t>5000*1200PP 板链,带加温</w:t>
                  </w:r>
                </w:p>
              </w:tc>
              <w:tc>
                <w:tcPr>
                  <w:tcW w:w="1430" w:type="dxa"/>
                  <w:noWrap/>
                  <w:vAlign w:val="center"/>
                </w:tcPr>
                <w:p w14:paraId="03598AC0">
                  <w:pPr>
                    <w:widowControl/>
                    <w:jc w:val="center"/>
                    <w:rPr>
                      <w:color w:val="000000"/>
                      <w:kern w:val="0"/>
                      <w:szCs w:val="21"/>
                      <w:u w:val="single"/>
                    </w:rPr>
                  </w:pPr>
                  <w:r>
                    <w:rPr>
                      <w:rFonts w:hint="eastAsia"/>
                      <w:color w:val="000000"/>
                      <w:kern w:val="0"/>
                      <w:szCs w:val="21"/>
                      <w:u w:val="single"/>
                    </w:rPr>
                    <w:t>2</w:t>
                  </w:r>
                </w:p>
              </w:tc>
            </w:tr>
            <w:tr w14:paraId="0AB4EF6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2" w:type="dxa"/>
                  <w:noWrap/>
                  <w:vAlign w:val="center"/>
                </w:tcPr>
                <w:p w14:paraId="1CF1FEF6">
                  <w:pPr>
                    <w:widowControl/>
                    <w:jc w:val="center"/>
                    <w:rPr>
                      <w:color w:val="000000"/>
                      <w:kern w:val="0"/>
                      <w:szCs w:val="21"/>
                      <w:u w:val="single"/>
                    </w:rPr>
                  </w:pPr>
                  <w:r>
                    <w:rPr>
                      <w:color w:val="000000"/>
                      <w:kern w:val="0"/>
                      <w:szCs w:val="21"/>
                      <w:u w:val="single"/>
                    </w:rPr>
                    <w:t>39</w:t>
                  </w:r>
                </w:p>
              </w:tc>
              <w:tc>
                <w:tcPr>
                  <w:tcW w:w="1243" w:type="dxa"/>
                  <w:noWrap/>
                  <w:vAlign w:val="center"/>
                </w:tcPr>
                <w:p w14:paraId="2C381F7C">
                  <w:pPr>
                    <w:widowControl/>
                    <w:jc w:val="center"/>
                    <w:rPr>
                      <w:color w:val="000000"/>
                      <w:kern w:val="0"/>
                      <w:szCs w:val="21"/>
                      <w:u w:val="single"/>
                    </w:rPr>
                  </w:pPr>
                  <w:r>
                    <w:rPr>
                      <w:color w:val="000000"/>
                      <w:kern w:val="0"/>
                      <w:szCs w:val="21"/>
                      <w:u w:val="single"/>
                    </w:rPr>
                    <w:t>清洗烘干</w:t>
                  </w:r>
                </w:p>
              </w:tc>
              <w:tc>
                <w:tcPr>
                  <w:tcW w:w="2104" w:type="dxa"/>
                  <w:noWrap/>
                  <w:vAlign w:val="center"/>
                </w:tcPr>
                <w:p w14:paraId="5B959D88">
                  <w:pPr>
                    <w:widowControl/>
                    <w:jc w:val="center"/>
                    <w:rPr>
                      <w:color w:val="000000"/>
                      <w:kern w:val="0"/>
                      <w:szCs w:val="21"/>
                      <w:u w:val="single"/>
                    </w:rPr>
                  </w:pPr>
                  <w:r>
                    <w:rPr>
                      <w:color w:val="000000"/>
                      <w:kern w:val="0"/>
                      <w:szCs w:val="21"/>
                      <w:u w:val="single"/>
                    </w:rPr>
                    <w:t>振动筛</w:t>
                  </w:r>
                </w:p>
              </w:tc>
              <w:tc>
                <w:tcPr>
                  <w:tcW w:w="3098" w:type="dxa"/>
                  <w:vAlign w:val="center"/>
                </w:tcPr>
                <w:p w14:paraId="4FC3E8F6">
                  <w:pPr>
                    <w:widowControl/>
                    <w:jc w:val="center"/>
                    <w:rPr>
                      <w:color w:val="000000"/>
                      <w:kern w:val="0"/>
                      <w:szCs w:val="21"/>
                      <w:u w:val="single"/>
                    </w:rPr>
                  </w:pPr>
                  <w:r>
                    <w:rPr>
                      <w:color w:val="000000"/>
                      <w:kern w:val="0"/>
                      <w:szCs w:val="21"/>
                      <w:u w:val="single"/>
                    </w:rPr>
                    <w:t>1500*1200</w:t>
                  </w:r>
                </w:p>
              </w:tc>
              <w:tc>
                <w:tcPr>
                  <w:tcW w:w="1430" w:type="dxa"/>
                  <w:noWrap/>
                  <w:vAlign w:val="center"/>
                </w:tcPr>
                <w:p w14:paraId="075EF0FD">
                  <w:pPr>
                    <w:widowControl/>
                    <w:jc w:val="center"/>
                    <w:rPr>
                      <w:color w:val="000000"/>
                      <w:kern w:val="0"/>
                      <w:szCs w:val="21"/>
                      <w:u w:val="single"/>
                    </w:rPr>
                  </w:pPr>
                  <w:r>
                    <w:rPr>
                      <w:color w:val="000000"/>
                      <w:kern w:val="0"/>
                      <w:szCs w:val="21"/>
                      <w:u w:val="single"/>
                    </w:rPr>
                    <w:t>1</w:t>
                  </w:r>
                </w:p>
              </w:tc>
            </w:tr>
            <w:tr w14:paraId="16A2A989">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2" w:type="dxa"/>
                  <w:noWrap/>
                  <w:vAlign w:val="center"/>
                </w:tcPr>
                <w:p w14:paraId="677773ED">
                  <w:pPr>
                    <w:widowControl/>
                    <w:jc w:val="center"/>
                    <w:rPr>
                      <w:color w:val="000000"/>
                      <w:kern w:val="0"/>
                      <w:szCs w:val="21"/>
                      <w:u w:val="single"/>
                    </w:rPr>
                  </w:pPr>
                  <w:r>
                    <w:rPr>
                      <w:rFonts w:hint="eastAsia"/>
                      <w:color w:val="000000"/>
                      <w:kern w:val="0"/>
                      <w:szCs w:val="21"/>
                      <w:u w:val="single"/>
                    </w:rPr>
                    <w:t>40</w:t>
                  </w:r>
                </w:p>
              </w:tc>
              <w:tc>
                <w:tcPr>
                  <w:tcW w:w="1243" w:type="dxa"/>
                  <w:noWrap/>
                  <w:vAlign w:val="center"/>
                </w:tcPr>
                <w:p w14:paraId="7107BFB1">
                  <w:pPr>
                    <w:widowControl/>
                    <w:jc w:val="center"/>
                    <w:rPr>
                      <w:color w:val="000000"/>
                      <w:kern w:val="0"/>
                      <w:szCs w:val="21"/>
                      <w:u w:val="single"/>
                    </w:rPr>
                  </w:pPr>
                  <w:r>
                    <w:rPr>
                      <w:color w:val="000000"/>
                      <w:kern w:val="0"/>
                      <w:szCs w:val="21"/>
                      <w:u w:val="single"/>
                    </w:rPr>
                    <w:t>清洗烘干</w:t>
                  </w:r>
                </w:p>
              </w:tc>
              <w:tc>
                <w:tcPr>
                  <w:tcW w:w="2104" w:type="dxa"/>
                  <w:noWrap/>
                  <w:vAlign w:val="center"/>
                </w:tcPr>
                <w:p w14:paraId="4E66C47B">
                  <w:pPr>
                    <w:widowControl/>
                    <w:jc w:val="center"/>
                    <w:rPr>
                      <w:color w:val="000000"/>
                      <w:kern w:val="0"/>
                      <w:szCs w:val="21"/>
                      <w:u w:val="single"/>
                    </w:rPr>
                  </w:pPr>
                  <w:r>
                    <w:rPr>
                      <w:color w:val="000000"/>
                      <w:kern w:val="0"/>
                      <w:szCs w:val="21"/>
                      <w:u w:val="single"/>
                    </w:rPr>
                    <w:t>正反传送带</w:t>
                  </w:r>
                </w:p>
              </w:tc>
              <w:tc>
                <w:tcPr>
                  <w:tcW w:w="3098" w:type="dxa"/>
                  <w:vAlign w:val="center"/>
                </w:tcPr>
                <w:p w14:paraId="2A820BB2">
                  <w:pPr>
                    <w:widowControl/>
                    <w:jc w:val="center"/>
                    <w:rPr>
                      <w:color w:val="000000"/>
                      <w:kern w:val="0"/>
                      <w:szCs w:val="21"/>
                      <w:u w:val="single"/>
                    </w:rPr>
                  </w:pPr>
                  <w:r>
                    <w:rPr>
                      <w:color w:val="000000"/>
                      <w:kern w:val="0"/>
                      <w:szCs w:val="21"/>
                      <w:u w:val="single"/>
                    </w:rPr>
                    <w:t>2000*800PVC皮带</w:t>
                  </w:r>
                </w:p>
              </w:tc>
              <w:tc>
                <w:tcPr>
                  <w:tcW w:w="1430" w:type="dxa"/>
                  <w:noWrap/>
                  <w:vAlign w:val="center"/>
                </w:tcPr>
                <w:p w14:paraId="2520C925">
                  <w:pPr>
                    <w:widowControl/>
                    <w:jc w:val="center"/>
                    <w:rPr>
                      <w:color w:val="000000"/>
                      <w:kern w:val="0"/>
                      <w:szCs w:val="21"/>
                      <w:u w:val="single"/>
                    </w:rPr>
                  </w:pPr>
                  <w:r>
                    <w:rPr>
                      <w:color w:val="000000"/>
                      <w:kern w:val="0"/>
                      <w:szCs w:val="21"/>
                      <w:u w:val="single"/>
                    </w:rPr>
                    <w:t>1</w:t>
                  </w:r>
                </w:p>
              </w:tc>
            </w:tr>
            <w:tr w14:paraId="7D686682">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2" w:type="dxa"/>
                  <w:noWrap/>
                  <w:vAlign w:val="center"/>
                </w:tcPr>
                <w:p w14:paraId="430FE5C3">
                  <w:pPr>
                    <w:widowControl/>
                    <w:jc w:val="center"/>
                    <w:rPr>
                      <w:color w:val="000000"/>
                      <w:kern w:val="0"/>
                      <w:szCs w:val="21"/>
                      <w:u w:val="single"/>
                    </w:rPr>
                  </w:pPr>
                  <w:r>
                    <w:rPr>
                      <w:color w:val="000000"/>
                      <w:kern w:val="0"/>
                      <w:szCs w:val="21"/>
                      <w:u w:val="single"/>
                    </w:rPr>
                    <w:t>4</w:t>
                  </w:r>
                  <w:r>
                    <w:rPr>
                      <w:rFonts w:hint="eastAsia"/>
                      <w:color w:val="000000"/>
                      <w:kern w:val="0"/>
                      <w:szCs w:val="21"/>
                      <w:u w:val="single"/>
                    </w:rPr>
                    <w:t>1</w:t>
                  </w:r>
                </w:p>
              </w:tc>
              <w:tc>
                <w:tcPr>
                  <w:tcW w:w="1243" w:type="dxa"/>
                  <w:noWrap/>
                  <w:vAlign w:val="center"/>
                </w:tcPr>
                <w:p w14:paraId="03F1FBC2">
                  <w:pPr>
                    <w:widowControl/>
                    <w:jc w:val="center"/>
                    <w:rPr>
                      <w:color w:val="000000"/>
                      <w:kern w:val="0"/>
                      <w:szCs w:val="21"/>
                      <w:u w:val="single"/>
                    </w:rPr>
                  </w:pPr>
                  <w:r>
                    <w:rPr>
                      <w:color w:val="000000"/>
                      <w:kern w:val="0"/>
                      <w:szCs w:val="21"/>
                      <w:u w:val="single"/>
                    </w:rPr>
                    <w:t>清洗烘干</w:t>
                  </w:r>
                </w:p>
              </w:tc>
              <w:tc>
                <w:tcPr>
                  <w:tcW w:w="2104" w:type="dxa"/>
                  <w:noWrap/>
                  <w:vAlign w:val="center"/>
                </w:tcPr>
                <w:p w14:paraId="50501CAD">
                  <w:pPr>
                    <w:widowControl/>
                    <w:jc w:val="center"/>
                    <w:rPr>
                      <w:color w:val="000000"/>
                      <w:kern w:val="0"/>
                      <w:szCs w:val="21"/>
                      <w:u w:val="single"/>
                    </w:rPr>
                  </w:pPr>
                  <w:r>
                    <w:rPr>
                      <w:color w:val="000000"/>
                      <w:kern w:val="0"/>
                      <w:szCs w:val="21"/>
                      <w:u w:val="single"/>
                    </w:rPr>
                    <w:t>提升机</w:t>
                  </w:r>
                </w:p>
              </w:tc>
              <w:tc>
                <w:tcPr>
                  <w:tcW w:w="3098" w:type="dxa"/>
                  <w:vAlign w:val="center"/>
                </w:tcPr>
                <w:p w14:paraId="41E71C68">
                  <w:pPr>
                    <w:widowControl/>
                    <w:jc w:val="center"/>
                    <w:rPr>
                      <w:color w:val="000000"/>
                      <w:kern w:val="0"/>
                      <w:szCs w:val="21"/>
                      <w:u w:val="single"/>
                    </w:rPr>
                  </w:pPr>
                  <w:r>
                    <w:rPr>
                      <w:color w:val="000000"/>
                      <w:kern w:val="0"/>
                      <w:szCs w:val="21"/>
                      <w:u w:val="single"/>
                    </w:rPr>
                    <w:t>4000*800PVC皮带</w:t>
                  </w:r>
                </w:p>
              </w:tc>
              <w:tc>
                <w:tcPr>
                  <w:tcW w:w="1430" w:type="dxa"/>
                  <w:noWrap/>
                  <w:vAlign w:val="center"/>
                </w:tcPr>
                <w:p w14:paraId="22E3AC48">
                  <w:pPr>
                    <w:widowControl/>
                    <w:jc w:val="center"/>
                    <w:rPr>
                      <w:color w:val="000000"/>
                      <w:kern w:val="0"/>
                      <w:szCs w:val="21"/>
                      <w:u w:val="single"/>
                    </w:rPr>
                  </w:pPr>
                  <w:r>
                    <w:rPr>
                      <w:color w:val="000000"/>
                      <w:kern w:val="0"/>
                      <w:szCs w:val="21"/>
                      <w:u w:val="single"/>
                    </w:rPr>
                    <w:t>1</w:t>
                  </w:r>
                </w:p>
              </w:tc>
            </w:tr>
            <w:tr w14:paraId="0A2D00B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2" w:type="dxa"/>
                  <w:noWrap/>
                  <w:vAlign w:val="center"/>
                </w:tcPr>
                <w:p w14:paraId="2786D7D6">
                  <w:pPr>
                    <w:widowControl/>
                    <w:jc w:val="center"/>
                    <w:rPr>
                      <w:color w:val="000000"/>
                      <w:kern w:val="0"/>
                      <w:szCs w:val="21"/>
                      <w:u w:val="single"/>
                    </w:rPr>
                  </w:pPr>
                  <w:r>
                    <w:rPr>
                      <w:color w:val="000000"/>
                      <w:kern w:val="0"/>
                      <w:szCs w:val="21"/>
                      <w:u w:val="single"/>
                    </w:rPr>
                    <w:t>42</w:t>
                  </w:r>
                </w:p>
              </w:tc>
              <w:tc>
                <w:tcPr>
                  <w:tcW w:w="1243" w:type="dxa"/>
                  <w:noWrap/>
                  <w:vAlign w:val="center"/>
                </w:tcPr>
                <w:p w14:paraId="1D12B1CD">
                  <w:pPr>
                    <w:widowControl/>
                    <w:jc w:val="center"/>
                    <w:rPr>
                      <w:color w:val="000000"/>
                      <w:kern w:val="0"/>
                      <w:szCs w:val="21"/>
                      <w:u w:val="single"/>
                    </w:rPr>
                  </w:pPr>
                  <w:r>
                    <w:rPr>
                      <w:color w:val="000000"/>
                      <w:kern w:val="0"/>
                      <w:szCs w:val="21"/>
                      <w:u w:val="single"/>
                    </w:rPr>
                    <w:t>清洗烘干</w:t>
                  </w:r>
                </w:p>
              </w:tc>
              <w:tc>
                <w:tcPr>
                  <w:tcW w:w="2104" w:type="dxa"/>
                  <w:noWrap/>
                  <w:vAlign w:val="center"/>
                </w:tcPr>
                <w:p w14:paraId="744B0958">
                  <w:pPr>
                    <w:widowControl/>
                    <w:jc w:val="center"/>
                    <w:rPr>
                      <w:color w:val="000000"/>
                      <w:kern w:val="0"/>
                      <w:szCs w:val="21"/>
                      <w:u w:val="single"/>
                    </w:rPr>
                  </w:pPr>
                  <w:r>
                    <w:rPr>
                      <w:color w:val="000000"/>
                      <w:kern w:val="0"/>
                      <w:szCs w:val="21"/>
                      <w:u w:val="single"/>
                    </w:rPr>
                    <w:t>五层烘干机</w:t>
                  </w:r>
                </w:p>
              </w:tc>
              <w:tc>
                <w:tcPr>
                  <w:tcW w:w="3098" w:type="dxa"/>
                  <w:vAlign w:val="center"/>
                </w:tcPr>
                <w:p w14:paraId="1AC711A3">
                  <w:pPr>
                    <w:widowControl/>
                    <w:jc w:val="center"/>
                    <w:rPr>
                      <w:color w:val="000000"/>
                      <w:kern w:val="0"/>
                      <w:szCs w:val="21"/>
                      <w:u w:val="single"/>
                    </w:rPr>
                  </w:pPr>
                  <w:r>
                    <w:rPr>
                      <w:color w:val="000000"/>
                      <w:kern w:val="0"/>
                      <w:szCs w:val="21"/>
                      <w:u w:val="single"/>
                    </w:rPr>
                    <w:t>8000*1200 板链</w:t>
                  </w:r>
                </w:p>
              </w:tc>
              <w:tc>
                <w:tcPr>
                  <w:tcW w:w="1430" w:type="dxa"/>
                  <w:noWrap/>
                  <w:vAlign w:val="center"/>
                </w:tcPr>
                <w:p w14:paraId="37E7614D">
                  <w:pPr>
                    <w:widowControl/>
                    <w:jc w:val="center"/>
                    <w:rPr>
                      <w:color w:val="000000"/>
                      <w:kern w:val="0"/>
                      <w:szCs w:val="21"/>
                      <w:u w:val="single"/>
                    </w:rPr>
                  </w:pPr>
                  <w:r>
                    <w:rPr>
                      <w:color w:val="000000"/>
                      <w:kern w:val="0"/>
                      <w:szCs w:val="21"/>
                      <w:u w:val="single"/>
                    </w:rPr>
                    <w:t>1</w:t>
                  </w:r>
                </w:p>
              </w:tc>
            </w:tr>
            <w:tr w14:paraId="2EA4E9F3">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2" w:type="dxa"/>
                  <w:noWrap/>
                  <w:vAlign w:val="center"/>
                </w:tcPr>
                <w:p w14:paraId="7F676D29">
                  <w:pPr>
                    <w:widowControl/>
                    <w:jc w:val="center"/>
                    <w:rPr>
                      <w:color w:val="000000"/>
                      <w:kern w:val="0"/>
                      <w:szCs w:val="21"/>
                      <w:u w:val="single"/>
                    </w:rPr>
                  </w:pPr>
                  <w:r>
                    <w:rPr>
                      <w:color w:val="000000"/>
                      <w:kern w:val="0"/>
                      <w:szCs w:val="21"/>
                      <w:u w:val="single"/>
                    </w:rPr>
                    <w:t>43</w:t>
                  </w:r>
                </w:p>
              </w:tc>
              <w:tc>
                <w:tcPr>
                  <w:tcW w:w="1243" w:type="dxa"/>
                  <w:noWrap/>
                  <w:vAlign w:val="center"/>
                </w:tcPr>
                <w:p w14:paraId="2D2EB155">
                  <w:pPr>
                    <w:widowControl/>
                    <w:jc w:val="center"/>
                    <w:rPr>
                      <w:color w:val="000000"/>
                      <w:kern w:val="0"/>
                      <w:szCs w:val="21"/>
                      <w:u w:val="single"/>
                    </w:rPr>
                  </w:pPr>
                  <w:r>
                    <w:rPr>
                      <w:color w:val="000000"/>
                      <w:kern w:val="0"/>
                      <w:szCs w:val="21"/>
                      <w:u w:val="single"/>
                    </w:rPr>
                    <w:t>清洗烘干</w:t>
                  </w:r>
                </w:p>
              </w:tc>
              <w:tc>
                <w:tcPr>
                  <w:tcW w:w="2104" w:type="dxa"/>
                  <w:noWrap/>
                  <w:vAlign w:val="center"/>
                </w:tcPr>
                <w:p w14:paraId="103868F2">
                  <w:pPr>
                    <w:widowControl/>
                    <w:jc w:val="center"/>
                    <w:rPr>
                      <w:color w:val="000000"/>
                      <w:kern w:val="0"/>
                      <w:szCs w:val="21"/>
                      <w:u w:val="single"/>
                    </w:rPr>
                  </w:pPr>
                  <w:r>
                    <w:rPr>
                      <w:color w:val="000000"/>
                      <w:kern w:val="0"/>
                      <w:szCs w:val="21"/>
                      <w:u w:val="single"/>
                    </w:rPr>
                    <w:t>提升机</w:t>
                  </w:r>
                </w:p>
              </w:tc>
              <w:tc>
                <w:tcPr>
                  <w:tcW w:w="3098" w:type="dxa"/>
                  <w:vAlign w:val="center"/>
                </w:tcPr>
                <w:p w14:paraId="20F29523">
                  <w:pPr>
                    <w:widowControl/>
                    <w:jc w:val="center"/>
                    <w:rPr>
                      <w:color w:val="000000"/>
                      <w:kern w:val="0"/>
                      <w:szCs w:val="21"/>
                      <w:u w:val="single"/>
                    </w:rPr>
                  </w:pPr>
                  <w:r>
                    <w:rPr>
                      <w:color w:val="000000"/>
                      <w:kern w:val="0"/>
                      <w:szCs w:val="21"/>
                      <w:u w:val="single"/>
                    </w:rPr>
                    <w:t>4000*800PVC皮带</w:t>
                  </w:r>
                </w:p>
              </w:tc>
              <w:tc>
                <w:tcPr>
                  <w:tcW w:w="1430" w:type="dxa"/>
                  <w:noWrap/>
                  <w:vAlign w:val="center"/>
                </w:tcPr>
                <w:p w14:paraId="3D42F20C">
                  <w:pPr>
                    <w:widowControl/>
                    <w:jc w:val="center"/>
                    <w:rPr>
                      <w:color w:val="000000"/>
                      <w:kern w:val="0"/>
                      <w:szCs w:val="21"/>
                      <w:u w:val="single"/>
                    </w:rPr>
                  </w:pPr>
                  <w:r>
                    <w:rPr>
                      <w:color w:val="000000"/>
                      <w:kern w:val="0"/>
                      <w:szCs w:val="21"/>
                      <w:u w:val="single"/>
                    </w:rPr>
                    <w:t>1</w:t>
                  </w:r>
                </w:p>
              </w:tc>
            </w:tr>
            <w:tr w14:paraId="6A63A1A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2" w:type="dxa"/>
                  <w:noWrap/>
                  <w:vAlign w:val="center"/>
                </w:tcPr>
                <w:p w14:paraId="774BDC12">
                  <w:pPr>
                    <w:widowControl/>
                    <w:jc w:val="center"/>
                    <w:rPr>
                      <w:color w:val="000000"/>
                      <w:kern w:val="0"/>
                      <w:szCs w:val="21"/>
                      <w:u w:val="single"/>
                    </w:rPr>
                  </w:pPr>
                  <w:r>
                    <w:rPr>
                      <w:color w:val="000000"/>
                      <w:kern w:val="0"/>
                      <w:szCs w:val="21"/>
                      <w:u w:val="single"/>
                    </w:rPr>
                    <w:t>44</w:t>
                  </w:r>
                </w:p>
              </w:tc>
              <w:tc>
                <w:tcPr>
                  <w:tcW w:w="1243" w:type="dxa"/>
                  <w:noWrap/>
                  <w:vAlign w:val="center"/>
                </w:tcPr>
                <w:p w14:paraId="31E8E84D">
                  <w:pPr>
                    <w:widowControl/>
                    <w:jc w:val="center"/>
                    <w:rPr>
                      <w:color w:val="000000"/>
                      <w:kern w:val="0"/>
                      <w:szCs w:val="21"/>
                      <w:u w:val="single"/>
                    </w:rPr>
                  </w:pPr>
                  <w:r>
                    <w:rPr>
                      <w:color w:val="000000"/>
                      <w:kern w:val="0"/>
                      <w:szCs w:val="21"/>
                      <w:u w:val="single"/>
                    </w:rPr>
                    <w:t>清洗烘干</w:t>
                  </w:r>
                </w:p>
              </w:tc>
              <w:tc>
                <w:tcPr>
                  <w:tcW w:w="2104" w:type="dxa"/>
                  <w:noWrap/>
                  <w:vAlign w:val="center"/>
                </w:tcPr>
                <w:p w14:paraId="008F3EC3">
                  <w:pPr>
                    <w:widowControl/>
                    <w:jc w:val="center"/>
                    <w:rPr>
                      <w:color w:val="000000"/>
                      <w:kern w:val="0"/>
                      <w:szCs w:val="21"/>
                      <w:u w:val="single"/>
                    </w:rPr>
                  </w:pPr>
                  <w:r>
                    <w:rPr>
                      <w:color w:val="000000"/>
                      <w:kern w:val="0"/>
                      <w:szCs w:val="21"/>
                      <w:u w:val="single"/>
                    </w:rPr>
                    <w:t>高空提升机</w:t>
                  </w:r>
                </w:p>
              </w:tc>
              <w:tc>
                <w:tcPr>
                  <w:tcW w:w="3098" w:type="dxa"/>
                  <w:vAlign w:val="center"/>
                </w:tcPr>
                <w:p w14:paraId="22744E42">
                  <w:pPr>
                    <w:widowControl/>
                    <w:jc w:val="center"/>
                    <w:rPr>
                      <w:color w:val="000000"/>
                      <w:kern w:val="0"/>
                      <w:szCs w:val="21"/>
                      <w:u w:val="single"/>
                    </w:rPr>
                  </w:pPr>
                  <w:r>
                    <w:rPr>
                      <w:color w:val="000000"/>
                      <w:kern w:val="0"/>
                      <w:szCs w:val="21"/>
                      <w:u w:val="single"/>
                    </w:rPr>
                    <w:t>6500*600PVC 皮带</w:t>
                  </w:r>
                </w:p>
              </w:tc>
              <w:tc>
                <w:tcPr>
                  <w:tcW w:w="1430" w:type="dxa"/>
                  <w:noWrap/>
                  <w:vAlign w:val="center"/>
                </w:tcPr>
                <w:p w14:paraId="01D03B15">
                  <w:pPr>
                    <w:widowControl/>
                    <w:jc w:val="center"/>
                    <w:rPr>
                      <w:color w:val="000000"/>
                      <w:kern w:val="0"/>
                      <w:szCs w:val="21"/>
                      <w:u w:val="single"/>
                    </w:rPr>
                  </w:pPr>
                  <w:r>
                    <w:rPr>
                      <w:color w:val="000000"/>
                      <w:kern w:val="0"/>
                      <w:szCs w:val="21"/>
                      <w:u w:val="single"/>
                    </w:rPr>
                    <w:t>1</w:t>
                  </w:r>
                </w:p>
              </w:tc>
            </w:tr>
            <w:tr w14:paraId="6D90A6CF">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2" w:type="dxa"/>
                  <w:noWrap/>
                  <w:vAlign w:val="center"/>
                </w:tcPr>
                <w:p w14:paraId="0145CD63">
                  <w:pPr>
                    <w:widowControl/>
                    <w:jc w:val="center"/>
                    <w:rPr>
                      <w:color w:val="000000"/>
                      <w:kern w:val="0"/>
                      <w:szCs w:val="21"/>
                      <w:u w:val="single"/>
                    </w:rPr>
                  </w:pPr>
                  <w:r>
                    <w:rPr>
                      <w:color w:val="000000"/>
                      <w:kern w:val="0"/>
                      <w:szCs w:val="21"/>
                      <w:u w:val="single"/>
                    </w:rPr>
                    <w:t>45</w:t>
                  </w:r>
                </w:p>
              </w:tc>
              <w:tc>
                <w:tcPr>
                  <w:tcW w:w="1243" w:type="dxa"/>
                  <w:noWrap/>
                  <w:vAlign w:val="center"/>
                </w:tcPr>
                <w:p w14:paraId="1285E377">
                  <w:pPr>
                    <w:widowControl/>
                    <w:jc w:val="center"/>
                    <w:rPr>
                      <w:color w:val="000000"/>
                      <w:kern w:val="0"/>
                      <w:szCs w:val="21"/>
                      <w:u w:val="single"/>
                    </w:rPr>
                  </w:pPr>
                  <w:r>
                    <w:rPr>
                      <w:color w:val="000000"/>
                      <w:kern w:val="0"/>
                      <w:szCs w:val="21"/>
                      <w:u w:val="single"/>
                    </w:rPr>
                    <w:t>清洗烘干</w:t>
                  </w:r>
                </w:p>
              </w:tc>
              <w:tc>
                <w:tcPr>
                  <w:tcW w:w="2104" w:type="dxa"/>
                  <w:noWrap/>
                  <w:vAlign w:val="center"/>
                </w:tcPr>
                <w:p w14:paraId="0D06A993">
                  <w:pPr>
                    <w:widowControl/>
                    <w:jc w:val="center"/>
                    <w:rPr>
                      <w:color w:val="000000"/>
                      <w:kern w:val="0"/>
                      <w:szCs w:val="21"/>
                      <w:u w:val="single"/>
                    </w:rPr>
                  </w:pPr>
                  <w:r>
                    <w:rPr>
                      <w:color w:val="000000"/>
                      <w:kern w:val="0"/>
                      <w:szCs w:val="21"/>
                      <w:u w:val="single"/>
                    </w:rPr>
                    <w:t>高空传送带</w:t>
                  </w:r>
                </w:p>
              </w:tc>
              <w:tc>
                <w:tcPr>
                  <w:tcW w:w="3098" w:type="dxa"/>
                  <w:vAlign w:val="center"/>
                </w:tcPr>
                <w:p w14:paraId="39C53746">
                  <w:pPr>
                    <w:widowControl/>
                    <w:jc w:val="center"/>
                    <w:rPr>
                      <w:color w:val="000000"/>
                      <w:kern w:val="0"/>
                      <w:szCs w:val="21"/>
                      <w:u w:val="single"/>
                    </w:rPr>
                  </w:pPr>
                  <w:r>
                    <w:rPr>
                      <w:color w:val="000000"/>
                      <w:kern w:val="0"/>
                      <w:szCs w:val="21"/>
                      <w:u w:val="single"/>
                    </w:rPr>
                    <w:t>20000*600PVC 皮带</w:t>
                  </w:r>
                </w:p>
              </w:tc>
              <w:tc>
                <w:tcPr>
                  <w:tcW w:w="1430" w:type="dxa"/>
                  <w:noWrap/>
                  <w:vAlign w:val="center"/>
                </w:tcPr>
                <w:p w14:paraId="7FD82E41">
                  <w:pPr>
                    <w:widowControl/>
                    <w:jc w:val="center"/>
                    <w:rPr>
                      <w:color w:val="000000"/>
                      <w:kern w:val="0"/>
                      <w:szCs w:val="21"/>
                      <w:u w:val="single"/>
                    </w:rPr>
                  </w:pPr>
                  <w:r>
                    <w:rPr>
                      <w:color w:val="000000"/>
                      <w:kern w:val="0"/>
                      <w:szCs w:val="21"/>
                      <w:u w:val="single"/>
                    </w:rPr>
                    <w:t>1</w:t>
                  </w:r>
                </w:p>
              </w:tc>
            </w:tr>
            <w:tr w14:paraId="4DA1E7B9">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2" w:type="dxa"/>
                  <w:noWrap/>
                  <w:vAlign w:val="center"/>
                </w:tcPr>
                <w:p w14:paraId="184EDC81">
                  <w:pPr>
                    <w:widowControl/>
                    <w:jc w:val="center"/>
                    <w:rPr>
                      <w:color w:val="000000"/>
                      <w:kern w:val="0"/>
                      <w:szCs w:val="21"/>
                      <w:u w:val="single"/>
                    </w:rPr>
                  </w:pPr>
                  <w:r>
                    <w:rPr>
                      <w:color w:val="000000"/>
                      <w:kern w:val="0"/>
                      <w:szCs w:val="21"/>
                      <w:u w:val="single"/>
                    </w:rPr>
                    <w:t>46</w:t>
                  </w:r>
                </w:p>
              </w:tc>
              <w:tc>
                <w:tcPr>
                  <w:tcW w:w="1243" w:type="dxa"/>
                  <w:noWrap/>
                  <w:vAlign w:val="center"/>
                </w:tcPr>
                <w:p w14:paraId="404F68C2">
                  <w:pPr>
                    <w:widowControl/>
                    <w:jc w:val="center"/>
                    <w:rPr>
                      <w:color w:val="000000"/>
                      <w:kern w:val="0"/>
                      <w:szCs w:val="21"/>
                      <w:u w:val="single"/>
                    </w:rPr>
                  </w:pPr>
                  <w:r>
                    <w:rPr>
                      <w:color w:val="000000"/>
                      <w:kern w:val="0"/>
                      <w:szCs w:val="21"/>
                      <w:u w:val="single"/>
                    </w:rPr>
                    <w:t>清洗烘干</w:t>
                  </w:r>
                </w:p>
              </w:tc>
              <w:tc>
                <w:tcPr>
                  <w:tcW w:w="2104" w:type="dxa"/>
                  <w:noWrap/>
                  <w:vAlign w:val="center"/>
                </w:tcPr>
                <w:p w14:paraId="5092E676">
                  <w:pPr>
                    <w:widowControl/>
                    <w:jc w:val="center"/>
                    <w:rPr>
                      <w:color w:val="000000"/>
                      <w:kern w:val="0"/>
                      <w:szCs w:val="21"/>
                      <w:u w:val="single"/>
                    </w:rPr>
                  </w:pPr>
                  <w:r>
                    <w:rPr>
                      <w:color w:val="000000"/>
                      <w:kern w:val="0"/>
                      <w:szCs w:val="21"/>
                      <w:u w:val="single"/>
                    </w:rPr>
                    <w:t>正反传送带</w:t>
                  </w:r>
                </w:p>
              </w:tc>
              <w:tc>
                <w:tcPr>
                  <w:tcW w:w="3098" w:type="dxa"/>
                  <w:vAlign w:val="center"/>
                </w:tcPr>
                <w:p w14:paraId="01B34DD7">
                  <w:pPr>
                    <w:widowControl/>
                    <w:jc w:val="center"/>
                    <w:rPr>
                      <w:color w:val="000000"/>
                      <w:kern w:val="0"/>
                      <w:szCs w:val="21"/>
                      <w:u w:val="single"/>
                    </w:rPr>
                  </w:pPr>
                  <w:r>
                    <w:rPr>
                      <w:color w:val="000000"/>
                      <w:kern w:val="0"/>
                      <w:szCs w:val="21"/>
                      <w:u w:val="single"/>
                    </w:rPr>
                    <w:t>40000*600 宽架子</w:t>
                  </w:r>
                </w:p>
              </w:tc>
              <w:tc>
                <w:tcPr>
                  <w:tcW w:w="1430" w:type="dxa"/>
                  <w:noWrap/>
                  <w:vAlign w:val="center"/>
                </w:tcPr>
                <w:p w14:paraId="0FDE8CE0">
                  <w:pPr>
                    <w:widowControl/>
                    <w:jc w:val="center"/>
                    <w:rPr>
                      <w:color w:val="000000"/>
                      <w:kern w:val="0"/>
                      <w:szCs w:val="21"/>
                      <w:u w:val="single"/>
                    </w:rPr>
                  </w:pPr>
                  <w:r>
                    <w:rPr>
                      <w:color w:val="000000"/>
                      <w:kern w:val="0"/>
                      <w:szCs w:val="21"/>
                      <w:u w:val="single"/>
                    </w:rPr>
                    <w:t>1</w:t>
                  </w:r>
                </w:p>
              </w:tc>
            </w:tr>
            <w:tr w14:paraId="607DA8EC">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2" w:type="dxa"/>
                  <w:noWrap/>
                  <w:vAlign w:val="center"/>
                </w:tcPr>
                <w:p w14:paraId="7ADEAE6B">
                  <w:pPr>
                    <w:widowControl/>
                    <w:jc w:val="center"/>
                    <w:rPr>
                      <w:color w:val="000000"/>
                      <w:kern w:val="0"/>
                      <w:szCs w:val="21"/>
                      <w:u w:val="single"/>
                    </w:rPr>
                  </w:pPr>
                  <w:r>
                    <w:rPr>
                      <w:color w:val="000000"/>
                      <w:kern w:val="0"/>
                      <w:szCs w:val="21"/>
                      <w:u w:val="single"/>
                    </w:rPr>
                    <w:t>47</w:t>
                  </w:r>
                </w:p>
              </w:tc>
              <w:tc>
                <w:tcPr>
                  <w:tcW w:w="1243" w:type="dxa"/>
                  <w:noWrap/>
                  <w:vAlign w:val="center"/>
                </w:tcPr>
                <w:p w14:paraId="556F1253">
                  <w:pPr>
                    <w:widowControl/>
                    <w:jc w:val="center"/>
                    <w:rPr>
                      <w:color w:val="000000"/>
                      <w:kern w:val="0"/>
                      <w:szCs w:val="21"/>
                      <w:u w:val="single"/>
                    </w:rPr>
                  </w:pPr>
                  <w:r>
                    <w:rPr>
                      <w:color w:val="000000"/>
                      <w:kern w:val="0"/>
                      <w:szCs w:val="21"/>
                      <w:u w:val="single"/>
                    </w:rPr>
                    <w:t>外包</w:t>
                  </w:r>
                </w:p>
              </w:tc>
              <w:tc>
                <w:tcPr>
                  <w:tcW w:w="2104" w:type="dxa"/>
                  <w:noWrap/>
                  <w:vAlign w:val="center"/>
                </w:tcPr>
                <w:p w14:paraId="2568ED34">
                  <w:pPr>
                    <w:widowControl/>
                    <w:jc w:val="center"/>
                    <w:rPr>
                      <w:color w:val="000000"/>
                      <w:kern w:val="0"/>
                      <w:szCs w:val="21"/>
                      <w:u w:val="single"/>
                    </w:rPr>
                  </w:pPr>
                  <w:r>
                    <w:rPr>
                      <w:color w:val="000000"/>
                      <w:kern w:val="0"/>
                      <w:szCs w:val="21"/>
                      <w:u w:val="single"/>
                    </w:rPr>
                    <w:t>金检机</w:t>
                  </w:r>
                </w:p>
              </w:tc>
              <w:tc>
                <w:tcPr>
                  <w:tcW w:w="3098" w:type="dxa"/>
                  <w:vAlign w:val="center"/>
                </w:tcPr>
                <w:p w14:paraId="41CABB1C">
                  <w:pPr>
                    <w:widowControl/>
                    <w:jc w:val="center"/>
                    <w:rPr>
                      <w:color w:val="000000"/>
                      <w:kern w:val="0"/>
                      <w:szCs w:val="21"/>
                      <w:u w:val="single"/>
                    </w:rPr>
                  </w:pPr>
                  <w:r>
                    <w:rPr>
                      <w:color w:val="000000"/>
                      <w:kern w:val="0"/>
                      <w:szCs w:val="21"/>
                      <w:u w:val="single"/>
                    </w:rPr>
                    <w:t>JR4016</w:t>
                  </w:r>
                </w:p>
              </w:tc>
              <w:tc>
                <w:tcPr>
                  <w:tcW w:w="1430" w:type="dxa"/>
                  <w:noWrap/>
                  <w:vAlign w:val="center"/>
                </w:tcPr>
                <w:p w14:paraId="7FB10DC8">
                  <w:pPr>
                    <w:widowControl/>
                    <w:jc w:val="center"/>
                    <w:rPr>
                      <w:color w:val="000000"/>
                      <w:kern w:val="0"/>
                      <w:szCs w:val="21"/>
                      <w:u w:val="single"/>
                    </w:rPr>
                  </w:pPr>
                  <w:r>
                    <w:rPr>
                      <w:color w:val="000000"/>
                      <w:kern w:val="0"/>
                      <w:szCs w:val="21"/>
                      <w:u w:val="single"/>
                    </w:rPr>
                    <w:t>1</w:t>
                  </w:r>
                </w:p>
              </w:tc>
            </w:tr>
            <w:tr w14:paraId="55376DC6">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2" w:type="dxa"/>
                  <w:noWrap/>
                  <w:vAlign w:val="center"/>
                </w:tcPr>
                <w:p w14:paraId="54DE0987">
                  <w:pPr>
                    <w:widowControl/>
                    <w:jc w:val="center"/>
                    <w:rPr>
                      <w:color w:val="000000"/>
                      <w:kern w:val="0"/>
                      <w:szCs w:val="21"/>
                      <w:u w:val="single"/>
                    </w:rPr>
                  </w:pPr>
                  <w:r>
                    <w:rPr>
                      <w:color w:val="000000"/>
                      <w:kern w:val="0"/>
                      <w:szCs w:val="21"/>
                      <w:u w:val="single"/>
                    </w:rPr>
                    <w:t>48</w:t>
                  </w:r>
                </w:p>
              </w:tc>
              <w:tc>
                <w:tcPr>
                  <w:tcW w:w="1243" w:type="dxa"/>
                  <w:noWrap/>
                  <w:vAlign w:val="center"/>
                </w:tcPr>
                <w:p w14:paraId="0FF068E4">
                  <w:pPr>
                    <w:widowControl/>
                    <w:jc w:val="center"/>
                    <w:rPr>
                      <w:color w:val="000000"/>
                      <w:kern w:val="0"/>
                      <w:szCs w:val="21"/>
                      <w:u w:val="single"/>
                    </w:rPr>
                  </w:pPr>
                  <w:r>
                    <w:rPr>
                      <w:color w:val="000000"/>
                      <w:kern w:val="0"/>
                      <w:szCs w:val="21"/>
                      <w:u w:val="single"/>
                    </w:rPr>
                    <w:t>外包</w:t>
                  </w:r>
                </w:p>
              </w:tc>
              <w:tc>
                <w:tcPr>
                  <w:tcW w:w="2104" w:type="dxa"/>
                  <w:noWrap/>
                  <w:vAlign w:val="center"/>
                </w:tcPr>
                <w:p w14:paraId="39E640D1">
                  <w:pPr>
                    <w:widowControl/>
                    <w:jc w:val="center"/>
                    <w:rPr>
                      <w:color w:val="000000"/>
                      <w:kern w:val="0"/>
                      <w:szCs w:val="21"/>
                      <w:u w:val="single"/>
                    </w:rPr>
                  </w:pPr>
                  <w:r>
                    <w:rPr>
                      <w:color w:val="000000"/>
                      <w:kern w:val="0"/>
                      <w:szCs w:val="21"/>
                      <w:u w:val="single"/>
                    </w:rPr>
                    <w:t>组合秤</w:t>
                  </w:r>
                </w:p>
              </w:tc>
              <w:tc>
                <w:tcPr>
                  <w:tcW w:w="3098" w:type="dxa"/>
                  <w:vAlign w:val="center"/>
                </w:tcPr>
                <w:p w14:paraId="72A7CCA3">
                  <w:pPr>
                    <w:widowControl/>
                    <w:jc w:val="center"/>
                    <w:rPr>
                      <w:color w:val="000000"/>
                      <w:kern w:val="0"/>
                      <w:szCs w:val="21"/>
                      <w:u w:val="single"/>
                    </w:rPr>
                  </w:pPr>
                  <w:r>
                    <w:rPr>
                      <w:color w:val="000000"/>
                      <w:kern w:val="0"/>
                      <w:szCs w:val="21"/>
                      <w:u w:val="single"/>
                    </w:rPr>
                    <w:t>自动开箱机+自动折盖封箱机+检重秤+喷码机</w:t>
                  </w:r>
                </w:p>
              </w:tc>
              <w:tc>
                <w:tcPr>
                  <w:tcW w:w="1430" w:type="dxa"/>
                  <w:noWrap/>
                  <w:vAlign w:val="center"/>
                </w:tcPr>
                <w:p w14:paraId="0108B92B">
                  <w:pPr>
                    <w:widowControl/>
                    <w:jc w:val="center"/>
                    <w:rPr>
                      <w:color w:val="000000"/>
                      <w:kern w:val="0"/>
                      <w:szCs w:val="21"/>
                      <w:u w:val="single"/>
                    </w:rPr>
                  </w:pPr>
                  <w:r>
                    <w:rPr>
                      <w:color w:val="000000"/>
                      <w:kern w:val="0"/>
                      <w:szCs w:val="21"/>
                      <w:u w:val="single"/>
                    </w:rPr>
                    <w:t>1</w:t>
                  </w:r>
                </w:p>
              </w:tc>
            </w:tr>
            <w:tr w14:paraId="3491640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2" w:type="dxa"/>
                  <w:noWrap/>
                  <w:vAlign w:val="center"/>
                </w:tcPr>
                <w:p w14:paraId="5DFED046">
                  <w:pPr>
                    <w:widowControl/>
                    <w:jc w:val="center"/>
                    <w:rPr>
                      <w:color w:val="000000"/>
                      <w:kern w:val="0"/>
                      <w:szCs w:val="21"/>
                      <w:u w:val="single"/>
                    </w:rPr>
                  </w:pPr>
                  <w:r>
                    <w:rPr>
                      <w:color w:val="000000"/>
                      <w:kern w:val="0"/>
                      <w:szCs w:val="21"/>
                      <w:u w:val="single"/>
                    </w:rPr>
                    <w:t>49</w:t>
                  </w:r>
                </w:p>
              </w:tc>
              <w:tc>
                <w:tcPr>
                  <w:tcW w:w="1243" w:type="dxa"/>
                  <w:noWrap/>
                  <w:vAlign w:val="center"/>
                </w:tcPr>
                <w:p w14:paraId="4DF5D73A">
                  <w:pPr>
                    <w:widowControl/>
                    <w:jc w:val="center"/>
                    <w:rPr>
                      <w:color w:val="000000"/>
                      <w:kern w:val="0"/>
                      <w:szCs w:val="21"/>
                      <w:u w:val="single"/>
                    </w:rPr>
                  </w:pPr>
                  <w:r>
                    <w:rPr>
                      <w:color w:val="000000"/>
                      <w:kern w:val="0"/>
                      <w:szCs w:val="21"/>
                      <w:u w:val="single"/>
                    </w:rPr>
                    <w:t>车间外</w:t>
                  </w:r>
                </w:p>
              </w:tc>
              <w:tc>
                <w:tcPr>
                  <w:tcW w:w="2104" w:type="dxa"/>
                  <w:vAlign w:val="center"/>
                </w:tcPr>
                <w:p w14:paraId="02DE9957">
                  <w:pPr>
                    <w:widowControl/>
                    <w:jc w:val="center"/>
                    <w:rPr>
                      <w:color w:val="000000"/>
                      <w:kern w:val="0"/>
                      <w:szCs w:val="21"/>
                      <w:u w:val="single"/>
                    </w:rPr>
                  </w:pPr>
                  <w:r>
                    <w:rPr>
                      <w:color w:val="000000"/>
                      <w:kern w:val="0"/>
                      <w:szCs w:val="21"/>
                      <w:u w:val="single"/>
                    </w:rPr>
                    <w:t>压缩空气机+储气罐+干燥机</w:t>
                  </w:r>
                </w:p>
              </w:tc>
              <w:tc>
                <w:tcPr>
                  <w:tcW w:w="3098" w:type="dxa"/>
                  <w:vAlign w:val="center"/>
                </w:tcPr>
                <w:p w14:paraId="24BD1CDE">
                  <w:pPr>
                    <w:widowControl/>
                    <w:jc w:val="center"/>
                    <w:rPr>
                      <w:color w:val="000000"/>
                      <w:kern w:val="0"/>
                      <w:szCs w:val="21"/>
                      <w:u w:val="single"/>
                    </w:rPr>
                  </w:pPr>
                  <w:r>
                    <w:rPr>
                      <w:color w:val="000000"/>
                      <w:kern w:val="0"/>
                      <w:szCs w:val="21"/>
                      <w:u w:val="single"/>
                    </w:rPr>
                    <w:t>ES-50/37KW+1m³/8kg+HD-50AC</w:t>
                  </w:r>
                </w:p>
              </w:tc>
              <w:tc>
                <w:tcPr>
                  <w:tcW w:w="1430" w:type="dxa"/>
                  <w:noWrap/>
                  <w:vAlign w:val="center"/>
                </w:tcPr>
                <w:p w14:paraId="77B1A02D">
                  <w:pPr>
                    <w:widowControl/>
                    <w:jc w:val="center"/>
                    <w:rPr>
                      <w:color w:val="000000"/>
                      <w:kern w:val="0"/>
                      <w:szCs w:val="21"/>
                      <w:u w:val="single"/>
                    </w:rPr>
                  </w:pPr>
                  <w:r>
                    <w:rPr>
                      <w:color w:val="000000"/>
                      <w:kern w:val="0"/>
                      <w:szCs w:val="21"/>
                      <w:u w:val="single"/>
                    </w:rPr>
                    <w:t>1</w:t>
                  </w:r>
                </w:p>
              </w:tc>
            </w:tr>
            <w:tr w14:paraId="56478209">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2" w:type="dxa"/>
                  <w:noWrap/>
                  <w:vAlign w:val="center"/>
                </w:tcPr>
                <w:p w14:paraId="333133EE">
                  <w:pPr>
                    <w:widowControl/>
                    <w:jc w:val="center"/>
                    <w:rPr>
                      <w:color w:val="000000"/>
                      <w:kern w:val="0"/>
                      <w:szCs w:val="21"/>
                      <w:u w:val="single"/>
                    </w:rPr>
                  </w:pPr>
                  <w:r>
                    <w:rPr>
                      <w:color w:val="000000"/>
                      <w:kern w:val="0"/>
                      <w:szCs w:val="21"/>
                      <w:u w:val="single"/>
                    </w:rPr>
                    <w:t>50</w:t>
                  </w:r>
                </w:p>
              </w:tc>
              <w:tc>
                <w:tcPr>
                  <w:tcW w:w="1243" w:type="dxa"/>
                  <w:noWrap/>
                  <w:vAlign w:val="center"/>
                </w:tcPr>
                <w:p w14:paraId="6D463871">
                  <w:pPr>
                    <w:widowControl/>
                    <w:jc w:val="center"/>
                    <w:rPr>
                      <w:color w:val="000000"/>
                      <w:kern w:val="0"/>
                      <w:szCs w:val="21"/>
                      <w:u w:val="single"/>
                    </w:rPr>
                  </w:pPr>
                  <w:r>
                    <w:rPr>
                      <w:color w:val="000000"/>
                      <w:kern w:val="0"/>
                      <w:szCs w:val="21"/>
                      <w:u w:val="single"/>
                    </w:rPr>
                    <w:t>调味车间</w:t>
                  </w:r>
                </w:p>
              </w:tc>
              <w:tc>
                <w:tcPr>
                  <w:tcW w:w="2104" w:type="dxa"/>
                  <w:noWrap/>
                  <w:vAlign w:val="center"/>
                </w:tcPr>
                <w:p w14:paraId="54D94336">
                  <w:pPr>
                    <w:widowControl/>
                    <w:jc w:val="center"/>
                    <w:rPr>
                      <w:color w:val="000000"/>
                      <w:kern w:val="0"/>
                      <w:szCs w:val="21"/>
                      <w:u w:val="single"/>
                    </w:rPr>
                  </w:pPr>
                  <w:r>
                    <w:rPr>
                      <w:color w:val="000000"/>
                      <w:kern w:val="0"/>
                      <w:szCs w:val="21"/>
                      <w:u w:val="single"/>
                    </w:rPr>
                    <w:t>调味料炒锅</w:t>
                  </w:r>
                </w:p>
              </w:tc>
              <w:tc>
                <w:tcPr>
                  <w:tcW w:w="3098" w:type="dxa"/>
                  <w:vAlign w:val="center"/>
                </w:tcPr>
                <w:p w14:paraId="55BB53E4">
                  <w:pPr>
                    <w:widowControl/>
                    <w:jc w:val="center"/>
                    <w:rPr>
                      <w:color w:val="000000"/>
                      <w:kern w:val="0"/>
                      <w:szCs w:val="21"/>
                      <w:u w:val="single"/>
                    </w:rPr>
                  </w:pPr>
                  <w:r>
                    <w:rPr>
                      <w:color w:val="000000"/>
                      <w:kern w:val="0"/>
                      <w:szCs w:val="21"/>
                      <w:u w:val="single"/>
                    </w:rPr>
                    <w:t>650L多爪行星炒锅</w:t>
                  </w:r>
                </w:p>
              </w:tc>
              <w:tc>
                <w:tcPr>
                  <w:tcW w:w="1430" w:type="dxa"/>
                  <w:noWrap/>
                  <w:vAlign w:val="center"/>
                </w:tcPr>
                <w:p w14:paraId="37102A8B">
                  <w:pPr>
                    <w:widowControl/>
                    <w:jc w:val="center"/>
                    <w:rPr>
                      <w:color w:val="000000"/>
                      <w:kern w:val="0"/>
                      <w:szCs w:val="21"/>
                      <w:u w:val="single"/>
                    </w:rPr>
                  </w:pPr>
                  <w:r>
                    <w:rPr>
                      <w:color w:val="000000"/>
                      <w:kern w:val="0"/>
                      <w:szCs w:val="21"/>
                      <w:u w:val="single"/>
                    </w:rPr>
                    <w:t>2</w:t>
                  </w:r>
                </w:p>
              </w:tc>
            </w:tr>
            <w:tr w14:paraId="58280EF9">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2" w:type="dxa"/>
                  <w:noWrap/>
                  <w:vAlign w:val="center"/>
                </w:tcPr>
                <w:p w14:paraId="49397309">
                  <w:pPr>
                    <w:widowControl/>
                    <w:jc w:val="center"/>
                    <w:rPr>
                      <w:color w:val="000000"/>
                      <w:kern w:val="0"/>
                      <w:szCs w:val="21"/>
                      <w:u w:val="single"/>
                    </w:rPr>
                  </w:pPr>
                  <w:r>
                    <w:rPr>
                      <w:color w:val="000000"/>
                      <w:kern w:val="0"/>
                      <w:szCs w:val="21"/>
                      <w:u w:val="single"/>
                    </w:rPr>
                    <w:t>51</w:t>
                  </w:r>
                </w:p>
              </w:tc>
              <w:tc>
                <w:tcPr>
                  <w:tcW w:w="1243" w:type="dxa"/>
                  <w:noWrap/>
                  <w:vAlign w:val="center"/>
                </w:tcPr>
                <w:p w14:paraId="1980CABC">
                  <w:pPr>
                    <w:widowControl/>
                    <w:jc w:val="center"/>
                    <w:rPr>
                      <w:color w:val="000000"/>
                      <w:kern w:val="0"/>
                      <w:szCs w:val="21"/>
                      <w:u w:val="single"/>
                    </w:rPr>
                  </w:pPr>
                  <w:r>
                    <w:rPr>
                      <w:color w:val="000000"/>
                      <w:kern w:val="0"/>
                      <w:szCs w:val="21"/>
                      <w:u w:val="single"/>
                    </w:rPr>
                    <w:t>调味车间</w:t>
                  </w:r>
                </w:p>
              </w:tc>
              <w:tc>
                <w:tcPr>
                  <w:tcW w:w="2104" w:type="dxa"/>
                  <w:noWrap/>
                  <w:vAlign w:val="center"/>
                </w:tcPr>
                <w:p w14:paraId="3E06E901">
                  <w:pPr>
                    <w:widowControl/>
                    <w:jc w:val="center"/>
                    <w:rPr>
                      <w:color w:val="000000"/>
                      <w:kern w:val="0"/>
                      <w:szCs w:val="21"/>
                      <w:u w:val="single"/>
                    </w:rPr>
                  </w:pPr>
                  <w:r>
                    <w:rPr>
                      <w:color w:val="000000"/>
                      <w:kern w:val="0"/>
                      <w:szCs w:val="21"/>
                      <w:u w:val="single"/>
                    </w:rPr>
                    <w:t>调味料灌装机</w:t>
                  </w:r>
                </w:p>
              </w:tc>
              <w:tc>
                <w:tcPr>
                  <w:tcW w:w="3098" w:type="dxa"/>
                  <w:vAlign w:val="center"/>
                </w:tcPr>
                <w:p w14:paraId="2F78E1D9">
                  <w:pPr>
                    <w:widowControl/>
                    <w:jc w:val="center"/>
                    <w:rPr>
                      <w:color w:val="000000"/>
                      <w:kern w:val="0"/>
                      <w:szCs w:val="21"/>
                      <w:u w:val="single"/>
                    </w:rPr>
                  </w:pPr>
                  <w:r>
                    <w:rPr>
                      <w:color w:val="000000"/>
                      <w:kern w:val="0"/>
                      <w:szCs w:val="21"/>
                      <w:u w:val="single"/>
                    </w:rPr>
                    <w:t>/</w:t>
                  </w:r>
                </w:p>
              </w:tc>
              <w:tc>
                <w:tcPr>
                  <w:tcW w:w="1430" w:type="dxa"/>
                  <w:noWrap/>
                  <w:vAlign w:val="center"/>
                </w:tcPr>
                <w:p w14:paraId="3938D61F">
                  <w:pPr>
                    <w:widowControl/>
                    <w:jc w:val="center"/>
                    <w:rPr>
                      <w:color w:val="000000"/>
                      <w:kern w:val="0"/>
                      <w:szCs w:val="21"/>
                      <w:highlight w:val="yellow"/>
                      <w:u w:val="single"/>
                    </w:rPr>
                  </w:pPr>
                  <w:r>
                    <w:rPr>
                      <w:color w:val="000000"/>
                      <w:kern w:val="0"/>
                      <w:szCs w:val="21"/>
                      <w:u w:val="single"/>
                    </w:rPr>
                    <w:t>1</w:t>
                  </w:r>
                </w:p>
              </w:tc>
            </w:tr>
            <w:tr w14:paraId="5CBF841E">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2" w:type="dxa"/>
                  <w:noWrap/>
                  <w:vAlign w:val="center"/>
                </w:tcPr>
                <w:p w14:paraId="2FB009B2">
                  <w:pPr>
                    <w:widowControl/>
                    <w:jc w:val="center"/>
                    <w:rPr>
                      <w:color w:val="000000"/>
                      <w:kern w:val="0"/>
                      <w:szCs w:val="21"/>
                      <w:u w:val="single"/>
                    </w:rPr>
                  </w:pPr>
                  <w:r>
                    <w:rPr>
                      <w:color w:val="000000"/>
                      <w:kern w:val="0"/>
                      <w:szCs w:val="21"/>
                      <w:u w:val="single"/>
                    </w:rPr>
                    <w:t>56</w:t>
                  </w:r>
                </w:p>
              </w:tc>
              <w:tc>
                <w:tcPr>
                  <w:tcW w:w="1243" w:type="dxa"/>
                  <w:vMerge w:val="restart"/>
                  <w:noWrap/>
                  <w:vAlign w:val="center"/>
                </w:tcPr>
                <w:p w14:paraId="25013D7A">
                  <w:pPr>
                    <w:widowControl/>
                    <w:jc w:val="center"/>
                    <w:rPr>
                      <w:color w:val="000000"/>
                      <w:kern w:val="0"/>
                      <w:szCs w:val="21"/>
                      <w:u w:val="single"/>
                    </w:rPr>
                  </w:pPr>
                  <w:r>
                    <w:rPr>
                      <w:color w:val="000000"/>
                      <w:kern w:val="0"/>
                      <w:szCs w:val="21"/>
                      <w:u w:val="single"/>
                    </w:rPr>
                    <w:t>锅炉车间</w:t>
                  </w:r>
                </w:p>
              </w:tc>
              <w:tc>
                <w:tcPr>
                  <w:tcW w:w="2104" w:type="dxa"/>
                  <w:noWrap/>
                  <w:vAlign w:val="center"/>
                </w:tcPr>
                <w:p w14:paraId="025F5BBB">
                  <w:pPr>
                    <w:widowControl/>
                    <w:jc w:val="center"/>
                    <w:rPr>
                      <w:color w:val="000000"/>
                      <w:kern w:val="0"/>
                      <w:szCs w:val="21"/>
                      <w:u w:val="single"/>
                    </w:rPr>
                  </w:pPr>
                  <w:r>
                    <w:rPr>
                      <w:color w:val="000000"/>
                      <w:kern w:val="0"/>
                      <w:szCs w:val="21"/>
                      <w:u w:val="single"/>
                    </w:rPr>
                    <w:t>生物质气化锅炉</w:t>
                  </w:r>
                </w:p>
              </w:tc>
              <w:tc>
                <w:tcPr>
                  <w:tcW w:w="3098" w:type="dxa"/>
                  <w:vAlign w:val="center"/>
                </w:tcPr>
                <w:p w14:paraId="1B22EFD7">
                  <w:pPr>
                    <w:widowControl/>
                    <w:jc w:val="center"/>
                    <w:rPr>
                      <w:color w:val="000000"/>
                      <w:kern w:val="0"/>
                      <w:szCs w:val="21"/>
                      <w:u w:val="single"/>
                    </w:rPr>
                  </w:pPr>
                  <w:r>
                    <w:rPr>
                      <w:color w:val="000000"/>
                      <w:kern w:val="0"/>
                      <w:szCs w:val="21"/>
                      <w:u w:val="single"/>
                    </w:rPr>
                    <w:t>6t/h</w:t>
                  </w:r>
                </w:p>
              </w:tc>
              <w:tc>
                <w:tcPr>
                  <w:tcW w:w="1430" w:type="dxa"/>
                  <w:noWrap/>
                  <w:vAlign w:val="center"/>
                </w:tcPr>
                <w:p w14:paraId="1883ED43">
                  <w:pPr>
                    <w:widowControl/>
                    <w:jc w:val="center"/>
                    <w:rPr>
                      <w:color w:val="000000"/>
                      <w:kern w:val="0"/>
                      <w:szCs w:val="21"/>
                      <w:u w:val="single"/>
                    </w:rPr>
                  </w:pPr>
                  <w:r>
                    <w:rPr>
                      <w:color w:val="000000"/>
                      <w:kern w:val="0"/>
                      <w:szCs w:val="21"/>
                      <w:u w:val="single"/>
                    </w:rPr>
                    <w:t>1</w:t>
                  </w:r>
                </w:p>
              </w:tc>
            </w:tr>
            <w:tr w14:paraId="378994BB">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2" w:type="dxa"/>
                  <w:noWrap/>
                  <w:vAlign w:val="center"/>
                </w:tcPr>
                <w:p w14:paraId="69928302">
                  <w:pPr>
                    <w:widowControl/>
                    <w:jc w:val="center"/>
                    <w:rPr>
                      <w:color w:val="000000"/>
                      <w:kern w:val="0"/>
                      <w:szCs w:val="21"/>
                      <w:u w:val="single"/>
                    </w:rPr>
                  </w:pPr>
                  <w:r>
                    <w:rPr>
                      <w:color w:val="000000"/>
                      <w:kern w:val="0"/>
                      <w:szCs w:val="21"/>
                      <w:u w:val="single"/>
                    </w:rPr>
                    <w:t>57</w:t>
                  </w:r>
                </w:p>
              </w:tc>
              <w:tc>
                <w:tcPr>
                  <w:tcW w:w="1243" w:type="dxa"/>
                  <w:vMerge w:val="continue"/>
                  <w:noWrap/>
                  <w:vAlign w:val="center"/>
                </w:tcPr>
                <w:p w14:paraId="6FDCD032">
                  <w:pPr>
                    <w:widowControl/>
                    <w:jc w:val="center"/>
                    <w:rPr>
                      <w:color w:val="000000"/>
                      <w:kern w:val="0"/>
                      <w:szCs w:val="21"/>
                      <w:u w:val="single"/>
                    </w:rPr>
                  </w:pPr>
                </w:p>
              </w:tc>
              <w:tc>
                <w:tcPr>
                  <w:tcW w:w="2104" w:type="dxa"/>
                  <w:noWrap/>
                  <w:vAlign w:val="center"/>
                </w:tcPr>
                <w:p w14:paraId="10E13D2B">
                  <w:pPr>
                    <w:widowControl/>
                    <w:jc w:val="center"/>
                    <w:rPr>
                      <w:color w:val="000000"/>
                      <w:kern w:val="0"/>
                      <w:szCs w:val="21"/>
                      <w:u w:val="single"/>
                    </w:rPr>
                  </w:pPr>
                  <w:r>
                    <w:rPr>
                      <w:color w:val="000000"/>
                      <w:kern w:val="0"/>
                      <w:szCs w:val="21"/>
                      <w:u w:val="single"/>
                    </w:rPr>
                    <w:t>软水制备</w:t>
                  </w:r>
                </w:p>
              </w:tc>
              <w:tc>
                <w:tcPr>
                  <w:tcW w:w="3098" w:type="dxa"/>
                  <w:vAlign w:val="center"/>
                </w:tcPr>
                <w:p w14:paraId="58CA33AF">
                  <w:pPr>
                    <w:widowControl/>
                    <w:jc w:val="center"/>
                    <w:rPr>
                      <w:color w:val="000000"/>
                      <w:kern w:val="0"/>
                      <w:szCs w:val="21"/>
                      <w:u w:val="single"/>
                    </w:rPr>
                  </w:pPr>
                  <w:r>
                    <w:rPr>
                      <w:color w:val="000000"/>
                      <w:kern w:val="0"/>
                      <w:szCs w:val="21"/>
                      <w:u w:val="single"/>
                    </w:rPr>
                    <w:t>/</w:t>
                  </w:r>
                </w:p>
              </w:tc>
              <w:tc>
                <w:tcPr>
                  <w:tcW w:w="1430" w:type="dxa"/>
                  <w:noWrap/>
                  <w:vAlign w:val="center"/>
                </w:tcPr>
                <w:p w14:paraId="60F60761">
                  <w:pPr>
                    <w:widowControl/>
                    <w:jc w:val="center"/>
                    <w:rPr>
                      <w:color w:val="000000"/>
                      <w:kern w:val="0"/>
                      <w:szCs w:val="21"/>
                      <w:u w:val="single"/>
                    </w:rPr>
                  </w:pPr>
                  <w:r>
                    <w:rPr>
                      <w:color w:val="000000"/>
                      <w:kern w:val="0"/>
                      <w:szCs w:val="21"/>
                      <w:u w:val="single"/>
                    </w:rPr>
                    <w:t>1</w:t>
                  </w:r>
                </w:p>
              </w:tc>
            </w:tr>
            <w:tr w14:paraId="6FF62FC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2" w:type="dxa"/>
                  <w:noWrap/>
                  <w:vAlign w:val="center"/>
                </w:tcPr>
                <w:p w14:paraId="7777CC15">
                  <w:pPr>
                    <w:widowControl/>
                    <w:jc w:val="center"/>
                    <w:rPr>
                      <w:color w:val="000000"/>
                      <w:kern w:val="0"/>
                      <w:szCs w:val="21"/>
                      <w:u w:val="single"/>
                    </w:rPr>
                  </w:pPr>
                  <w:r>
                    <w:rPr>
                      <w:rFonts w:hint="eastAsia"/>
                      <w:color w:val="000000"/>
                      <w:kern w:val="0"/>
                      <w:szCs w:val="21"/>
                      <w:u w:val="single"/>
                    </w:rPr>
                    <w:t>58</w:t>
                  </w:r>
                </w:p>
              </w:tc>
              <w:tc>
                <w:tcPr>
                  <w:tcW w:w="1243" w:type="dxa"/>
                  <w:vMerge w:val="restart"/>
                  <w:noWrap/>
                  <w:vAlign w:val="center"/>
                </w:tcPr>
                <w:p w14:paraId="20F53E16">
                  <w:pPr>
                    <w:widowControl/>
                    <w:jc w:val="center"/>
                    <w:rPr>
                      <w:color w:val="000000"/>
                      <w:kern w:val="0"/>
                      <w:szCs w:val="21"/>
                      <w:u w:val="single"/>
                    </w:rPr>
                  </w:pPr>
                  <w:r>
                    <w:rPr>
                      <w:rFonts w:hint="eastAsia"/>
                      <w:color w:val="000000"/>
                      <w:kern w:val="0"/>
                      <w:szCs w:val="21"/>
                      <w:u w:val="single"/>
                    </w:rPr>
                    <w:t>检验室</w:t>
                  </w:r>
                </w:p>
              </w:tc>
              <w:tc>
                <w:tcPr>
                  <w:tcW w:w="2104" w:type="dxa"/>
                  <w:noWrap/>
                  <w:vAlign w:val="center"/>
                </w:tcPr>
                <w:p w14:paraId="7666B04D">
                  <w:pPr>
                    <w:widowControl/>
                    <w:jc w:val="center"/>
                    <w:rPr>
                      <w:color w:val="000000"/>
                      <w:kern w:val="0"/>
                      <w:szCs w:val="21"/>
                      <w:u w:val="single"/>
                    </w:rPr>
                  </w:pPr>
                  <w:r>
                    <w:rPr>
                      <w:color w:val="000000"/>
                      <w:kern w:val="0"/>
                      <w:szCs w:val="21"/>
                      <w:u w:val="single"/>
                    </w:rPr>
                    <w:t>恒温干燥箱</w:t>
                  </w:r>
                </w:p>
              </w:tc>
              <w:tc>
                <w:tcPr>
                  <w:tcW w:w="3098" w:type="dxa"/>
                  <w:vAlign w:val="center"/>
                </w:tcPr>
                <w:p w14:paraId="42A0E7A2">
                  <w:pPr>
                    <w:widowControl/>
                    <w:jc w:val="center"/>
                    <w:rPr>
                      <w:color w:val="000000"/>
                      <w:kern w:val="0"/>
                      <w:szCs w:val="21"/>
                      <w:u w:val="single"/>
                    </w:rPr>
                  </w:pPr>
                  <w:r>
                    <w:rPr>
                      <w:rFonts w:hint="eastAsia"/>
                      <w:color w:val="000000"/>
                      <w:kern w:val="0"/>
                      <w:szCs w:val="21"/>
                      <w:u w:val="single"/>
                    </w:rPr>
                    <w:t>/</w:t>
                  </w:r>
                </w:p>
              </w:tc>
              <w:tc>
                <w:tcPr>
                  <w:tcW w:w="1430" w:type="dxa"/>
                  <w:noWrap/>
                  <w:vAlign w:val="center"/>
                </w:tcPr>
                <w:p w14:paraId="7D5E409C">
                  <w:pPr>
                    <w:widowControl/>
                    <w:jc w:val="center"/>
                    <w:rPr>
                      <w:color w:val="000000"/>
                      <w:kern w:val="0"/>
                      <w:szCs w:val="21"/>
                      <w:u w:val="single"/>
                    </w:rPr>
                  </w:pPr>
                  <w:r>
                    <w:rPr>
                      <w:rFonts w:hint="eastAsia"/>
                      <w:color w:val="000000"/>
                      <w:kern w:val="0"/>
                      <w:szCs w:val="21"/>
                      <w:u w:val="single"/>
                    </w:rPr>
                    <w:t>1</w:t>
                  </w:r>
                </w:p>
              </w:tc>
            </w:tr>
            <w:tr w14:paraId="77C1F92B">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2" w:type="dxa"/>
                  <w:noWrap/>
                  <w:vAlign w:val="center"/>
                </w:tcPr>
                <w:p w14:paraId="54DF55A6">
                  <w:pPr>
                    <w:widowControl/>
                    <w:jc w:val="center"/>
                    <w:rPr>
                      <w:color w:val="000000"/>
                      <w:kern w:val="0"/>
                      <w:szCs w:val="21"/>
                      <w:u w:val="single"/>
                    </w:rPr>
                  </w:pPr>
                  <w:r>
                    <w:rPr>
                      <w:rFonts w:hint="eastAsia"/>
                      <w:color w:val="000000"/>
                      <w:kern w:val="0"/>
                      <w:szCs w:val="21"/>
                      <w:u w:val="single"/>
                    </w:rPr>
                    <w:t>59</w:t>
                  </w:r>
                </w:p>
              </w:tc>
              <w:tc>
                <w:tcPr>
                  <w:tcW w:w="1243" w:type="dxa"/>
                  <w:vMerge w:val="continue"/>
                  <w:noWrap/>
                  <w:vAlign w:val="center"/>
                </w:tcPr>
                <w:p w14:paraId="1775AB5E">
                  <w:pPr>
                    <w:widowControl/>
                    <w:jc w:val="center"/>
                    <w:rPr>
                      <w:color w:val="000000"/>
                      <w:kern w:val="0"/>
                      <w:szCs w:val="21"/>
                      <w:u w:val="single"/>
                    </w:rPr>
                  </w:pPr>
                </w:p>
              </w:tc>
              <w:tc>
                <w:tcPr>
                  <w:tcW w:w="2104" w:type="dxa"/>
                  <w:noWrap/>
                  <w:vAlign w:val="center"/>
                </w:tcPr>
                <w:p w14:paraId="5A37D263">
                  <w:pPr>
                    <w:widowControl/>
                    <w:jc w:val="center"/>
                    <w:rPr>
                      <w:color w:val="000000"/>
                      <w:kern w:val="0"/>
                      <w:szCs w:val="21"/>
                      <w:u w:val="single"/>
                    </w:rPr>
                  </w:pPr>
                  <w:r>
                    <w:rPr>
                      <w:color w:val="000000"/>
                      <w:kern w:val="0"/>
                      <w:szCs w:val="21"/>
                      <w:u w:val="single"/>
                    </w:rPr>
                    <w:t>微生物培养箱</w:t>
                  </w:r>
                </w:p>
              </w:tc>
              <w:tc>
                <w:tcPr>
                  <w:tcW w:w="3098" w:type="dxa"/>
                  <w:vAlign w:val="center"/>
                </w:tcPr>
                <w:p w14:paraId="2366BD48">
                  <w:pPr>
                    <w:widowControl/>
                    <w:jc w:val="center"/>
                    <w:rPr>
                      <w:color w:val="000000"/>
                      <w:kern w:val="0"/>
                      <w:szCs w:val="21"/>
                      <w:u w:val="single"/>
                    </w:rPr>
                  </w:pPr>
                  <w:r>
                    <w:rPr>
                      <w:rFonts w:hint="eastAsia"/>
                      <w:color w:val="000000"/>
                      <w:kern w:val="0"/>
                      <w:szCs w:val="21"/>
                      <w:u w:val="single"/>
                    </w:rPr>
                    <w:t>/</w:t>
                  </w:r>
                </w:p>
              </w:tc>
              <w:tc>
                <w:tcPr>
                  <w:tcW w:w="1430" w:type="dxa"/>
                  <w:noWrap/>
                  <w:vAlign w:val="center"/>
                </w:tcPr>
                <w:p w14:paraId="239EA4F5">
                  <w:pPr>
                    <w:widowControl/>
                    <w:jc w:val="center"/>
                    <w:rPr>
                      <w:color w:val="000000"/>
                      <w:kern w:val="0"/>
                      <w:szCs w:val="21"/>
                      <w:u w:val="single"/>
                    </w:rPr>
                  </w:pPr>
                  <w:r>
                    <w:rPr>
                      <w:rFonts w:hint="eastAsia"/>
                      <w:color w:val="000000"/>
                      <w:kern w:val="0"/>
                      <w:szCs w:val="21"/>
                      <w:u w:val="single"/>
                    </w:rPr>
                    <w:t>1</w:t>
                  </w:r>
                </w:p>
              </w:tc>
            </w:tr>
            <w:tr w14:paraId="1AB69D2B">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2" w:type="dxa"/>
                  <w:noWrap/>
                  <w:vAlign w:val="center"/>
                </w:tcPr>
                <w:p w14:paraId="09DF1C54">
                  <w:pPr>
                    <w:widowControl/>
                    <w:jc w:val="center"/>
                    <w:rPr>
                      <w:color w:val="000000"/>
                      <w:kern w:val="0"/>
                      <w:szCs w:val="21"/>
                      <w:u w:val="single"/>
                    </w:rPr>
                  </w:pPr>
                  <w:r>
                    <w:rPr>
                      <w:rFonts w:hint="eastAsia"/>
                      <w:color w:val="000000"/>
                      <w:kern w:val="0"/>
                      <w:szCs w:val="21"/>
                      <w:u w:val="single"/>
                    </w:rPr>
                    <w:t>60</w:t>
                  </w:r>
                </w:p>
              </w:tc>
              <w:tc>
                <w:tcPr>
                  <w:tcW w:w="1243" w:type="dxa"/>
                  <w:vMerge w:val="continue"/>
                  <w:noWrap/>
                  <w:vAlign w:val="center"/>
                </w:tcPr>
                <w:p w14:paraId="152A226A">
                  <w:pPr>
                    <w:widowControl/>
                    <w:jc w:val="center"/>
                    <w:rPr>
                      <w:color w:val="000000"/>
                      <w:kern w:val="0"/>
                      <w:szCs w:val="21"/>
                      <w:u w:val="single"/>
                    </w:rPr>
                  </w:pPr>
                </w:p>
              </w:tc>
              <w:tc>
                <w:tcPr>
                  <w:tcW w:w="2104" w:type="dxa"/>
                  <w:noWrap/>
                  <w:vAlign w:val="center"/>
                </w:tcPr>
                <w:p w14:paraId="2CEDD3FB">
                  <w:pPr>
                    <w:widowControl/>
                    <w:jc w:val="center"/>
                    <w:rPr>
                      <w:color w:val="000000"/>
                      <w:kern w:val="0"/>
                      <w:szCs w:val="21"/>
                      <w:u w:val="single"/>
                    </w:rPr>
                  </w:pPr>
                  <w:r>
                    <w:rPr>
                      <w:rFonts w:hint="eastAsia"/>
                      <w:color w:val="000000"/>
                      <w:kern w:val="0"/>
                      <w:szCs w:val="21"/>
                      <w:u w:val="single"/>
                    </w:rPr>
                    <w:t>生物显微镜</w:t>
                  </w:r>
                </w:p>
              </w:tc>
              <w:tc>
                <w:tcPr>
                  <w:tcW w:w="3098" w:type="dxa"/>
                  <w:vAlign w:val="center"/>
                </w:tcPr>
                <w:p w14:paraId="7C96D537">
                  <w:pPr>
                    <w:widowControl/>
                    <w:jc w:val="center"/>
                    <w:rPr>
                      <w:color w:val="000000"/>
                      <w:kern w:val="0"/>
                      <w:szCs w:val="21"/>
                      <w:u w:val="single"/>
                    </w:rPr>
                  </w:pPr>
                  <w:r>
                    <w:rPr>
                      <w:rFonts w:hint="eastAsia"/>
                      <w:color w:val="000000"/>
                      <w:kern w:val="0"/>
                      <w:szCs w:val="21"/>
                      <w:u w:val="single"/>
                    </w:rPr>
                    <w:t>/</w:t>
                  </w:r>
                </w:p>
              </w:tc>
              <w:tc>
                <w:tcPr>
                  <w:tcW w:w="1430" w:type="dxa"/>
                  <w:noWrap/>
                  <w:vAlign w:val="center"/>
                </w:tcPr>
                <w:p w14:paraId="2A022509">
                  <w:pPr>
                    <w:widowControl/>
                    <w:jc w:val="center"/>
                    <w:rPr>
                      <w:color w:val="000000"/>
                      <w:kern w:val="0"/>
                      <w:szCs w:val="21"/>
                      <w:u w:val="single"/>
                    </w:rPr>
                  </w:pPr>
                  <w:r>
                    <w:rPr>
                      <w:rFonts w:hint="eastAsia"/>
                      <w:color w:val="000000"/>
                      <w:kern w:val="0"/>
                      <w:szCs w:val="21"/>
                      <w:u w:val="single"/>
                    </w:rPr>
                    <w:t>1</w:t>
                  </w:r>
                </w:p>
              </w:tc>
            </w:tr>
            <w:bookmarkEnd w:id="16"/>
          </w:tbl>
          <w:p w14:paraId="2FFFD6FC">
            <w:pPr>
              <w:adjustRightInd w:val="0"/>
              <w:snapToGrid w:val="0"/>
              <w:spacing w:line="360" w:lineRule="auto"/>
              <w:rPr>
                <w:b/>
                <w:bCs/>
                <w:sz w:val="24"/>
                <w:szCs w:val="24"/>
              </w:rPr>
            </w:pPr>
            <w:r>
              <w:rPr>
                <w:b/>
                <w:bCs/>
                <w:sz w:val="24"/>
                <w:szCs w:val="24"/>
              </w:rPr>
              <w:t>2.5 公用工程</w:t>
            </w:r>
          </w:p>
          <w:p w14:paraId="21C57FF6">
            <w:pPr>
              <w:adjustRightInd w:val="0"/>
              <w:snapToGrid w:val="0"/>
              <w:spacing w:line="360" w:lineRule="auto"/>
              <w:ind w:firstLine="480" w:firstLineChars="200"/>
              <w:rPr>
                <w:bCs/>
                <w:sz w:val="24"/>
                <w:szCs w:val="24"/>
              </w:rPr>
            </w:pPr>
            <w:r>
              <w:rPr>
                <w:bCs/>
                <w:sz w:val="24"/>
                <w:szCs w:val="24"/>
              </w:rPr>
              <w:t>（1）供电工程</w:t>
            </w:r>
          </w:p>
          <w:p w14:paraId="171AEB22">
            <w:pPr>
              <w:adjustRightInd w:val="0"/>
              <w:snapToGrid w:val="0"/>
              <w:spacing w:line="360" w:lineRule="auto"/>
              <w:ind w:firstLine="480" w:firstLineChars="200"/>
              <w:rPr>
                <w:bCs/>
                <w:sz w:val="24"/>
                <w:szCs w:val="24"/>
              </w:rPr>
            </w:pPr>
            <w:r>
              <w:rPr>
                <w:bCs/>
                <w:sz w:val="24"/>
                <w:szCs w:val="24"/>
              </w:rPr>
              <w:t>本项目供电由安化县东坪塘镇供电系统供电。</w:t>
            </w:r>
          </w:p>
          <w:p w14:paraId="54A41C33">
            <w:pPr>
              <w:adjustRightInd w:val="0"/>
              <w:snapToGrid w:val="0"/>
              <w:spacing w:line="360" w:lineRule="auto"/>
              <w:ind w:firstLine="480" w:firstLineChars="200"/>
              <w:rPr>
                <w:bCs/>
                <w:sz w:val="24"/>
                <w:szCs w:val="24"/>
              </w:rPr>
            </w:pPr>
            <w:r>
              <w:rPr>
                <w:bCs/>
                <w:sz w:val="24"/>
                <w:szCs w:val="24"/>
              </w:rPr>
              <w:t>（2）给水工程</w:t>
            </w:r>
          </w:p>
          <w:p w14:paraId="726803B9">
            <w:pPr>
              <w:adjustRightInd w:val="0"/>
              <w:snapToGrid w:val="0"/>
              <w:spacing w:line="360" w:lineRule="auto"/>
              <w:ind w:firstLine="480" w:firstLineChars="200"/>
              <w:rPr>
                <w:bCs/>
                <w:sz w:val="24"/>
                <w:szCs w:val="24"/>
              </w:rPr>
            </w:pPr>
            <w:r>
              <w:rPr>
                <w:color w:val="000000"/>
                <w:sz w:val="24"/>
                <w:szCs w:val="24"/>
              </w:rPr>
              <w:t>本项目</w:t>
            </w:r>
            <w:r>
              <w:rPr>
                <w:rFonts w:hint="eastAsia"/>
                <w:color w:val="000000"/>
                <w:sz w:val="24"/>
                <w:szCs w:val="24"/>
              </w:rPr>
              <w:t>生产生活用水来自河水</w:t>
            </w:r>
            <w:r>
              <w:rPr>
                <w:bCs/>
                <w:sz w:val="24"/>
                <w:szCs w:val="24"/>
              </w:rPr>
              <w:t>。</w:t>
            </w:r>
          </w:p>
          <w:p w14:paraId="63E843EB">
            <w:pPr>
              <w:adjustRightInd w:val="0"/>
              <w:snapToGrid w:val="0"/>
              <w:spacing w:line="360" w:lineRule="auto"/>
              <w:ind w:firstLine="480" w:firstLineChars="200"/>
              <w:rPr>
                <w:bCs/>
                <w:sz w:val="24"/>
                <w:szCs w:val="24"/>
              </w:rPr>
            </w:pPr>
            <w:r>
              <w:rPr>
                <w:bCs/>
                <w:sz w:val="24"/>
                <w:szCs w:val="24"/>
              </w:rPr>
              <w:t>（3）排水工程</w:t>
            </w:r>
          </w:p>
          <w:p w14:paraId="208653EC">
            <w:pPr>
              <w:adjustRightInd w:val="0"/>
              <w:snapToGrid w:val="0"/>
              <w:spacing w:line="360" w:lineRule="auto"/>
              <w:ind w:firstLine="480" w:firstLineChars="200"/>
              <w:rPr>
                <w:bCs/>
                <w:sz w:val="24"/>
                <w:szCs w:val="24"/>
              </w:rPr>
            </w:pPr>
            <w:r>
              <w:rPr>
                <w:bCs/>
                <w:sz w:val="24"/>
                <w:szCs w:val="24"/>
              </w:rPr>
              <w:t>排水采用雨污分流、污污分流制。生活污水经隔油池、化粪池处理后，进入市政污水管网，排入安化县污水处理厂处理达标后排入资江；</w:t>
            </w:r>
            <w:r>
              <w:rPr>
                <w:rFonts w:hint="eastAsia"/>
                <w:bCs/>
                <w:sz w:val="24"/>
                <w:szCs w:val="24"/>
              </w:rPr>
              <w:t>锅炉废水及</w:t>
            </w:r>
            <w:r>
              <w:rPr>
                <w:bCs/>
                <w:sz w:val="24"/>
                <w:szCs w:val="24"/>
              </w:rPr>
              <w:t>生产废水依托湖南华益科技发展有限公司（原名湖南华益食品有限公司）自建污</w:t>
            </w:r>
            <w:r>
              <w:rPr>
                <w:rFonts w:hint="eastAsia" w:ascii="宋体" w:hAnsi="宋体" w:cs="宋体"/>
                <w:bCs/>
                <w:sz w:val="24"/>
                <w:szCs w:val="24"/>
              </w:rPr>
              <w:t>水处理设施处理（“格栅井+调节池+加药沉淀+两级水解酸化+两级接触氧化+竖流沉淀”</w:t>
            </w:r>
            <w:r>
              <w:rPr>
                <w:bCs/>
                <w:sz w:val="24"/>
                <w:szCs w:val="24"/>
              </w:rPr>
              <w:t>）</w:t>
            </w:r>
            <w:r>
              <w:rPr>
                <w:rFonts w:hint="eastAsia"/>
                <w:bCs/>
                <w:sz w:val="24"/>
                <w:szCs w:val="24"/>
              </w:rPr>
              <w:t>，</w:t>
            </w:r>
            <w:r>
              <w:rPr>
                <w:bCs/>
                <w:sz w:val="24"/>
                <w:szCs w:val="24"/>
              </w:rPr>
              <w:t>pH、COD、BOD、SS</w:t>
            </w:r>
            <w:r>
              <w:rPr>
                <w:rFonts w:hint="eastAsia"/>
                <w:bCs/>
                <w:sz w:val="24"/>
                <w:szCs w:val="24"/>
              </w:rPr>
              <w:t>、动植物油</w:t>
            </w:r>
            <w:r>
              <w:rPr>
                <w:bCs/>
                <w:sz w:val="24"/>
                <w:szCs w:val="24"/>
              </w:rPr>
              <w:t>达到《污水综合排放标准》（GB8978-1996）表4中三级排放标准限值</w:t>
            </w:r>
            <w:r>
              <w:rPr>
                <w:rFonts w:hint="eastAsia"/>
                <w:bCs/>
                <w:sz w:val="24"/>
                <w:szCs w:val="24"/>
              </w:rPr>
              <w:t>，氨氮、总磷、总氮、</w:t>
            </w:r>
            <w:r>
              <w:rPr>
                <w:bCs/>
                <w:sz w:val="24"/>
                <w:szCs w:val="24"/>
              </w:rPr>
              <w:t>氯化物</w:t>
            </w:r>
            <w:r>
              <w:rPr>
                <w:rFonts w:hint="eastAsia"/>
                <w:bCs/>
                <w:sz w:val="24"/>
                <w:szCs w:val="24"/>
              </w:rPr>
              <w:t>达到</w:t>
            </w:r>
            <w:r>
              <w:rPr>
                <w:bCs/>
                <w:sz w:val="24"/>
                <w:szCs w:val="24"/>
              </w:rPr>
              <w:t>《污水排入城镇下水道水质标准》(GBT31962-2015)表1中B级标准限值</w:t>
            </w:r>
            <w:r>
              <w:rPr>
                <w:rFonts w:hint="eastAsia"/>
                <w:bCs/>
                <w:sz w:val="24"/>
                <w:szCs w:val="24"/>
              </w:rPr>
              <w:t>；</w:t>
            </w:r>
            <w:r>
              <w:rPr>
                <w:bCs/>
                <w:sz w:val="24"/>
                <w:szCs w:val="24"/>
              </w:rPr>
              <w:t>排入市政污水管网，由安化县污水处理厂深度处理后，尾水排入资江。</w:t>
            </w:r>
          </w:p>
          <w:p w14:paraId="55F1E133">
            <w:pPr>
              <w:adjustRightInd w:val="0"/>
              <w:snapToGrid w:val="0"/>
              <w:spacing w:line="360" w:lineRule="auto"/>
              <w:ind w:firstLine="480" w:firstLineChars="200"/>
              <w:rPr>
                <w:bCs/>
                <w:sz w:val="24"/>
                <w:szCs w:val="24"/>
              </w:rPr>
            </w:pPr>
            <w:r>
              <w:rPr>
                <w:bCs/>
                <w:sz w:val="24"/>
                <w:szCs w:val="24"/>
              </w:rPr>
              <w:t>（4）供热工程</w:t>
            </w:r>
          </w:p>
          <w:p w14:paraId="1C27E47A">
            <w:pPr>
              <w:adjustRightInd w:val="0"/>
              <w:snapToGrid w:val="0"/>
              <w:spacing w:line="360" w:lineRule="auto"/>
              <w:ind w:firstLine="480" w:firstLineChars="200"/>
              <w:rPr>
                <w:bCs/>
                <w:color w:val="000000"/>
                <w:sz w:val="24"/>
                <w:szCs w:val="24"/>
              </w:rPr>
            </w:pPr>
            <w:r>
              <w:rPr>
                <w:bCs/>
                <w:color w:val="000000"/>
                <w:sz w:val="24"/>
                <w:szCs w:val="24"/>
              </w:rPr>
              <w:t>项目拟设置1台生物质气化锅炉（6t/h）提供蒸汽，均为主用锅炉，不设置备用锅炉。6t/h生物质气化锅炉设计工作时间为2400h/a（8h/d，300d/a）。</w:t>
            </w:r>
          </w:p>
          <w:p w14:paraId="261F9BA4">
            <w:pPr>
              <w:spacing w:line="360" w:lineRule="auto"/>
              <w:jc w:val="center"/>
              <w:rPr>
                <w:b/>
                <w:bCs/>
                <w:color w:val="000000"/>
                <w:kern w:val="0"/>
                <w:sz w:val="24"/>
                <w:szCs w:val="24"/>
                <w:u w:val="single"/>
              </w:rPr>
            </w:pPr>
            <w:r>
              <w:rPr>
                <w:b/>
                <w:bCs/>
                <w:color w:val="000000"/>
                <w:kern w:val="0"/>
                <w:sz w:val="24"/>
                <w:szCs w:val="24"/>
                <w:u w:val="single"/>
              </w:rPr>
              <w:t>表2-</w:t>
            </w:r>
            <w:r>
              <w:rPr>
                <w:rFonts w:hint="eastAsia"/>
                <w:b/>
                <w:bCs/>
                <w:color w:val="000000"/>
                <w:kern w:val="0"/>
                <w:sz w:val="24"/>
                <w:szCs w:val="24"/>
                <w:u w:val="single"/>
              </w:rPr>
              <w:t>8</w:t>
            </w:r>
            <w:r>
              <w:rPr>
                <w:b/>
                <w:bCs/>
                <w:color w:val="000000"/>
                <w:kern w:val="0"/>
                <w:sz w:val="24"/>
                <w:szCs w:val="24"/>
                <w:u w:val="single"/>
              </w:rPr>
              <w:t xml:space="preserve">  生物质气化锅炉主要参数一览表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530"/>
              <w:gridCol w:w="2252"/>
              <w:gridCol w:w="2836"/>
              <w:gridCol w:w="1843"/>
            </w:tblGrid>
            <w:tr w14:paraId="13AC9D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904" w:type="pct"/>
                  <w:vAlign w:val="center"/>
                </w:tcPr>
                <w:p w14:paraId="6D2343A5">
                  <w:pPr>
                    <w:jc w:val="center"/>
                    <w:rPr>
                      <w:b/>
                      <w:bCs/>
                      <w:szCs w:val="21"/>
                      <w:u w:val="single"/>
                    </w:rPr>
                  </w:pPr>
                  <w:r>
                    <w:rPr>
                      <w:b/>
                      <w:bCs/>
                      <w:szCs w:val="21"/>
                      <w:u w:val="single"/>
                    </w:rPr>
                    <w:t>炉内介质容量</w:t>
                  </w:r>
                </w:p>
              </w:tc>
              <w:tc>
                <w:tcPr>
                  <w:tcW w:w="1331" w:type="pct"/>
                  <w:vAlign w:val="center"/>
                </w:tcPr>
                <w:p w14:paraId="45248EE9">
                  <w:pPr>
                    <w:jc w:val="center"/>
                    <w:rPr>
                      <w:szCs w:val="21"/>
                      <w:u w:val="single"/>
                    </w:rPr>
                  </w:pPr>
                  <w:r>
                    <w:rPr>
                      <w:szCs w:val="21"/>
                      <w:u w:val="single"/>
                    </w:rPr>
                    <w:t>30m</w:t>
                  </w:r>
                  <w:r>
                    <w:rPr>
                      <w:szCs w:val="21"/>
                      <w:u w:val="single"/>
                      <w:vertAlign w:val="superscript"/>
                    </w:rPr>
                    <w:t>3</w:t>
                  </w:r>
                </w:p>
              </w:tc>
              <w:tc>
                <w:tcPr>
                  <w:tcW w:w="1676" w:type="pct"/>
                  <w:vAlign w:val="center"/>
                </w:tcPr>
                <w:p w14:paraId="77C75C77">
                  <w:pPr>
                    <w:jc w:val="center"/>
                    <w:rPr>
                      <w:b/>
                      <w:bCs/>
                      <w:szCs w:val="21"/>
                      <w:u w:val="single"/>
                    </w:rPr>
                  </w:pPr>
                  <w:r>
                    <w:rPr>
                      <w:b/>
                      <w:bCs/>
                      <w:szCs w:val="21"/>
                      <w:u w:val="single"/>
                    </w:rPr>
                    <w:t>产气输出功率</w:t>
                  </w:r>
                </w:p>
              </w:tc>
              <w:tc>
                <w:tcPr>
                  <w:tcW w:w="1089" w:type="pct"/>
                  <w:vAlign w:val="center"/>
                </w:tcPr>
                <w:p w14:paraId="2C454037">
                  <w:pPr>
                    <w:jc w:val="center"/>
                    <w:rPr>
                      <w:szCs w:val="21"/>
                      <w:u w:val="single"/>
                    </w:rPr>
                  </w:pPr>
                  <w:r>
                    <w:rPr>
                      <w:szCs w:val="21"/>
                      <w:u w:val="single"/>
                    </w:rPr>
                    <w:t>480×10</w:t>
                  </w:r>
                  <w:r>
                    <w:rPr>
                      <w:szCs w:val="21"/>
                      <w:u w:val="single"/>
                      <w:vertAlign w:val="superscript"/>
                    </w:rPr>
                    <w:t>4</w:t>
                  </w:r>
                  <w:r>
                    <w:rPr>
                      <w:szCs w:val="21"/>
                      <w:u w:val="single"/>
                    </w:rPr>
                    <w:t>kcal/h</w:t>
                  </w:r>
                </w:p>
              </w:tc>
            </w:tr>
            <w:tr w14:paraId="31D3E3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904" w:type="pct"/>
                  <w:vAlign w:val="center"/>
                </w:tcPr>
                <w:p w14:paraId="789CECB2">
                  <w:pPr>
                    <w:jc w:val="center"/>
                    <w:rPr>
                      <w:b/>
                      <w:bCs/>
                      <w:szCs w:val="21"/>
                      <w:highlight w:val="yellow"/>
                      <w:u w:val="single"/>
                    </w:rPr>
                  </w:pPr>
                  <w:r>
                    <w:rPr>
                      <w:b/>
                      <w:bCs/>
                      <w:szCs w:val="21"/>
                      <w:u w:val="single"/>
                    </w:rPr>
                    <w:t>热效率</w:t>
                  </w:r>
                </w:p>
              </w:tc>
              <w:tc>
                <w:tcPr>
                  <w:tcW w:w="1331" w:type="pct"/>
                  <w:vAlign w:val="center"/>
                </w:tcPr>
                <w:p w14:paraId="09D8CBCC">
                  <w:pPr>
                    <w:jc w:val="center"/>
                    <w:rPr>
                      <w:szCs w:val="21"/>
                      <w:highlight w:val="yellow"/>
                      <w:u w:val="single"/>
                    </w:rPr>
                  </w:pPr>
                  <w:r>
                    <w:rPr>
                      <w:szCs w:val="21"/>
                      <w:u w:val="single"/>
                    </w:rPr>
                    <w:t>≥8</w:t>
                  </w:r>
                  <w:r>
                    <w:rPr>
                      <w:rFonts w:hint="eastAsia"/>
                      <w:szCs w:val="21"/>
                      <w:u w:val="single"/>
                    </w:rPr>
                    <w:t>3.6</w:t>
                  </w:r>
                  <w:r>
                    <w:rPr>
                      <w:szCs w:val="21"/>
                      <w:u w:val="single"/>
                    </w:rPr>
                    <w:t>%</w:t>
                  </w:r>
                </w:p>
              </w:tc>
              <w:tc>
                <w:tcPr>
                  <w:tcW w:w="1676" w:type="pct"/>
                  <w:vAlign w:val="center"/>
                </w:tcPr>
                <w:p w14:paraId="1D85D07C">
                  <w:pPr>
                    <w:jc w:val="center"/>
                    <w:rPr>
                      <w:b/>
                      <w:bCs/>
                      <w:szCs w:val="21"/>
                      <w:highlight w:val="yellow"/>
                      <w:u w:val="single"/>
                    </w:rPr>
                  </w:pPr>
                  <w:r>
                    <w:rPr>
                      <w:b/>
                      <w:bCs/>
                      <w:szCs w:val="21"/>
                      <w:u w:val="single"/>
                    </w:rPr>
                    <w:t>燃料耗量</w:t>
                  </w:r>
                </w:p>
              </w:tc>
              <w:tc>
                <w:tcPr>
                  <w:tcW w:w="1089" w:type="pct"/>
                  <w:vAlign w:val="center"/>
                </w:tcPr>
                <w:p w14:paraId="0C83DD96">
                  <w:pPr>
                    <w:jc w:val="center"/>
                    <w:rPr>
                      <w:szCs w:val="21"/>
                      <w:highlight w:val="yellow"/>
                      <w:u w:val="single"/>
                    </w:rPr>
                  </w:pPr>
                  <w:r>
                    <w:rPr>
                      <w:szCs w:val="21"/>
                      <w:u w:val="single"/>
                    </w:rPr>
                    <w:t>约1500kg/h</w:t>
                  </w:r>
                </w:p>
              </w:tc>
            </w:tr>
            <w:tr w14:paraId="64964D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904" w:type="pct"/>
                  <w:vAlign w:val="center"/>
                </w:tcPr>
                <w:p w14:paraId="31626CDB">
                  <w:pPr>
                    <w:jc w:val="center"/>
                    <w:rPr>
                      <w:b/>
                      <w:bCs/>
                      <w:szCs w:val="21"/>
                      <w:u w:val="single"/>
                    </w:rPr>
                  </w:pPr>
                  <w:r>
                    <w:rPr>
                      <w:b/>
                      <w:bCs/>
                      <w:szCs w:val="21"/>
                      <w:u w:val="single"/>
                    </w:rPr>
                    <w:t>燃料种类</w:t>
                  </w:r>
                </w:p>
              </w:tc>
              <w:tc>
                <w:tcPr>
                  <w:tcW w:w="1331" w:type="pct"/>
                  <w:vAlign w:val="center"/>
                </w:tcPr>
                <w:p w14:paraId="76A12077">
                  <w:pPr>
                    <w:jc w:val="center"/>
                    <w:rPr>
                      <w:szCs w:val="21"/>
                      <w:u w:val="single"/>
                    </w:rPr>
                  </w:pPr>
                  <w:r>
                    <w:rPr>
                      <w:szCs w:val="21"/>
                      <w:u w:val="single"/>
                    </w:rPr>
                    <w:t>生物质气</w:t>
                  </w:r>
                </w:p>
              </w:tc>
              <w:tc>
                <w:tcPr>
                  <w:tcW w:w="1676" w:type="pct"/>
                  <w:vAlign w:val="center"/>
                </w:tcPr>
                <w:p w14:paraId="7D471BA7">
                  <w:pPr>
                    <w:jc w:val="center"/>
                    <w:rPr>
                      <w:b/>
                      <w:bCs/>
                      <w:szCs w:val="21"/>
                      <w:u w:val="single"/>
                    </w:rPr>
                  </w:pPr>
                  <w:r>
                    <w:rPr>
                      <w:b/>
                      <w:bCs/>
                      <w:szCs w:val="21"/>
                      <w:u w:val="single"/>
                    </w:rPr>
                    <w:t>气化效率</w:t>
                  </w:r>
                </w:p>
              </w:tc>
              <w:tc>
                <w:tcPr>
                  <w:tcW w:w="1089" w:type="pct"/>
                  <w:vAlign w:val="center"/>
                </w:tcPr>
                <w:p w14:paraId="63566D3F">
                  <w:pPr>
                    <w:jc w:val="center"/>
                    <w:rPr>
                      <w:szCs w:val="21"/>
                      <w:u w:val="single"/>
                    </w:rPr>
                  </w:pPr>
                  <w:r>
                    <w:rPr>
                      <w:szCs w:val="21"/>
                      <w:u w:val="single"/>
                    </w:rPr>
                    <w:t>≥72%</w:t>
                  </w:r>
                </w:p>
              </w:tc>
            </w:tr>
            <w:tr w14:paraId="34F5B8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904" w:type="pct"/>
                  <w:vAlign w:val="center"/>
                </w:tcPr>
                <w:p w14:paraId="1C8B5272">
                  <w:pPr>
                    <w:jc w:val="center"/>
                    <w:rPr>
                      <w:b/>
                      <w:bCs/>
                      <w:szCs w:val="21"/>
                      <w:u w:val="single"/>
                    </w:rPr>
                  </w:pPr>
                  <w:r>
                    <w:rPr>
                      <w:b/>
                      <w:bCs/>
                      <w:szCs w:val="21"/>
                      <w:u w:val="single"/>
                    </w:rPr>
                    <w:t>气化剂</w:t>
                  </w:r>
                </w:p>
              </w:tc>
              <w:tc>
                <w:tcPr>
                  <w:tcW w:w="1331" w:type="pct"/>
                  <w:vAlign w:val="center"/>
                </w:tcPr>
                <w:p w14:paraId="304440AF">
                  <w:pPr>
                    <w:jc w:val="center"/>
                    <w:rPr>
                      <w:szCs w:val="21"/>
                      <w:u w:val="single"/>
                    </w:rPr>
                  </w:pPr>
                  <w:r>
                    <w:rPr>
                      <w:szCs w:val="21"/>
                      <w:u w:val="single"/>
                    </w:rPr>
                    <w:t>空气</w:t>
                  </w:r>
                </w:p>
              </w:tc>
              <w:tc>
                <w:tcPr>
                  <w:tcW w:w="1676" w:type="pct"/>
                  <w:vAlign w:val="center"/>
                </w:tcPr>
                <w:p w14:paraId="7347C1F1">
                  <w:pPr>
                    <w:jc w:val="center"/>
                    <w:rPr>
                      <w:b/>
                      <w:bCs/>
                      <w:szCs w:val="21"/>
                      <w:u w:val="single"/>
                    </w:rPr>
                  </w:pPr>
                  <w:r>
                    <w:rPr>
                      <w:b/>
                      <w:bCs/>
                      <w:szCs w:val="21"/>
                      <w:u w:val="single"/>
                    </w:rPr>
                    <w:t>气化炉额定产气量</w:t>
                  </w:r>
                </w:p>
              </w:tc>
              <w:tc>
                <w:tcPr>
                  <w:tcW w:w="1089" w:type="pct"/>
                  <w:vAlign w:val="center"/>
                </w:tcPr>
                <w:p w14:paraId="211C6198">
                  <w:pPr>
                    <w:jc w:val="center"/>
                    <w:rPr>
                      <w:szCs w:val="21"/>
                      <w:u w:val="single"/>
                    </w:rPr>
                  </w:pPr>
                  <w:r>
                    <w:rPr>
                      <w:szCs w:val="21"/>
                      <w:u w:val="single"/>
                    </w:rPr>
                    <w:t>3000m</w:t>
                  </w:r>
                  <w:r>
                    <w:rPr>
                      <w:szCs w:val="21"/>
                      <w:u w:val="single"/>
                      <w:vertAlign w:val="superscript"/>
                    </w:rPr>
                    <w:t>3</w:t>
                  </w:r>
                  <w:r>
                    <w:rPr>
                      <w:szCs w:val="21"/>
                      <w:u w:val="single"/>
                    </w:rPr>
                    <w:t>/h</w:t>
                  </w:r>
                </w:p>
              </w:tc>
            </w:tr>
            <w:tr w14:paraId="3C532A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904" w:type="pct"/>
                  <w:vAlign w:val="center"/>
                </w:tcPr>
                <w:p w14:paraId="4BCCCD27">
                  <w:pPr>
                    <w:jc w:val="center"/>
                    <w:rPr>
                      <w:b/>
                      <w:bCs/>
                      <w:szCs w:val="21"/>
                      <w:u w:val="single"/>
                    </w:rPr>
                  </w:pPr>
                  <w:r>
                    <w:rPr>
                      <w:b/>
                      <w:bCs/>
                      <w:szCs w:val="21"/>
                      <w:u w:val="single"/>
                    </w:rPr>
                    <w:t>气化强度</w:t>
                  </w:r>
                </w:p>
              </w:tc>
              <w:tc>
                <w:tcPr>
                  <w:tcW w:w="1331" w:type="pct"/>
                  <w:vAlign w:val="center"/>
                </w:tcPr>
                <w:p w14:paraId="2BFF401C">
                  <w:pPr>
                    <w:jc w:val="center"/>
                    <w:rPr>
                      <w:szCs w:val="21"/>
                      <w:u w:val="single"/>
                    </w:rPr>
                  </w:pPr>
                  <w:r>
                    <w:rPr>
                      <w:szCs w:val="21"/>
                      <w:u w:val="single"/>
                    </w:rPr>
                    <w:t>312kg/（m</w:t>
                  </w:r>
                  <w:r>
                    <w:rPr>
                      <w:szCs w:val="21"/>
                      <w:u w:val="single"/>
                      <w:vertAlign w:val="superscript"/>
                    </w:rPr>
                    <w:t>2</w:t>
                  </w:r>
                  <w:r>
                    <w:rPr>
                      <w:szCs w:val="21"/>
                      <w:u w:val="single"/>
                    </w:rPr>
                    <w:t>·h）</w:t>
                  </w:r>
                </w:p>
              </w:tc>
              <w:tc>
                <w:tcPr>
                  <w:tcW w:w="1676" w:type="pct"/>
                  <w:vAlign w:val="center"/>
                </w:tcPr>
                <w:p w14:paraId="03907C07">
                  <w:pPr>
                    <w:jc w:val="center"/>
                    <w:rPr>
                      <w:b/>
                      <w:bCs/>
                      <w:szCs w:val="21"/>
                      <w:highlight w:val="yellow"/>
                      <w:u w:val="single"/>
                    </w:rPr>
                  </w:pPr>
                  <w:r>
                    <w:rPr>
                      <w:b/>
                      <w:bCs/>
                      <w:szCs w:val="21"/>
                      <w:u w:val="single"/>
                    </w:rPr>
                    <w:t>蒸发量</w:t>
                  </w:r>
                </w:p>
              </w:tc>
              <w:tc>
                <w:tcPr>
                  <w:tcW w:w="1089" w:type="pct"/>
                  <w:vAlign w:val="center"/>
                </w:tcPr>
                <w:p w14:paraId="40258235">
                  <w:pPr>
                    <w:jc w:val="center"/>
                    <w:rPr>
                      <w:szCs w:val="21"/>
                      <w:u w:val="single"/>
                    </w:rPr>
                  </w:pPr>
                  <w:r>
                    <w:rPr>
                      <w:szCs w:val="21"/>
                      <w:u w:val="single"/>
                    </w:rPr>
                    <w:t>6t/h</w:t>
                  </w:r>
                </w:p>
              </w:tc>
            </w:tr>
            <w:tr w14:paraId="1B1D9A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904" w:type="pct"/>
                  <w:vAlign w:val="center"/>
                </w:tcPr>
                <w:p w14:paraId="79A4C00E">
                  <w:pPr>
                    <w:jc w:val="center"/>
                    <w:rPr>
                      <w:b/>
                      <w:bCs/>
                      <w:szCs w:val="21"/>
                      <w:u w:val="single"/>
                    </w:rPr>
                  </w:pPr>
                  <w:r>
                    <w:rPr>
                      <w:rFonts w:hint="eastAsia"/>
                      <w:b/>
                      <w:bCs/>
                      <w:szCs w:val="21"/>
                      <w:u w:val="single"/>
                    </w:rPr>
                    <w:t>设计压力</w:t>
                  </w:r>
                </w:p>
              </w:tc>
              <w:tc>
                <w:tcPr>
                  <w:tcW w:w="1331" w:type="pct"/>
                  <w:vAlign w:val="center"/>
                </w:tcPr>
                <w:p w14:paraId="1CDA4326">
                  <w:pPr>
                    <w:jc w:val="center"/>
                    <w:rPr>
                      <w:szCs w:val="21"/>
                      <w:u w:val="single"/>
                    </w:rPr>
                  </w:pPr>
                  <w:r>
                    <w:rPr>
                      <w:rFonts w:hint="eastAsia"/>
                      <w:szCs w:val="21"/>
                      <w:u w:val="single"/>
                    </w:rPr>
                    <w:t>1.5MPa</w:t>
                  </w:r>
                </w:p>
              </w:tc>
              <w:tc>
                <w:tcPr>
                  <w:tcW w:w="1676" w:type="pct"/>
                  <w:vAlign w:val="center"/>
                </w:tcPr>
                <w:p w14:paraId="3F557AC9">
                  <w:pPr>
                    <w:jc w:val="center"/>
                    <w:rPr>
                      <w:b/>
                      <w:bCs/>
                      <w:szCs w:val="21"/>
                      <w:u w:val="single"/>
                    </w:rPr>
                  </w:pPr>
                  <w:r>
                    <w:rPr>
                      <w:rFonts w:hint="eastAsia"/>
                      <w:b/>
                      <w:bCs/>
                      <w:szCs w:val="21"/>
                      <w:u w:val="single"/>
                    </w:rPr>
                    <w:t>设计温度</w:t>
                  </w:r>
                </w:p>
              </w:tc>
              <w:tc>
                <w:tcPr>
                  <w:tcW w:w="1089" w:type="pct"/>
                  <w:vAlign w:val="center"/>
                </w:tcPr>
                <w:p w14:paraId="1A0E5AB3">
                  <w:pPr>
                    <w:jc w:val="center"/>
                    <w:rPr>
                      <w:szCs w:val="21"/>
                      <w:u w:val="single"/>
                    </w:rPr>
                  </w:pPr>
                  <w:r>
                    <w:rPr>
                      <w:rFonts w:hint="eastAsia"/>
                      <w:szCs w:val="21"/>
                      <w:u w:val="single"/>
                    </w:rPr>
                    <w:t>201.4℃</w:t>
                  </w:r>
                </w:p>
              </w:tc>
            </w:tr>
          </w:tbl>
          <w:p w14:paraId="17177A19">
            <w:pPr>
              <w:spacing w:line="360" w:lineRule="auto"/>
              <w:ind w:firstLine="482" w:firstLineChars="200"/>
              <w:rPr>
                <w:b/>
                <w:color w:val="000000"/>
                <w:sz w:val="24"/>
                <w:szCs w:val="24"/>
                <w:u w:val="single"/>
              </w:rPr>
            </w:pPr>
            <w:r>
              <w:rPr>
                <w:rFonts w:hint="eastAsia" w:cs="宋体"/>
                <w:b/>
                <w:color w:val="000000"/>
                <w:sz w:val="24"/>
                <w:szCs w:val="24"/>
                <w:u w:val="single"/>
                <w:lang w:bidi="ar"/>
              </w:rPr>
              <w:t>生物质原料来源及入场要求：</w:t>
            </w:r>
            <w:r>
              <w:rPr>
                <w:rFonts w:hint="eastAsia" w:cs="宋体"/>
                <w:bCs/>
                <w:color w:val="000000"/>
                <w:sz w:val="24"/>
                <w:szCs w:val="24"/>
                <w:u w:val="single"/>
                <w:lang w:bidi="ar"/>
              </w:rPr>
              <w:t>项目散型生物质主要来源于天然生物质资源和利用废弃物。生物质原材料可以从自然界中收集，例如植物、树木、农作物等。还可以从农林业废弃物中获取，例如农业生产中的剩余物质、木材废料等。禁止使用属于或含有危险废物、油漆、油墨和危险化学品附着的生物质入场。</w:t>
            </w:r>
          </w:p>
          <w:p w14:paraId="1492E32D">
            <w:pPr>
              <w:autoSpaceDN w:val="0"/>
              <w:spacing w:line="360" w:lineRule="auto"/>
              <w:ind w:firstLine="480" w:firstLineChars="200"/>
              <w:rPr>
                <w:bCs/>
                <w:sz w:val="24"/>
                <w:szCs w:val="24"/>
                <w:u w:val="single"/>
              </w:rPr>
            </w:pPr>
            <w:r>
              <w:rPr>
                <w:rFonts w:hint="eastAsia" w:cs="宋体"/>
                <w:bCs/>
                <w:sz w:val="24"/>
                <w:szCs w:val="24"/>
                <w:u w:val="single"/>
                <w:lang w:bidi="ar"/>
              </w:rPr>
              <w:t>项目生物质气成分清单详见下表：</w:t>
            </w:r>
          </w:p>
          <w:p w14:paraId="65FF3B7D">
            <w:pPr>
              <w:autoSpaceDN w:val="0"/>
              <w:spacing w:line="360" w:lineRule="auto"/>
              <w:ind w:firstLine="482"/>
              <w:jc w:val="center"/>
              <w:rPr>
                <w:b/>
                <w:bCs/>
                <w:color w:val="000000"/>
                <w:u w:val="single"/>
              </w:rPr>
            </w:pPr>
            <w:r>
              <w:rPr>
                <w:rFonts w:hint="eastAsia" w:cs="宋体"/>
                <w:b/>
                <w:color w:val="000000"/>
                <w:sz w:val="24"/>
                <w:szCs w:val="24"/>
                <w:u w:val="single"/>
                <w:lang w:bidi="ar"/>
              </w:rPr>
              <w:t>表</w:t>
            </w:r>
            <w:r>
              <w:rPr>
                <w:b/>
                <w:color w:val="000000"/>
                <w:sz w:val="24"/>
                <w:szCs w:val="24"/>
                <w:u w:val="single"/>
                <w:lang w:bidi="ar"/>
              </w:rPr>
              <w:t>2-</w:t>
            </w:r>
            <w:r>
              <w:rPr>
                <w:rFonts w:hint="eastAsia"/>
                <w:b/>
                <w:color w:val="000000"/>
                <w:sz w:val="24"/>
                <w:szCs w:val="24"/>
                <w:u w:val="single"/>
                <w:lang w:bidi="ar"/>
              </w:rPr>
              <w:t>9</w:t>
            </w:r>
            <w:r>
              <w:rPr>
                <w:b/>
                <w:color w:val="000000"/>
                <w:sz w:val="24"/>
                <w:szCs w:val="24"/>
                <w:u w:val="single"/>
                <w:lang w:bidi="ar"/>
              </w:rPr>
              <w:t xml:space="preserve">  </w:t>
            </w:r>
            <w:r>
              <w:rPr>
                <w:rFonts w:hint="eastAsia" w:cs="宋体"/>
                <w:b/>
                <w:color w:val="000000"/>
                <w:sz w:val="24"/>
                <w:szCs w:val="24"/>
                <w:u w:val="single"/>
                <w:lang w:bidi="ar"/>
              </w:rPr>
              <w:t>项目</w:t>
            </w:r>
            <w:r>
              <w:rPr>
                <w:rFonts w:hint="eastAsia" w:cs="宋体"/>
                <w:b/>
                <w:bCs/>
                <w:color w:val="000000"/>
                <w:sz w:val="24"/>
                <w:szCs w:val="24"/>
                <w:u w:val="single"/>
                <w:lang w:bidi="ar"/>
              </w:rPr>
              <w:t>生物质气成份一览表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73"/>
              <w:gridCol w:w="587"/>
              <w:gridCol w:w="498"/>
              <w:gridCol w:w="665"/>
              <w:gridCol w:w="498"/>
              <w:gridCol w:w="542"/>
              <w:gridCol w:w="665"/>
              <w:gridCol w:w="743"/>
              <w:gridCol w:w="743"/>
              <w:gridCol w:w="743"/>
              <w:gridCol w:w="743"/>
              <w:gridCol w:w="861"/>
            </w:tblGrid>
            <w:tr w14:paraId="1F28EA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3" w:type="pct"/>
                  <w:tcBorders>
                    <w:bottom w:val="single" w:color="auto" w:sz="4" w:space="0"/>
                    <w:right w:val="single" w:color="auto" w:sz="4" w:space="0"/>
                  </w:tcBorders>
                  <w:shd w:val="clear" w:color="auto" w:fill="auto"/>
                  <w:vAlign w:val="center"/>
                </w:tcPr>
                <w:p w14:paraId="58D33087">
                  <w:pPr>
                    <w:jc w:val="center"/>
                    <w:rPr>
                      <w:b/>
                      <w:bCs/>
                      <w:color w:val="000000"/>
                      <w:szCs w:val="21"/>
                      <w:u w:val="single"/>
                    </w:rPr>
                  </w:pPr>
                  <w:r>
                    <w:rPr>
                      <w:rFonts w:hint="eastAsia" w:cs="宋体"/>
                      <w:b/>
                      <w:bCs/>
                      <w:color w:val="000000"/>
                      <w:szCs w:val="21"/>
                      <w:u w:val="single"/>
                      <w:lang w:bidi="ar"/>
                    </w:rPr>
                    <w:t>检测项目</w:t>
                  </w:r>
                </w:p>
              </w:tc>
              <w:tc>
                <w:tcPr>
                  <w:tcW w:w="347" w:type="pct"/>
                  <w:tcBorders>
                    <w:left w:val="single" w:color="auto" w:sz="4" w:space="0"/>
                    <w:bottom w:val="single" w:color="auto" w:sz="4" w:space="0"/>
                    <w:right w:val="single" w:color="auto" w:sz="4" w:space="0"/>
                  </w:tcBorders>
                  <w:shd w:val="clear" w:color="auto" w:fill="auto"/>
                  <w:vAlign w:val="center"/>
                </w:tcPr>
                <w:p w14:paraId="1042379C">
                  <w:pPr>
                    <w:jc w:val="center"/>
                    <w:rPr>
                      <w:b/>
                      <w:bCs/>
                      <w:color w:val="000000"/>
                      <w:szCs w:val="21"/>
                      <w:u w:val="single"/>
                    </w:rPr>
                  </w:pPr>
                  <w:r>
                    <w:rPr>
                      <w:b/>
                      <w:bCs/>
                      <w:color w:val="000000"/>
                      <w:szCs w:val="21"/>
                      <w:u w:val="single"/>
                      <w:lang w:bidi="ar"/>
                    </w:rPr>
                    <w:t>CO</w:t>
                  </w:r>
                </w:p>
              </w:tc>
              <w:tc>
                <w:tcPr>
                  <w:tcW w:w="294" w:type="pct"/>
                  <w:tcBorders>
                    <w:left w:val="single" w:color="auto" w:sz="4" w:space="0"/>
                    <w:bottom w:val="single" w:color="auto" w:sz="4" w:space="0"/>
                    <w:right w:val="single" w:color="auto" w:sz="4" w:space="0"/>
                  </w:tcBorders>
                  <w:shd w:val="clear" w:color="auto" w:fill="auto"/>
                  <w:vAlign w:val="center"/>
                </w:tcPr>
                <w:p w14:paraId="7453BE04">
                  <w:pPr>
                    <w:jc w:val="center"/>
                    <w:rPr>
                      <w:b/>
                      <w:bCs/>
                      <w:color w:val="000000"/>
                      <w:szCs w:val="21"/>
                      <w:u w:val="single"/>
                    </w:rPr>
                  </w:pPr>
                  <w:r>
                    <w:rPr>
                      <w:b/>
                      <w:bCs/>
                      <w:color w:val="000000"/>
                      <w:szCs w:val="21"/>
                      <w:u w:val="single"/>
                      <w:lang w:bidi="ar"/>
                    </w:rPr>
                    <w:t>H</w:t>
                  </w:r>
                  <w:r>
                    <w:rPr>
                      <w:b/>
                      <w:bCs/>
                      <w:color w:val="000000"/>
                      <w:szCs w:val="21"/>
                      <w:u w:val="single"/>
                      <w:vertAlign w:val="subscript"/>
                      <w:lang w:bidi="ar"/>
                    </w:rPr>
                    <w:t>2</w:t>
                  </w:r>
                </w:p>
              </w:tc>
              <w:tc>
                <w:tcPr>
                  <w:tcW w:w="393" w:type="pct"/>
                  <w:tcBorders>
                    <w:left w:val="single" w:color="auto" w:sz="4" w:space="0"/>
                    <w:bottom w:val="single" w:color="auto" w:sz="4" w:space="0"/>
                    <w:right w:val="single" w:color="auto" w:sz="4" w:space="0"/>
                  </w:tcBorders>
                  <w:shd w:val="clear" w:color="auto" w:fill="auto"/>
                  <w:vAlign w:val="center"/>
                </w:tcPr>
                <w:p w14:paraId="35288305">
                  <w:pPr>
                    <w:jc w:val="center"/>
                    <w:rPr>
                      <w:b/>
                      <w:bCs/>
                      <w:color w:val="000000"/>
                      <w:szCs w:val="21"/>
                      <w:u w:val="single"/>
                    </w:rPr>
                  </w:pPr>
                  <w:r>
                    <w:rPr>
                      <w:b/>
                      <w:bCs/>
                      <w:color w:val="000000"/>
                      <w:szCs w:val="21"/>
                      <w:u w:val="single"/>
                      <w:lang w:bidi="ar"/>
                    </w:rPr>
                    <w:t>CO</w:t>
                  </w:r>
                  <w:r>
                    <w:rPr>
                      <w:b/>
                      <w:bCs/>
                      <w:color w:val="000000"/>
                      <w:szCs w:val="21"/>
                      <w:u w:val="single"/>
                      <w:vertAlign w:val="subscript"/>
                      <w:lang w:bidi="ar"/>
                    </w:rPr>
                    <w:t>2</w:t>
                  </w:r>
                </w:p>
              </w:tc>
              <w:tc>
                <w:tcPr>
                  <w:tcW w:w="294" w:type="pct"/>
                  <w:tcBorders>
                    <w:left w:val="single" w:color="auto" w:sz="4" w:space="0"/>
                    <w:bottom w:val="single" w:color="auto" w:sz="4" w:space="0"/>
                    <w:right w:val="single" w:color="auto" w:sz="4" w:space="0"/>
                  </w:tcBorders>
                  <w:shd w:val="clear" w:color="auto" w:fill="auto"/>
                  <w:vAlign w:val="center"/>
                </w:tcPr>
                <w:p w14:paraId="5C17A688">
                  <w:pPr>
                    <w:jc w:val="center"/>
                    <w:rPr>
                      <w:b/>
                      <w:bCs/>
                      <w:color w:val="000000"/>
                      <w:szCs w:val="21"/>
                      <w:u w:val="single"/>
                    </w:rPr>
                  </w:pPr>
                  <w:r>
                    <w:rPr>
                      <w:b/>
                      <w:bCs/>
                      <w:color w:val="000000"/>
                      <w:szCs w:val="21"/>
                      <w:u w:val="single"/>
                      <w:lang w:bidi="ar"/>
                    </w:rPr>
                    <w:t>O</w:t>
                  </w:r>
                  <w:r>
                    <w:rPr>
                      <w:b/>
                      <w:bCs/>
                      <w:color w:val="000000"/>
                      <w:szCs w:val="21"/>
                      <w:u w:val="single"/>
                      <w:vertAlign w:val="subscript"/>
                      <w:lang w:bidi="ar"/>
                    </w:rPr>
                    <w:t>2</w:t>
                  </w:r>
                </w:p>
              </w:tc>
              <w:tc>
                <w:tcPr>
                  <w:tcW w:w="320" w:type="pct"/>
                  <w:tcBorders>
                    <w:left w:val="single" w:color="auto" w:sz="4" w:space="0"/>
                    <w:bottom w:val="single" w:color="auto" w:sz="4" w:space="0"/>
                    <w:right w:val="single" w:color="auto" w:sz="4" w:space="0"/>
                  </w:tcBorders>
                  <w:shd w:val="clear" w:color="auto" w:fill="auto"/>
                  <w:vAlign w:val="center"/>
                </w:tcPr>
                <w:p w14:paraId="3B292F07">
                  <w:pPr>
                    <w:jc w:val="center"/>
                    <w:rPr>
                      <w:b/>
                      <w:bCs/>
                      <w:color w:val="000000"/>
                      <w:szCs w:val="21"/>
                      <w:u w:val="single"/>
                    </w:rPr>
                  </w:pPr>
                  <w:r>
                    <w:rPr>
                      <w:b/>
                      <w:bCs/>
                      <w:color w:val="000000"/>
                      <w:szCs w:val="21"/>
                      <w:u w:val="single"/>
                      <w:lang w:bidi="ar"/>
                    </w:rPr>
                    <w:t xml:space="preserve">N </w:t>
                  </w:r>
                  <w:r>
                    <w:rPr>
                      <w:b/>
                      <w:bCs/>
                      <w:color w:val="000000"/>
                      <w:szCs w:val="21"/>
                      <w:u w:val="single"/>
                      <w:vertAlign w:val="subscript"/>
                      <w:lang w:bidi="ar"/>
                    </w:rPr>
                    <w:t>2</w:t>
                  </w:r>
                </w:p>
              </w:tc>
              <w:tc>
                <w:tcPr>
                  <w:tcW w:w="393" w:type="pct"/>
                  <w:tcBorders>
                    <w:left w:val="single" w:color="auto" w:sz="4" w:space="0"/>
                    <w:bottom w:val="single" w:color="auto" w:sz="4" w:space="0"/>
                    <w:right w:val="single" w:color="auto" w:sz="4" w:space="0"/>
                  </w:tcBorders>
                  <w:shd w:val="clear" w:color="auto" w:fill="auto"/>
                  <w:vAlign w:val="center"/>
                </w:tcPr>
                <w:p w14:paraId="3EDAEB86">
                  <w:pPr>
                    <w:jc w:val="center"/>
                    <w:rPr>
                      <w:b/>
                      <w:bCs/>
                      <w:color w:val="000000"/>
                      <w:szCs w:val="21"/>
                      <w:u w:val="single"/>
                    </w:rPr>
                  </w:pPr>
                  <w:r>
                    <w:rPr>
                      <w:b/>
                      <w:bCs/>
                      <w:color w:val="000000"/>
                      <w:szCs w:val="21"/>
                      <w:u w:val="single"/>
                      <w:lang w:bidi="ar"/>
                    </w:rPr>
                    <w:t>CH</w:t>
                  </w:r>
                  <w:r>
                    <w:rPr>
                      <w:b/>
                      <w:bCs/>
                      <w:color w:val="000000"/>
                      <w:szCs w:val="21"/>
                      <w:u w:val="single"/>
                      <w:vertAlign w:val="subscript"/>
                      <w:lang w:bidi="ar"/>
                    </w:rPr>
                    <w:t>4</w:t>
                  </w:r>
                </w:p>
              </w:tc>
              <w:tc>
                <w:tcPr>
                  <w:tcW w:w="438" w:type="pct"/>
                  <w:tcBorders>
                    <w:left w:val="single" w:color="auto" w:sz="4" w:space="0"/>
                    <w:bottom w:val="single" w:color="auto" w:sz="4" w:space="0"/>
                    <w:right w:val="single" w:color="auto" w:sz="4" w:space="0"/>
                  </w:tcBorders>
                  <w:shd w:val="clear" w:color="auto" w:fill="auto"/>
                  <w:vAlign w:val="center"/>
                </w:tcPr>
                <w:p w14:paraId="33F6553E">
                  <w:pPr>
                    <w:jc w:val="center"/>
                    <w:rPr>
                      <w:b/>
                      <w:bCs/>
                      <w:color w:val="000000"/>
                      <w:szCs w:val="21"/>
                      <w:u w:val="single"/>
                    </w:rPr>
                  </w:pPr>
                  <w:r>
                    <w:rPr>
                      <w:b/>
                      <w:bCs/>
                      <w:color w:val="000000"/>
                      <w:szCs w:val="21"/>
                      <w:u w:val="single"/>
                      <w:lang w:bidi="ar"/>
                    </w:rPr>
                    <w:t>C</w:t>
                  </w:r>
                  <w:r>
                    <w:rPr>
                      <w:b/>
                      <w:bCs/>
                      <w:color w:val="000000"/>
                      <w:szCs w:val="21"/>
                      <w:u w:val="single"/>
                      <w:vertAlign w:val="subscript"/>
                      <w:lang w:bidi="ar"/>
                    </w:rPr>
                    <w:t>2</w:t>
                  </w:r>
                  <w:r>
                    <w:rPr>
                      <w:b/>
                      <w:bCs/>
                      <w:color w:val="000000"/>
                      <w:szCs w:val="21"/>
                      <w:u w:val="single"/>
                      <w:lang w:bidi="ar"/>
                    </w:rPr>
                    <w:t>H</w:t>
                  </w:r>
                  <w:r>
                    <w:rPr>
                      <w:b/>
                      <w:bCs/>
                      <w:color w:val="000000"/>
                      <w:szCs w:val="21"/>
                      <w:u w:val="single"/>
                      <w:vertAlign w:val="subscript"/>
                      <w:lang w:bidi="ar"/>
                    </w:rPr>
                    <w:t>6</w:t>
                  </w:r>
                </w:p>
              </w:tc>
              <w:tc>
                <w:tcPr>
                  <w:tcW w:w="438" w:type="pct"/>
                  <w:tcBorders>
                    <w:left w:val="single" w:color="auto" w:sz="4" w:space="0"/>
                    <w:bottom w:val="single" w:color="auto" w:sz="4" w:space="0"/>
                    <w:right w:val="single" w:color="auto" w:sz="4" w:space="0"/>
                  </w:tcBorders>
                  <w:shd w:val="clear" w:color="auto" w:fill="auto"/>
                  <w:vAlign w:val="center"/>
                </w:tcPr>
                <w:p w14:paraId="3DA842DF">
                  <w:pPr>
                    <w:jc w:val="center"/>
                    <w:rPr>
                      <w:b/>
                      <w:bCs/>
                      <w:color w:val="000000"/>
                      <w:szCs w:val="21"/>
                      <w:u w:val="single"/>
                    </w:rPr>
                  </w:pPr>
                  <w:r>
                    <w:rPr>
                      <w:b/>
                      <w:bCs/>
                      <w:color w:val="000000"/>
                      <w:szCs w:val="21"/>
                      <w:u w:val="single"/>
                      <w:lang w:bidi="ar"/>
                    </w:rPr>
                    <w:t>C</w:t>
                  </w:r>
                  <w:r>
                    <w:rPr>
                      <w:b/>
                      <w:bCs/>
                      <w:color w:val="000000"/>
                      <w:szCs w:val="21"/>
                      <w:u w:val="single"/>
                      <w:vertAlign w:val="subscript"/>
                      <w:lang w:bidi="ar"/>
                    </w:rPr>
                    <w:t>2</w:t>
                  </w:r>
                  <w:r>
                    <w:rPr>
                      <w:b/>
                      <w:bCs/>
                      <w:color w:val="000000"/>
                      <w:szCs w:val="21"/>
                      <w:u w:val="single"/>
                      <w:lang w:bidi="ar"/>
                    </w:rPr>
                    <w:t>H</w:t>
                  </w:r>
                  <w:r>
                    <w:rPr>
                      <w:b/>
                      <w:bCs/>
                      <w:color w:val="000000"/>
                      <w:szCs w:val="21"/>
                      <w:u w:val="single"/>
                      <w:vertAlign w:val="subscript"/>
                      <w:lang w:bidi="ar"/>
                    </w:rPr>
                    <w:t>4</w:t>
                  </w:r>
                </w:p>
              </w:tc>
              <w:tc>
                <w:tcPr>
                  <w:tcW w:w="438" w:type="pct"/>
                  <w:tcBorders>
                    <w:left w:val="single" w:color="auto" w:sz="4" w:space="0"/>
                    <w:bottom w:val="single" w:color="auto" w:sz="4" w:space="0"/>
                    <w:right w:val="single" w:color="auto" w:sz="4" w:space="0"/>
                  </w:tcBorders>
                  <w:shd w:val="clear" w:color="auto" w:fill="auto"/>
                  <w:vAlign w:val="center"/>
                </w:tcPr>
                <w:p w14:paraId="3E587324">
                  <w:pPr>
                    <w:jc w:val="center"/>
                    <w:rPr>
                      <w:b/>
                      <w:bCs/>
                      <w:color w:val="000000"/>
                      <w:szCs w:val="21"/>
                      <w:u w:val="single"/>
                    </w:rPr>
                  </w:pPr>
                  <w:r>
                    <w:rPr>
                      <w:b/>
                      <w:bCs/>
                      <w:color w:val="000000"/>
                      <w:szCs w:val="21"/>
                      <w:u w:val="single"/>
                      <w:lang w:bidi="ar"/>
                    </w:rPr>
                    <w:t>C</w:t>
                  </w:r>
                  <w:r>
                    <w:rPr>
                      <w:b/>
                      <w:bCs/>
                      <w:color w:val="000000"/>
                      <w:szCs w:val="21"/>
                      <w:u w:val="single"/>
                      <w:vertAlign w:val="subscript"/>
                      <w:lang w:bidi="ar"/>
                    </w:rPr>
                    <w:t>3</w:t>
                  </w:r>
                  <w:r>
                    <w:rPr>
                      <w:b/>
                      <w:bCs/>
                      <w:color w:val="000000"/>
                      <w:szCs w:val="21"/>
                      <w:u w:val="single"/>
                      <w:lang w:bidi="ar"/>
                    </w:rPr>
                    <w:t>H</w:t>
                  </w:r>
                  <w:r>
                    <w:rPr>
                      <w:b/>
                      <w:bCs/>
                      <w:color w:val="000000"/>
                      <w:szCs w:val="21"/>
                      <w:u w:val="single"/>
                      <w:vertAlign w:val="subscript"/>
                      <w:lang w:bidi="ar"/>
                    </w:rPr>
                    <w:t>8</w:t>
                  </w:r>
                </w:p>
              </w:tc>
              <w:tc>
                <w:tcPr>
                  <w:tcW w:w="438" w:type="pct"/>
                  <w:tcBorders>
                    <w:left w:val="single" w:color="auto" w:sz="4" w:space="0"/>
                    <w:bottom w:val="single" w:color="auto" w:sz="4" w:space="0"/>
                    <w:right w:val="single" w:color="auto" w:sz="4" w:space="0"/>
                  </w:tcBorders>
                  <w:shd w:val="clear" w:color="auto" w:fill="auto"/>
                  <w:vAlign w:val="center"/>
                </w:tcPr>
                <w:p w14:paraId="0FC96767">
                  <w:pPr>
                    <w:jc w:val="center"/>
                    <w:rPr>
                      <w:b/>
                      <w:bCs/>
                      <w:color w:val="000000"/>
                      <w:szCs w:val="21"/>
                      <w:u w:val="single"/>
                    </w:rPr>
                  </w:pPr>
                  <w:r>
                    <w:rPr>
                      <w:b/>
                      <w:bCs/>
                      <w:color w:val="000000"/>
                      <w:szCs w:val="21"/>
                      <w:u w:val="single"/>
                      <w:lang w:bidi="ar"/>
                    </w:rPr>
                    <w:t>C</w:t>
                  </w:r>
                  <w:r>
                    <w:rPr>
                      <w:b/>
                      <w:bCs/>
                      <w:color w:val="000000"/>
                      <w:szCs w:val="21"/>
                      <w:u w:val="single"/>
                      <w:vertAlign w:val="subscript"/>
                      <w:lang w:bidi="ar"/>
                    </w:rPr>
                    <w:t>3</w:t>
                  </w:r>
                  <w:r>
                    <w:rPr>
                      <w:b/>
                      <w:bCs/>
                      <w:color w:val="000000"/>
                      <w:szCs w:val="21"/>
                      <w:u w:val="single"/>
                      <w:lang w:bidi="ar"/>
                    </w:rPr>
                    <w:t>H</w:t>
                  </w:r>
                  <w:r>
                    <w:rPr>
                      <w:b/>
                      <w:bCs/>
                      <w:color w:val="000000"/>
                      <w:szCs w:val="21"/>
                      <w:u w:val="single"/>
                      <w:vertAlign w:val="subscript"/>
                      <w:lang w:bidi="ar"/>
                    </w:rPr>
                    <w:t>6</w:t>
                  </w:r>
                </w:p>
              </w:tc>
              <w:tc>
                <w:tcPr>
                  <w:tcW w:w="508" w:type="pct"/>
                  <w:tcBorders>
                    <w:left w:val="single" w:color="auto" w:sz="4" w:space="0"/>
                    <w:bottom w:val="single" w:color="auto" w:sz="4" w:space="0"/>
                  </w:tcBorders>
                  <w:shd w:val="clear" w:color="auto" w:fill="auto"/>
                  <w:vAlign w:val="center"/>
                </w:tcPr>
                <w:p w14:paraId="0721C746">
                  <w:pPr>
                    <w:jc w:val="center"/>
                    <w:rPr>
                      <w:b/>
                      <w:bCs/>
                      <w:color w:val="000000"/>
                      <w:szCs w:val="21"/>
                      <w:u w:val="single"/>
                    </w:rPr>
                  </w:pPr>
                  <w:r>
                    <w:rPr>
                      <w:b/>
                      <w:bCs/>
                      <w:color w:val="000000"/>
                      <w:szCs w:val="21"/>
                      <w:u w:val="single"/>
                      <w:lang w:bidi="ar"/>
                    </w:rPr>
                    <w:t>H</w:t>
                  </w:r>
                  <w:r>
                    <w:rPr>
                      <w:b/>
                      <w:bCs/>
                      <w:color w:val="000000"/>
                      <w:szCs w:val="21"/>
                      <w:u w:val="single"/>
                      <w:vertAlign w:val="subscript"/>
                      <w:lang w:bidi="ar"/>
                    </w:rPr>
                    <w:t>2</w:t>
                  </w:r>
                  <w:r>
                    <w:rPr>
                      <w:b/>
                      <w:bCs/>
                      <w:color w:val="000000"/>
                      <w:szCs w:val="21"/>
                      <w:u w:val="single"/>
                      <w:lang w:bidi="ar"/>
                    </w:rPr>
                    <w:t>S</w:t>
                  </w:r>
                </w:p>
              </w:tc>
            </w:tr>
            <w:tr w14:paraId="29411A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3" w:type="pct"/>
                  <w:tcBorders>
                    <w:top w:val="single" w:color="auto" w:sz="4" w:space="0"/>
                    <w:bottom w:val="single" w:color="auto" w:sz="4" w:space="0"/>
                    <w:right w:val="single" w:color="auto" w:sz="4" w:space="0"/>
                  </w:tcBorders>
                  <w:shd w:val="clear" w:color="auto" w:fill="auto"/>
                  <w:vAlign w:val="center"/>
                </w:tcPr>
                <w:p w14:paraId="7C4AC9FE">
                  <w:pPr>
                    <w:jc w:val="center"/>
                    <w:rPr>
                      <w:b/>
                      <w:bCs/>
                      <w:color w:val="000000"/>
                      <w:szCs w:val="21"/>
                      <w:u w:val="single"/>
                    </w:rPr>
                  </w:pPr>
                  <w:r>
                    <w:rPr>
                      <w:rFonts w:hint="eastAsia" w:cs="宋体"/>
                      <w:b/>
                      <w:bCs/>
                      <w:color w:val="000000"/>
                      <w:szCs w:val="21"/>
                      <w:u w:val="single"/>
                      <w:lang w:bidi="ar"/>
                    </w:rPr>
                    <w:t>单位</w:t>
                  </w:r>
                </w:p>
              </w:tc>
              <w:tc>
                <w:tcPr>
                  <w:tcW w:w="347" w:type="pct"/>
                  <w:tcBorders>
                    <w:top w:val="single" w:color="auto" w:sz="4" w:space="0"/>
                    <w:left w:val="single" w:color="auto" w:sz="4" w:space="0"/>
                    <w:bottom w:val="single" w:color="auto" w:sz="4" w:space="0"/>
                    <w:right w:val="single" w:color="auto" w:sz="4" w:space="0"/>
                  </w:tcBorders>
                  <w:shd w:val="clear" w:color="auto" w:fill="auto"/>
                  <w:vAlign w:val="center"/>
                </w:tcPr>
                <w:p w14:paraId="7C8995E2">
                  <w:pPr>
                    <w:jc w:val="center"/>
                    <w:rPr>
                      <w:color w:val="000000"/>
                      <w:szCs w:val="21"/>
                      <w:u w:val="single"/>
                    </w:rPr>
                  </w:pPr>
                  <w:r>
                    <w:rPr>
                      <w:color w:val="000000"/>
                      <w:szCs w:val="21"/>
                      <w:u w:val="single"/>
                      <w:lang w:bidi="ar"/>
                    </w:rPr>
                    <w:t>%</w:t>
                  </w:r>
                </w:p>
              </w:tc>
              <w:tc>
                <w:tcPr>
                  <w:tcW w:w="294" w:type="pct"/>
                  <w:tcBorders>
                    <w:top w:val="single" w:color="auto" w:sz="4" w:space="0"/>
                    <w:left w:val="single" w:color="auto" w:sz="4" w:space="0"/>
                    <w:bottom w:val="single" w:color="auto" w:sz="4" w:space="0"/>
                    <w:right w:val="single" w:color="auto" w:sz="4" w:space="0"/>
                  </w:tcBorders>
                  <w:shd w:val="clear" w:color="auto" w:fill="auto"/>
                  <w:vAlign w:val="center"/>
                </w:tcPr>
                <w:p w14:paraId="602F8244">
                  <w:pPr>
                    <w:jc w:val="center"/>
                    <w:rPr>
                      <w:color w:val="000000"/>
                      <w:szCs w:val="21"/>
                      <w:u w:val="single"/>
                    </w:rPr>
                  </w:pPr>
                  <w:r>
                    <w:rPr>
                      <w:color w:val="000000"/>
                      <w:szCs w:val="21"/>
                      <w:u w:val="single"/>
                      <w:lang w:bidi="ar"/>
                    </w:rPr>
                    <w:t>%</w:t>
                  </w:r>
                </w:p>
              </w:tc>
              <w:tc>
                <w:tcPr>
                  <w:tcW w:w="393" w:type="pct"/>
                  <w:tcBorders>
                    <w:top w:val="single" w:color="auto" w:sz="4" w:space="0"/>
                    <w:left w:val="single" w:color="auto" w:sz="4" w:space="0"/>
                    <w:bottom w:val="single" w:color="auto" w:sz="4" w:space="0"/>
                    <w:right w:val="single" w:color="auto" w:sz="4" w:space="0"/>
                  </w:tcBorders>
                  <w:shd w:val="clear" w:color="auto" w:fill="auto"/>
                  <w:vAlign w:val="center"/>
                </w:tcPr>
                <w:p w14:paraId="26634581">
                  <w:pPr>
                    <w:jc w:val="center"/>
                    <w:rPr>
                      <w:color w:val="000000"/>
                      <w:szCs w:val="21"/>
                      <w:u w:val="single"/>
                    </w:rPr>
                  </w:pPr>
                  <w:r>
                    <w:rPr>
                      <w:color w:val="000000"/>
                      <w:szCs w:val="21"/>
                      <w:u w:val="single"/>
                      <w:lang w:bidi="ar"/>
                    </w:rPr>
                    <w:t>%</w:t>
                  </w:r>
                </w:p>
              </w:tc>
              <w:tc>
                <w:tcPr>
                  <w:tcW w:w="294" w:type="pct"/>
                  <w:tcBorders>
                    <w:top w:val="single" w:color="auto" w:sz="4" w:space="0"/>
                    <w:left w:val="single" w:color="auto" w:sz="4" w:space="0"/>
                    <w:bottom w:val="single" w:color="auto" w:sz="4" w:space="0"/>
                    <w:right w:val="single" w:color="auto" w:sz="4" w:space="0"/>
                  </w:tcBorders>
                  <w:shd w:val="clear" w:color="auto" w:fill="auto"/>
                  <w:vAlign w:val="center"/>
                </w:tcPr>
                <w:p w14:paraId="2602BD1E">
                  <w:pPr>
                    <w:jc w:val="center"/>
                    <w:rPr>
                      <w:color w:val="000000"/>
                      <w:szCs w:val="21"/>
                      <w:u w:val="single"/>
                    </w:rPr>
                  </w:pPr>
                  <w:r>
                    <w:rPr>
                      <w:color w:val="000000"/>
                      <w:szCs w:val="21"/>
                      <w:u w:val="single"/>
                      <w:lang w:bidi="ar"/>
                    </w:rPr>
                    <w:t>%</w:t>
                  </w:r>
                </w:p>
              </w:tc>
              <w:tc>
                <w:tcPr>
                  <w:tcW w:w="320" w:type="pct"/>
                  <w:tcBorders>
                    <w:top w:val="single" w:color="auto" w:sz="4" w:space="0"/>
                    <w:left w:val="single" w:color="auto" w:sz="4" w:space="0"/>
                    <w:bottom w:val="single" w:color="auto" w:sz="4" w:space="0"/>
                    <w:right w:val="single" w:color="auto" w:sz="4" w:space="0"/>
                  </w:tcBorders>
                  <w:shd w:val="clear" w:color="auto" w:fill="auto"/>
                  <w:vAlign w:val="center"/>
                </w:tcPr>
                <w:p w14:paraId="2E840CDA">
                  <w:pPr>
                    <w:jc w:val="center"/>
                    <w:rPr>
                      <w:color w:val="000000"/>
                      <w:szCs w:val="21"/>
                      <w:u w:val="single"/>
                    </w:rPr>
                  </w:pPr>
                  <w:r>
                    <w:rPr>
                      <w:color w:val="000000"/>
                      <w:szCs w:val="21"/>
                      <w:u w:val="single"/>
                      <w:lang w:bidi="ar"/>
                    </w:rPr>
                    <w:t>%</w:t>
                  </w:r>
                </w:p>
              </w:tc>
              <w:tc>
                <w:tcPr>
                  <w:tcW w:w="393" w:type="pct"/>
                  <w:tcBorders>
                    <w:top w:val="single" w:color="auto" w:sz="4" w:space="0"/>
                    <w:left w:val="single" w:color="auto" w:sz="4" w:space="0"/>
                    <w:bottom w:val="single" w:color="auto" w:sz="4" w:space="0"/>
                    <w:right w:val="single" w:color="auto" w:sz="4" w:space="0"/>
                  </w:tcBorders>
                  <w:shd w:val="clear" w:color="auto" w:fill="auto"/>
                  <w:vAlign w:val="center"/>
                </w:tcPr>
                <w:p w14:paraId="15D20D36">
                  <w:pPr>
                    <w:jc w:val="center"/>
                    <w:rPr>
                      <w:color w:val="000000"/>
                      <w:szCs w:val="21"/>
                      <w:u w:val="single"/>
                    </w:rPr>
                  </w:pPr>
                  <w:r>
                    <w:rPr>
                      <w:color w:val="000000"/>
                      <w:szCs w:val="21"/>
                      <w:u w:val="single"/>
                      <w:lang w:bidi="ar"/>
                    </w:rPr>
                    <w:t>%</w:t>
                  </w:r>
                </w:p>
              </w:tc>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14:paraId="4912F72D">
                  <w:pPr>
                    <w:jc w:val="center"/>
                    <w:rPr>
                      <w:color w:val="000000"/>
                      <w:szCs w:val="21"/>
                      <w:u w:val="single"/>
                    </w:rPr>
                  </w:pPr>
                  <w:r>
                    <w:rPr>
                      <w:color w:val="000000"/>
                      <w:szCs w:val="21"/>
                      <w:u w:val="single"/>
                      <w:lang w:bidi="ar"/>
                    </w:rPr>
                    <w:t>%</w:t>
                  </w:r>
                </w:p>
              </w:tc>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14:paraId="4E5CDF57">
                  <w:pPr>
                    <w:jc w:val="center"/>
                    <w:rPr>
                      <w:color w:val="000000"/>
                      <w:szCs w:val="21"/>
                      <w:u w:val="single"/>
                    </w:rPr>
                  </w:pPr>
                  <w:r>
                    <w:rPr>
                      <w:color w:val="000000"/>
                      <w:szCs w:val="21"/>
                      <w:u w:val="single"/>
                      <w:lang w:bidi="ar"/>
                    </w:rPr>
                    <w:t>%</w:t>
                  </w:r>
                </w:p>
              </w:tc>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14:paraId="07A8A650">
                  <w:pPr>
                    <w:jc w:val="center"/>
                    <w:rPr>
                      <w:color w:val="000000"/>
                      <w:szCs w:val="21"/>
                      <w:u w:val="single"/>
                    </w:rPr>
                  </w:pPr>
                  <w:r>
                    <w:rPr>
                      <w:color w:val="000000"/>
                      <w:szCs w:val="21"/>
                      <w:u w:val="single"/>
                      <w:lang w:bidi="ar"/>
                    </w:rPr>
                    <w:t>%</w:t>
                  </w:r>
                </w:p>
              </w:tc>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14:paraId="4ACCA839">
                  <w:pPr>
                    <w:jc w:val="center"/>
                    <w:rPr>
                      <w:color w:val="000000"/>
                      <w:szCs w:val="21"/>
                      <w:u w:val="single"/>
                    </w:rPr>
                  </w:pPr>
                  <w:r>
                    <w:rPr>
                      <w:color w:val="000000"/>
                      <w:szCs w:val="21"/>
                      <w:u w:val="single"/>
                      <w:lang w:bidi="ar"/>
                    </w:rPr>
                    <w:t>%</w:t>
                  </w:r>
                </w:p>
              </w:tc>
              <w:tc>
                <w:tcPr>
                  <w:tcW w:w="508" w:type="pct"/>
                  <w:tcBorders>
                    <w:top w:val="single" w:color="auto" w:sz="4" w:space="0"/>
                    <w:left w:val="single" w:color="auto" w:sz="4" w:space="0"/>
                    <w:bottom w:val="single" w:color="auto" w:sz="4" w:space="0"/>
                  </w:tcBorders>
                  <w:shd w:val="clear" w:color="auto" w:fill="auto"/>
                  <w:vAlign w:val="center"/>
                </w:tcPr>
                <w:p w14:paraId="46D1B66D">
                  <w:pPr>
                    <w:jc w:val="center"/>
                    <w:rPr>
                      <w:color w:val="000000"/>
                      <w:szCs w:val="21"/>
                      <w:u w:val="single"/>
                    </w:rPr>
                  </w:pPr>
                  <w:r>
                    <w:rPr>
                      <w:color w:val="000000"/>
                      <w:szCs w:val="21"/>
                      <w:u w:val="single"/>
                      <w:lang w:bidi="ar"/>
                    </w:rPr>
                    <w:t>mg/m</w:t>
                  </w:r>
                  <w:r>
                    <w:rPr>
                      <w:color w:val="000000"/>
                      <w:szCs w:val="21"/>
                      <w:u w:val="single"/>
                      <w:vertAlign w:val="superscript"/>
                      <w:lang w:bidi="ar"/>
                    </w:rPr>
                    <w:t>3</w:t>
                  </w:r>
                </w:p>
              </w:tc>
            </w:tr>
            <w:tr w14:paraId="6332CD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3" w:type="pct"/>
                  <w:tcBorders>
                    <w:top w:val="single" w:color="auto" w:sz="4" w:space="0"/>
                    <w:right w:val="single" w:color="auto" w:sz="4" w:space="0"/>
                  </w:tcBorders>
                  <w:shd w:val="clear" w:color="auto" w:fill="auto"/>
                  <w:vAlign w:val="center"/>
                </w:tcPr>
                <w:p w14:paraId="0CA1F116">
                  <w:pPr>
                    <w:jc w:val="center"/>
                    <w:rPr>
                      <w:b/>
                      <w:bCs/>
                      <w:color w:val="000000"/>
                      <w:szCs w:val="21"/>
                      <w:u w:val="single"/>
                    </w:rPr>
                  </w:pPr>
                  <w:r>
                    <w:rPr>
                      <w:rFonts w:hint="eastAsia" w:cs="宋体"/>
                      <w:b/>
                      <w:bCs/>
                      <w:color w:val="000000"/>
                      <w:szCs w:val="21"/>
                      <w:u w:val="single"/>
                      <w:lang w:bidi="ar"/>
                    </w:rPr>
                    <w:t>检测结果</w:t>
                  </w:r>
                </w:p>
              </w:tc>
              <w:tc>
                <w:tcPr>
                  <w:tcW w:w="347" w:type="pct"/>
                  <w:tcBorders>
                    <w:top w:val="single" w:color="auto" w:sz="4" w:space="0"/>
                    <w:left w:val="single" w:color="auto" w:sz="4" w:space="0"/>
                    <w:right w:val="single" w:color="auto" w:sz="4" w:space="0"/>
                  </w:tcBorders>
                  <w:shd w:val="clear" w:color="auto" w:fill="auto"/>
                  <w:vAlign w:val="center"/>
                </w:tcPr>
                <w:p w14:paraId="0F6CCCE8">
                  <w:pPr>
                    <w:jc w:val="center"/>
                    <w:rPr>
                      <w:color w:val="000000"/>
                      <w:szCs w:val="21"/>
                      <w:u w:val="single"/>
                    </w:rPr>
                  </w:pPr>
                  <w:r>
                    <w:rPr>
                      <w:color w:val="000000"/>
                      <w:szCs w:val="21"/>
                      <w:u w:val="single"/>
                      <w:lang w:bidi="ar"/>
                    </w:rPr>
                    <w:t>22.66</w:t>
                  </w:r>
                </w:p>
              </w:tc>
              <w:tc>
                <w:tcPr>
                  <w:tcW w:w="294" w:type="pct"/>
                  <w:tcBorders>
                    <w:top w:val="single" w:color="auto" w:sz="4" w:space="0"/>
                    <w:left w:val="single" w:color="auto" w:sz="4" w:space="0"/>
                    <w:right w:val="single" w:color="auto" w:sz="4" w:space="0"/>
                  </w:tcBorders>
                  <w:shd w:val="clear" w:color="auto" w:fill="auto"/>
                  <w:vAlign w:val="center"/>
                </w:tcPr>
                <w:p w14:paraId="426995F0">
                  <w:pPr>
                    <w:jc w:val="center"/>
                    <w:rPr>
                      <w:color w:val="000000"/>
                      <w:szCs w:val="21"/>
                      <w:u w:val="single"/>
                    </w:rPr>
                  </w:pPr>
                  <w:r>
                    <w:rPr>
                      <w:color w:val="000000"/>
                      <w:szCs w:val="21"/>
                      <w:u w:val="single"/>
                      <w:lang w:bidi="ar"/>
                    </w:rPr>
                    <w:t>16.90</w:t>
                  </w:r>
                </w:p>
              </w:tc>
              <w:tc>
                <w:tcPr>
                  <w:tcW w:w="393" w:type="pct"/>
                  <w:tcBorders>
                    <w:top w:val="single" w:color="auto" w:sz="4" w:space="0"/>
                    <w:left w:val="single" w:color="auto" w:sz="4" w:space="0"/>
                    <w:right w:val="single" w:color="auto" w:sz="4" w:space="0"/>
                  </w:tcBorders>
                  <w:shd w:val="clear" w:color="auto" w:fill="auto"/>
                  <w:vAlign w:val="center"/>
                </w:tcPr>
                <w:p w14:paraId="770C214B">
                  <w:pPr>
                    <w:jc w:val="center"/>
                    <w:rPr>
                      <w:color w:val="000000"/>
                      <w:szCs w:val="21"/>
                      <w:u w:val="single"/>
                    </w:rPr>
                  </w:pPr>
                  <w:r>
                    <w:rPr>
                      <w:color w:val="000000"/>
                      <w:szCs w:val="21"/>
                      <w:u w:val="single"/>
                      <w:lang w:bidi="ar"/>
                    </w:rPr>
                    <w:t>8.64</w:t>
                  </w:r>
                </w:p>
              </w:tc>
              <w:tc>
                <w:tcPr>
                  <w:tcW w:w="294" w:type="pct"/>
                  <w:tcBorders>
                    <w:top w:val="single" w:color="auto" w:sz="4" w:space="0"/>
                    <w:left w:val="single" w:color="auto" w:sz="4" w:space="0"/>
                    <w:right w:val="single" w:color="auto" w:sz="4" w:space="0"/>
                  </w:tcBorders>
                  <w:shd w:val="clear" w:color="auto" w:fill="auto"/>
                  <w:vAlign w:val="center"/>
                </w:tcPr>
                <w:p w14:paraId="55F1AC49">
                  <w:pPr>
                    <w:jc w:val="center"/>
                    <w:rPr>
                      <w:color w:val="000000"/>
                      <w:szCs w:val="21"/>
                      <w:u w:val="single"/>
                    </w:rPr>
                  </w:pPr>
                  <w:r>
                    <w:rPr>
                      <w:color w:val="000000"/>
                      <w:szCs w:val="21"/>
                      <w:u w:val="single"/>
                      <w:lang w:bidi="ar"/>
                    </w:rPr>
                    <w:t>2.70</w:t>
                  </w:r>
                </w:p>
              </w:tc>
              <w:tc>
                <w:tcPr>
                  <w:tcW w:w="320" w:type="pct"/>
                  <w:tcBorders>
                    <w:top w:val="single" w:color="auto" w:sz="4" w:space="0"/>
                    <w:left w:val="single" w:color="auto" w:sz="4" w:space="0"/>
                    <w:right w:val="single" w:color="auto" w:sz="4" w:space="0"/>
                  </w:tcBorders>
                  <w:shd w:val="clear" w:color="auto" w:fill="auto"/>
                  <w:vAlign w:val="center"/>
                </w:tcPr>
                <w:p w14:paraId="3FAC6696">
                  <w:pPr>
                    <w:jc w:val="center"/>
                    <w:rPr>
                      <w:color w:val="000000"/>
                      <w:szCs w:val="21"/>
                      <w:u w:val="single"/>
                    </w:rPr>
                  </w:pPr>
                  <w:r>
                    <w:rPr>
                      <w:color w:val="000000"/>
                      <w:szCs w:val="21"/>
                      <w:u w:val="single"/>
                      <w:lang w:bidi="ar"/>
                    </w:rPr>
                    <w:t>45.75</w:t>
                  </w:r>
                </w:p>
              </w:tc>
              <w:tc>
                <w:tcPr>
                  <w:tcW w:w="393" w:type="pct"/>
                  <w:tcBorders>
                    <w:top w:val="single" w:color="auto" w:sz="4" w:space="0"/>
                    <w:left w:val="single" w:color="auto" w:sz="4" w:space="0"/>
                    <w:right w:val="single" w:color="auto" w:sz="4" w:space="0"/>
                  </w:tcBorders>
                  <w:shd w:val="clear" w:color="auto" w:fill="auto"/>
                  <w:vAlign w:val="center"/>
                </w:tcPr>
                <w:p w14:paraId="0C97FB1E">
                  <w:pPr>
                    <w:jc w:val="center"/>
                    <w:rPr>
                      <w:color w:val="000000"/>
                      <w:szCs w:val="21"/>
                      <w:u w:val="single"/>
                    </w:rPr>
                  </w:pPr>
                  <w:r>
                    <w:rPr>
                      <w:color w:val="000000"/>
                      <w:szCs w:val="21"/>
                      <w:u w:val="single"/>
                      <w:lang w:bidi="ar"/>
                    </w:rPr>
                    <w:t>2.95</w:t>
                  </w:r>
                </w:p>
              </w:tc>
              <w:tc>
                <w:tcPr>
                  <w:tcW w:w="438" w:type="pct"/>
                  <w:tcBorders>
                    <w:top w:val="single" w:color="auto" w:sz="4" w:space="0"/>
                    <w:left w:val="single" w:color="auto" w:sz="4" w:space="0"/>
                    <w:right w:val="single" w:color="auto" w:sz="4" w:space="0"/>
                  </w:tcBorders>
                  <w:shd w:val="clear" w:color="auto" w:fill="auto"/>
                  <w:vAlign w:val="center"/>
                </w:tcPr>
                <w:p w14:paraId="47A4A551">
                  <w:pPr>
                    <w:jc w:val="center"/>
                    <w:rPr>
                      <w:color w:val="000000"/>
                      <w:szCs w:val="21"/>
                      <w:u w:val="single"/>
                    </w:rPr>
                  </w:pPr>
                  <w:r>
                    <w:rPr>
                      <w:color w:val="000000"/>
                      <w:szCs w:val="21"/>
                      <w:u w:val="single"/>
                      <w:lang w:bidi="ar"/>
                    </w:rPr>
                    <w:t>0.20</w:t>
                  </w:r>
                </w:p>
              </w:tc>
              <w:tc>
                <w:tcPr>
                  <w:tcW w:w="438" w:type="pct"/>
                  <w:tcBorders>
                    <w:top w:val="single" w:color="auto" w:sz="4" w:space="0"/>
                    <w:left w:val="single" w:color="auto" w:sz="4" w:space="0"/>
                    <w:right w:val="single" w:color="auto" w:sz="4" w:space="0"/>
                  </w:tcBorders>
                  <w:shd w:val="clear" w:color="auto" w:fill="auto"/>
                  <w:vAlign w:val="center"/>
                </w:tcPr>
                <w:p w14:paraId="4A1B1298">
                  <w:pPr>
                    <w:jc w:val="center"/>
                    <w:rPr>
                      <w:color w:val="000000"/>
                      <w:szCs w:val="21"/>
                      <w:u w:val="single"/>
                    </w:rPr>
                  </w:pPr>
                  <w:r>
                    <w:rPr>
                      <w:color w:val="000000"/>
                      <w:szCs w:val="21"/>
                      <w:u w:val="single"/>
                      <w:lang w:bidi="ar"/>
                    </w:rPr>
                    <w:t>0.10</w:t>
                  </w:r>
                </w:p>
              </w:tc>
              <w:tc>
                <w:tcPr>
                  <w:tcW w:w="438" w:type="pct"/>
                  <w:tcBorders>
                    <w:top w:val="single" w:color="auto" w:sz="4" w:space="0"/>
                    <w:left w:val="single" w:color="auto" w:sz="4" w:space="0"/>
                    <w:right w:val="single" w:color="auto" w:sz="4" w:space="0"/>
                  </w:tcBorders>
                  <w:shd w:val="clear" w:color="auto" w:fill="auto"/>
                  <w:vAlign w:val="center"/>
                </w:tcPr>
                <w:p w14:paraId="59F5A40F">
                  <w:pPr>
                    <w:jc w:val="center"/>
                    <w:rPr>
                      <w:color w:val="000000"/>
                      <w:szCs w:val="21"/>
                      <w:u w:val="single"/>
                    </w:rPr>
                  </w:pPr>
                  <w:r>
                    <w:rPr>
                      <w:color w:val="000000"/>
                      <w:szCs w:val="21"/>
                      <w:u w:val="single"/>
                      <w:lang w:bidi="ar"/>
                    </w:rPr>
                    <w:t>0.04</w:t>
                  </w:r>
                </w:p>
              </w:tc>
              <w:tc>
                <w:tcPr>
                  <w:tcW w:w="438" w:type="pct"/>
                  <w:tcBorders>
                    <w:top w:val="single" w:color="auto" w:sz="4" w:space="0"/>
                    <w:left w:val="single" w:color="auto" w:sz="4" w:space="0"/>
                    <w:right w:val="single" w:color="auto" w:sz="4" w:space="0"/>
                  </w:tcBorders>
                  <w:shd w:val="clear" w:color="auto" w:fill="auto"/>
                  <w:vAlign w:val="center"/>
                </w:tcPr>
                <w:p w14:paraId="07B62E31">
                  <w:pPr>
                    <w:jc w:val="center"/>
                    <w:rPr>
                      <w:color w:val="000000"/>
                      <w:szCs w:val="21"/>
                      <w:u w:val="single"/>
                    </w:rPr>
                  </w:pPr>
                  <w:r>
                    <w:rPr>
                      <w:color w:val="000000"/>
                      <w:szCs w:val="21"/>
                      <w:u w:val="single"/>
                      <w:lang w:bidi="ar"/>
                    </w:rPr>
                    <w:t>0.06</w:t>
                  </w:r>
                </w:p>
              </w:tc>
              <w:tc>
                <w:tcPr>
                  <w:tcW w:w="508" w:type="pct"/>
                  <w:tcBorders>
                    <w:top w:val="single" w:color="auto" w:sz="4" w:space="0"/>
                    <w:left w:val="single" w:color="auto" w:sz="4" w:space="0"/>
                  </w:tcBorders>
                  <w:shd w:val="clear" w:color="auto" w:fill="auto"/>
                  <w:vAlign w:val="center"/>
                </w:tcPr>
                <w:p w14:paraId="238CDF72">
                  <w:pPr>
                    <w:jc w:val="center"/>
                    <w:rPr>
                      <w:color w:val="000000"/>
                      <w:szCs w:val="21"/>
                      <w:u w:val="single"/>
                    </w:rPr>
                  </w:pPr>
                  <w:r>
                    <w:rPr>
                      <w:color w:val="000000"/>
                      <w:szCs w:val="21"/>
                      <w:u w:val="single"/>
                      <w:lang w:bidi="ar"/>
                    </w:rPr>
                    <w:t>0.29</w:t>
                  </w:r>
                </w:p>
              </w:tc>
            </w:tr>
          </w:tbl>
          <w:p w14:paraId="1E6F577D">
            <w:pPr>
              <w:autoSpaceDN w:val="0"/>
              <w:spacing w:line="360" w:lineRule="auto"/>
              <w:ind w:firstLine="480" w:firstLineChars="200"/>
              <w:rPr>
                <w:bCs/>
                <w:color w:val="000000"/>
                <w:sz w:val="24"/>
                <w:szCs w:val="24"/>
                <w:u w:val="single"/>
              </w:rPr>
            </w:pPr>
            <w:r>
              <w:rPr>
                <w:rFonts w:hint="eastAsia" w:cs="宋体"/>
                <w:bCs/>
                <w:color w:val="000000"/>
                <w:sz w:val="24"/>
                <w:szCs w:val="24"/>
                <w:u w:val="single"/>
                <w:lang w:bidi="ar"/>
              </w:rPr>
              <w:t>参照《中山广扬包装材料有限公司锅炉技改项目》生物质燃料（纯木质木柴切片）成分检测报告，指标及监测值详见下表。</w:t>
            </w:r>
          </w:p>
          <w:p w14:paraId="34BDC98F">
            <w:pPr>
              <w:spacing w:line="360" w:lineRule="auto"/>
              <w:jc w:val="center"/>
              <w:rPr>
                <w:b/>
                <w:bCs/>
                <w:color w:val="000000"/>
                <w:kern w:val="0"/>
                <w:sz w:val="24"/>
                <w:szCs w:val="24"/>
                <w:u w:val="single"/>
              </w:rPr>
            </w:pPr>
            <w:r>
              <w:rPr>
                <w:rFonts w:hint="eastAsia" w:cs="宋体"/>
                <w:b/>
                <w:bCs/>
                <w:color w:val="000000"/>
                <w:kern w:val="0"/>
                <w:sz w:val="24"/>
                <w:szCs w:val="24"/>
                <w:u w:val="single"/>
                <w:lang w:bidi="ar"/>
              </w:rPr>
              <w:t>表</w:t>
            </w:r>
            <w:r>
              <w:rPr>
                <w:b/>
                <w:bCs/>
                <w:color w:val="000000"/>
                <w:kern w:val="0"/>
                <w:sz w:val="24"/>
                <w:szCs w:val="24"/>
                <w:u w:val="single"/>
                <w:lang w:bidi="ar"/>
              </w:rPr>
              <w:t>2-</w:t>
            </w:r>
            <w:r>
              <w:rPr>
                <w:rFonts w:hint="eastAsia"/>
                <w:b/>
                <w:bCs/>
                <w:color w:val="000000"/>
                <w:kern w:val="0"/>
                <w:sz w:val="24"/>
                <w:szCs w:val="24"/>
                <w:u w:val="single"/>
                <w:lang w:bidi="ar"/>
              </w:rPr>
              <w:t>10</w:t>
            </w:r>
            <w:r>
              <w:rPr>
                <w:b/>
                <w:bCs/>
                <w:color w:val="000000"/>
                <w:kern w:val="0"/>
                <w:sz w:val="24"/>
                <w:szCs w:val="24"/>
                <w:u w:val="single"/>
                <w:lang w:bidi="ar"/>
              </w:rPr>
              <w:t xml:space="preserve">  </w:t>
            </w:r>
            <w:r>
              <w:rPr>
                <w:rFonts w:hint="eastAsia" w:cs="宋体"/>
                <w:b/>
                <w:bCs/>
                <w:color w:val="000000"/>
                <w:kern w:val="0"/>
                <w:sz w:val="24"/>
                <w:szCs w:val="24"/>
                <w:u w:val="single"/>
                <w:lang w:bidi="ar"/>
              </w:rPr>
              <w:t>产品指标</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710"/>
              <w:gridCol w:w="1020"/>
              <w:gridCol w:w="2581"/>
              <w:gridCol w:w="2114"/>
              <w:gridCol w:w="2036"/>
            </w:tblGrid>
            <w:tr w14:paraId="342EAF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420" w:type="pct"/>
                  <w:tcBorders>
                    <w:bottom w:val="single" w:color="auto" w:sz="6" w:space="0"/>
                    <w:right w:val="single" w:color="auto" w:sz="6" w:space="0"/>
                  </w:tcBorders>
                  <w:shd w:val="clear" w:color="auto" w:fill="auto"/>
                  <w:vAlign w:val="center"/>
                </w:tcPr>
                <w:p w14:paraId="63918433">
                  <w:pPr>
                    <w:jc w:val="center"/>
                    <w:rPr>
                      <w:b/>
                      <w:bCs/>
                      <w:szCs w:val="21"/>
                      <w:u w:val="single"/>
                    </w:rPr>
                  </w:pPr>
                  <w:r>
                    <w:rPr>
                      <w:rFonts w:hint="eastAsia" w:cs="宋体"/>
                      <w:b/>
                      <w:bCs/>
                      <w:szCs w:val="21"/>
                      <w:u w:val="single"/>
                      <w:lang w:bidi="ar"/>
                    </w:rPr>
                    <w:t>序号</w:t>
                  </w:r>
                </w:p>
              </w:tc>
              <w:tc>
                <w:tcPr>
                  <w:tcW w:w="2128" w:type="pct"/>
                  <w:gridSpan w:val="2"/>
                  <w:tcBorders>
                    <w:left w:val="single" w:color="auto" w:sz="6" w:space="0"/>
                    <w:bottom w:val="single" w:color="auto" w:sz="6" w:space="0"/>
                    <w:right w:val="single" w:color="auto" w:sz="6" w:space="0"/>
                  </w:tcBorders>
                  <w:shd w:val="clear" w:color="auto" w:fill="auto"/>
                  <w:vAlign w:val="center"/>
                </w:tcPr>
                <w:p w14:paraId="0EBFE7CB">
                  <w:pPr>
                    <w:jc w:val="center"/>
                    <w:rPr>
                      <w:b/>
                      <w:bCs/>
                      <w:szCs w:val="21"/>
                      <w:u w:val="single"/>
                    </w:rPr>
                  </w:pPr>
                  <w:r>
                    <w:rPr>
                      <w:rFonts w:hint="eastAsia" w:cs="宋体"/>
                      <w:b/>
                      <w:bCs/>
                      <w:szCs w:val="21"/>
                      <w:u w:val="single"/>
                      <w:lang w:bidi="ar"/>
                    </w:rPr>
                    <w:t>指标名称</w:t>
                  </w:r>
                </w:p>
              </w:tc>
              <w:tc>
                <w:tcPr>
                  <w:tcW w:w="1249" w:type="pct"/>
                  <w:tcBorders>
                    <w:left w:val="single" w:color="auto" w:sz="6" w:space="0"/>
                    <w:bottom w:val="single" w:color="auto" w:sz="6" w:space="0"/>
                    <w:right w:val="single" w:color="auto" w:sz="6" w:space="0"/>
                  </w:tcBorders>
                  <w:shd w:val="clear" w:color="auto" w:fill="auto"/>
                  <w:vAlign w:val="center"/>
                </w:tcPr>
                <w:p w14:paraId="790DCCC9">
                  <w:pPr>
                    <w:jc w:val="center"/>
                    <w:rPr>
                      <w:b/>
                      <w:bCs/>
                      <w:szCs w:val="21"/>
                      <w:u w:val="single"/>
                    </w:rPr>
                  </w:pPr>
                  <w:r>
                    <w:rPr>
                      <w:rFonts w:hint="eastAsia" w:cs="宋体"/>
                      <w:b/>
                      <w:bCs/>
                      <w:szCs w:val="21"/>
                      <w:u w:val="single"/>
                      <w:lang w:bidi="ar"/>
                    </w:rPr>
                    <w:t>单位</w:t>
                  </w:r>
                </w:p>
              </w:tc>
              <w:tc>
                <w:tcPr>
                  <w:tcW w:w="1203" w:type="pct"/>
                  <w:tcBorders>
                    <w:left w:val="single" w:color="auto" w:sz="6" w:space="0"/>
                    <w:bottom w:val="single" w:color="auto" w:sz="6" w:space="0"/>
                  </w:tcBorders>
                  <w:shd w:val="clear" w:color="auto" w:fill="auto"/>
                  <w:vAlign w:val="center"/>
                </w:tcPr>
                <w:p w14:paraId="4E6745A9">
                  <w:pPr>
                    <w:jc w:val="center"/>
                    <w:rPr>
                      <w:b/>
                      <w:bCs/>
                      <w:szCs w:val="21"/>
                      <w:u w:val="single"/>
                    </w:rPr>
                  </w:pPr>
                  <w:r>
                    <w:rPr>
                      <w:rFonts w:hint="eastAsia" w:cs="宋体"/>
                      <w:b/>
                      <w:bCs/>
                      <w:szCs w:val="21"/>
                      <w:u w:val="single"/>
                      <w:lang w:bidi="ar"/>
                    </w:rPr>
                    <w:t>检测值</w:t>
                  </w:r>
                </w:p>
              </w:tc>
            </w:tr>
            <w:tr w14:paraId="0E4F40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420" w:type="pct"/>
                  <w:tcBorders>
                    <w:top w:val="single" w:color="auto" w:sz="6" w:space="0"/>
                    <w:bottom w:val="single" w:color="auto" w:sz="6" w:space="0"/>
                    <w:right w:val="single" w:color="auto" w:sz="6" w:space="0"/>
                  </w:tcBorders>
                  <w:shd w:val="clear" w:color="auto" w:fill="auto"/>
                  <w:vAlign w:val="center"/>
                </w:tcPr>
                <w:p w14:paraId="548C3B5F">
                  <w:pPr>
                    <w:jc w:val="center"/>
                    <w:rPr>
                      <w:szCs w:val="21"/>
                      <w:u w:val="single"/>
                    </w:rPr>
                  </w:pPr>
                  <w:r>
                    <w:rPr>
                      <w:szCs w:val="21"/>
                      <w:u w:val="single"/>
                      <w:lang w:bidi="ar"/>
                    </w:rPr>
                    <w:t>1</w:t>
                  </w:r>
                </w:p>
              </w:tc>
              <w:tc>
                <w:tcPr>
                  <w:tcW w:w="2128" w:type="pct"/>
                  <w:gridSpan w:val="2"/>
                  <w:tcBorders>
                    <w:top w:val="single" w:color="auto" w:sz="6" w:space="0"/>
                    <w:left w:val="single" w:color="auto" w:sz="6" w:space="0"/>
                    <w:bottom w:val="single" w:color="auto" w:sz="6" w:space="0"/>
                    <w:right w:val="single" w:color="auto" w:sz="6" w:space="0"/>
                  </w:tcBorders>
                  <w:shd w:val="clear" w:color="auto" w:fill="auto"/>
                  <w:vAlign w:val="center"/>
                </w:tcPr>
                <w:p w14:paraId="5F66EFB0">
                  <w:pPr>
                    <w:jc w:val="center"/>
                    <w:rPr>
                      <w:szCs w:val="21"/>
                      <w:u w:val="single"/>
                    </w:rPr>
                  </w:pPr>
                  <w:r>
                    <w:rPr>
                      <w:rFonts w:hint="eastAsia" w:cs="宋体"/>
                      <w:szCs w:val="21"/>
                      <w:u w:val="single"/>
                      <w:lang w:bidi="ar"/>
                    </w:rPr>
                    <w:t>全水分</w:t>
                  </w:r>
                </w:p>
              </w:tc>
              <w:tc>
                <w:tcPr>
                  <w:tcW w:w="1249" w:type="pct"/>
                  <w:tcBorders>
                    <w:top w:val="single" w:color="auto" w:sz="6" w:space="0"/>
                    <w:left w:val="single" w:color="auto" w:sz="6" w:space="0"/>
                    <w:bottom w:val="single" w:color="auto" w:sz="6" w:space="0"/>
                    <w:right w:val="single" w:color="auto" w:sz="6" w:space="0"/>
                  </w:tcBorders>
                  <w:shd w:val="clear" w:color="auto" w:fill="auto"/>
                  <w:vAlign w:val="center"/>
                </w:tcPr>
                <w:p w14:paraId="10C3924C">
                  <w:pPr>
                    <w:jc w:val="center"/>
                    <w:rPr>
                      <w:szCs w:val="21"/>
                      <w:u w:val="single"/>
                    </w:rPr>
                  </w:pPr>
                  <w:r>
                    <w:rPr>
                      <w:szCs w:val="21"/>
                      <w:u w:val="single"/>
                      <w:lang w:bidi="ar"/>
                    </w:rPr>
                    <w:t>%</w:t>
                  </w:r>
                </w:p>
              </w:tc>
              <w:tc>
                <w:tcPr>
                  <w:tcW w:w="1203" w:type="pct"/>
                  <w:tcBorders>
                    <w:top w:val="single" w:color="auto" w:sz="6" w:space="0"/>
                    <w:left w:val="single" w:color="auto" w:sz="6" w:space="0"/>
                    <w:bottom w:val="single" w:color="auto" w:sz="6" w:space="0"/>
                  </w:tcBorders>
                  <w:shd w:val="clear" w:color="auto" w:fill="auto"/>
                  <w:vAlign w:val="center"/>
                </w:tcPr>
                <w:p w14:paraId="4D96AEF7">
                  <w:pPr>
                    <w:jc w:val="center"/>
                    <w:rPr>
                      <w:szCs w:val="21"/>
                      <w:u w:val="single"/>
                    </w:rPr>
                  </w:pPr>
                  <w:r>
                    <w:rPr>
                      <w:szCs w:val="21"/>
                      <w:u w:val="single"/>
                      <w:lang w:bidi="ar"/>
                    </w:rPr>
                    <w:t>7.1</w:t>
                  </w:r>
                </w:p>
              </w:tc>
            </w:tr>
            <w:tr w14:paraId="4D85DF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420" w:type="pct"/>
                  <w:tcBorders>
                    <w:top w:val="single" w:color="auto" w:sz="6" w:space="0"/>
                    <w:bottom w:val="single" w:color="auto" w:sz="6" w:space="0"/>
                    <w:right w:val="single" w:color="auto" w:sz="6" w:space="0"/>
                  </w:tcBorders>
                  <w:shd w:val="clear" w:color="auto" w:fill="auto"/>
                  <w:vAlign w:val="center"/>
                </w:tcPr>
                <w:p w14:paraId="63CF42E1">
                  <w:pPr>
                    <w:jc w:val="center"/>
                    <w:rPr>
                      <w:szCs w:val="21"/>
                      <w:u w:val="single"/>
                    </w:rPr>
                  </w:pPr>
                  <w:r>
                    <w:rPr>
                      <w:szCs w:val="21"/>
                      <w:u w:val="single"/>
                      <w:lang w:bidi="ar"/>
                    </w:rPr>
                    <w:t>2</w:t>
                  </w:r>
                </w:p>
              </w:tc>
              <w:tc>
                <w:tcPr>
                  <w:tcW w:w="603" w:type="pct"/>
                  <w:tcBorders>
                    <w:top w:val="single" w:color="auto" w:sz="6" w:space="0"/>
                    <w:left w:val="single" w:color="auto" w:sz="6" w:space="0"/>
                    <w:bottom w:val="single" w:color="auto" w:sz="6" w:space="0"/>
                    <w:right w:val="single" w:color="auto" w:sz="6" w:space="0"/>
                  </w:tcBorders>
                  <w:shd w:val="clear" w:color="auto" w:fill="auto"/>
                  <w:vAlign w:val="center"/>
                </w:tcPr>
                <w:p w14:paraId="79ABF429">
                  <w:pPr>
                    <w:jc w:val="center"/>
                    <w:rPr>
                      <w:szCs w:val="21"/>
                      <w:u w:val="single"/>
                    </w:rPr>
                  </w:pPr>
                  <w:r>
                    <w:rPr>
                      <w:rFonts w:hint="eastAsia" w:cs="宋体"/>
                      <w:szCs w:val="21"/>
                      <w:u w:val="single"/>
                      <w:lang w:bidi="ar"/>
                    </w:rPr>
                    <w:t>水分</w:t>
                  </w:r>
                </w:p>
              </w:tc>
              <w:tc>
                <w:tcPr>
                  <w:tcW w:w="1525" w:type="pct"/>
                  <w:tcBorders>
                    <w:top w:val="single" w:color="auto" w:sz="6" w:space="0"/>
                    <w:left w:val="single" w:color="auto" w:sz="6" w:space="0"/>
                    <w:bottom w:val="single" w:color="auto" w:sz="6" w:space="0"/>
                    <w:right w:val="single" w:color="auto" w:sz="6" w:space="0"/>
                  </w:tcBorders>
                  <w:shd w:val="clear" w:color="auto" w:fill="auto"/>
                  <w:vAlign w:val="center"/>
                </w:tcPr>
                <w:p w14:paraId="1FE4DCC9">
                  <w:pPr>
                    <w:jc w:val="center"/>
                    <w:rPr>
                      <w:szCs w:val="21"/>
                      <w:u w:val="single"/>
                    </w:rPr>
                  </w:pPr>
                  <w:r>
                    <w:rPr>
                      <w:rFonts w:hint="eastAsia" w:cs="宋体"/>
                      <w:szCs w:val="21"/>
                      <w:u w:val="single"/>
                      <w:lang w:bidi="ar"/>
                    </w:rPr>
                    <w:t>空干基</w:t>
                  </w:r>
                </w:p>
              </w:tc>
              <w:tc>
                <w:tcPr>
                  <w:tcW w:w="1249" w:type="pct"/>
                  <w:tcBorders>
                    <w:top w:val="single" w:color="auto" w:sz="6" w:space="0"/>
                    <w:left w:val="single" w:color="auto" w:sz="6" w:space="0"/>
                    <w:bottom w:val="single" w:color="auto" w:sz="6" w:space="0"/>
                    <w:right w:val="single" w:color="auto" w:sz="6" w:space="0"/>
                  </w:tcBorders>
                  <w:shd w:val="clear" w:color="auto" w:fill="auto"/>
                  <w:vAlign w:val="center"/>
                </w:tcPr>
                <w:p w14:paraId="1D33C9A9">
                  <w:pPr>
                    <w:jc w:val="center"/>
                    <w:rPr>
                      <w:szCs w:val="21"/>
                      <w:u w:val="single"/>
                    </w:rPr>
                  </w:pPr>
                </w:p>
              </w:tc>
              <w:tc>
                <w:tcPr>
                  <w:tcW w:w="1203" w:type="pct"/>
                  <w:tcBorders>
                    <w:top w:val="single" w:color="auto" w:sz="6" w:space="0"/>
                    <w:left w:val="single" w:color="auto" w:sz="6" w:space="0"/>
                    <w:bottom w:val="single" w:color="auto" w:sz="6" w:space="0"/>
                  </w:tcBorders>
                  <w:shd w:val="clear" w:color="auto" w:fill="auto"/>
                  <w:vAlign w:val="center"/>
                </w:tcPr>
                <w:p w14:paraId="7FC98AA4">
                  <w:pPr>
                    <w:jc w:val="center"/>
                    <w:rPr>
                      <w:szCs w:val="21"/>
                      <w:u w:val="single"/>
                    </w:rPr>
                  </w:pPr>
                  <w:r>
                    <w:rPr>
                      <w:szCs w:val="21"/>
                      <w:u w:val="single"/>
                      <w:lang w:bidi="ar"/>
                    </w:rPr>
                    <w:t>6.25</w:t>
                  </w:r>
                </w:p>
              </w:tc>
            </w:tr>
            <w:tr w14:paraId="6DCE2A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420" w:type="pct"/>
                  <w:vMerge w:val="restart"/>
                  <w:tcBorders>
                    <w:top w:val="single" w:color="auto" w:sz="6" w:space="0"/>
                    <w:bottom w:val="single" w:color="auto" w:sz="6" w:space="0"/>
                    <w:right w:val="single" w:color="auto" w:sz="6" w:space="0"/>
                  </w:tcBorders>
                  <w:shd w:val="clear" w:color="auto" w:fill="auto"/>
                  <w:vAlign w:val="center"/>
                </w:tcPr>
                <w:p w14:paraId="252976CB">
                  <w:pPr>
                    <w:jc w:val="center"/>
                    <w:rPr>
                      <w:szCs w:val="21"/>
                      <w:u w:val="single"/>
                    </w:rPr>
                  </w:pPr>
                  <w:r>
                    <w:rPr>
                      <w:szCs w:val="21"/>
                      <w:u w:val="single"/>
                      <w:lang w:bidi="ar"/>
                    </w:rPr>
                    <w:t>3</w:t>
                  </w:r>
                </w:p>
              </w:tc>
              <w:tc>
                <w:tcPr>
                  <w:tcW w:w="603" w:type="pct"/>
                  <w:vMerge w:val="restart"/>
                  <w:tcBorders>
                    <w:top w:val="single" w:color="auto" w:sz="6" w:space="0"/>
                    <w:left w:val="single" w:color="auto" w:sz="6" w:space="0"/>
                    <w:bottom w:val="single" w:color="auto" w:sz="6" w:space="0"/>
                    <w:right w:val="single" w:color="auto" w:sz="6" w:space="0"/>
                  </w:tcBorders>
                  <w:shd w:val="clear" w:color="auto" w:fill="auto"/>
                  <w:vAlign w:val="center"/>
                </w:tcPr>
                <w:p w14:paraId="64578BF3">
                  <w:pPr>
                    <w:jc w:val="center"/>
                    <w:rPr>
                      <w:szCs w:val="21"/>
                      <w:u w:val="single"/>
                    </w:rPr>
                  </w:pPr>
                  <w:r>
                    <w:rPr>
                      <w:rFonts w:hint="eastAsia" w:cs="宋体"/>
                      <w:szCs w:val="21"/>
                      <w:u w:val="single"/>
                      <w:lang w:bidi="ar"/>
                    </w:rPr>
                    <w:t>灰分</w:t>
                  </w:r>
                </w:p>
              </w:tc>
              <w:tc>
                <w:tcPr>
                  <w:tcW w:w="1525" w:type="pct"/>
                  <w:tcBorders>
                    <w:top w:val="single" w:color="auto" w:sz="6" w:space="0"/>
                    <w:left w:val="single" w:color="auto" w:sz="6" w:space="0"/>
                    <w:bottom w:val="single" w:color="auto" w:sz="6" w:space="0"/>
                    <w:right w:val="single" w:color="auto" w:sz="6" w:space="0"/>
                  </w:tcBorders>
                  <w:shd w:val="clear" w:color="auto" w:fill="auto"/>
                  <w:vAlign w:val="center"/>
                </w:tcPr>
                <w:p w14:paraId="0B4C3596">
                  <w:pPr>
                    <w:jc w:val="center"/>
                    <w:rPr>
                      <w:szCs w:val="21"/>
                      <w:u w:val="single"/>
                    </w:rPr>
                  </w:pPr>
                  <w:r>
                    <w:rPr>
                      <w:rFonts w:hint="eastAsia" w:cs="宋体"/>
                      <w:szCs w:val="21"/>
                      <w:u w:val="single"/>
                      <w:lang w:bidi="ar"/>
                    </w:rPr>
                    <w:t>空干基</w:t>
                  </w:r>
                </w:p>
              </w:tc>
              <w:tc>
                <w:tcPr>
                  <w:tcW w:w="1249" w:type="pct"/>
                  <w:tcBorders>
                    <w:top w:val="single" w:color="auto" w:sz="6" w:space="0"/>
                    <w:left w:val="single" w:color="auto" w:sz="6" w:space="0"/>
                    <w:bottom w:val="single" w:color="auto" w:sz="6" w:space="0"/>
                    <w:right w:val="single" w:color="auto" w:sz="6" w:space="0"/>
                  </w:tcBorders>
                  <w:shd w:val="clear" w:color="auto" w:fill="auto"/>
                  <w:vAlign w:val="center"/>
                </w:tcPr>
                <w:p w14:paraId="223239B1">
                  <w:pPr>
                    <w:jc w:val="center"/>
                    <w:rPr>
                      <w:szCs w:val="21"/>
                      <w:u w:val="single"/>
                    </w:rPr>
                  </w:pPr>
                  <w:r>
                    <w:rPr>
                      <w:szCs w:val="21"/>
                      <w:u w:val="single"/>
                      <w:lang w:bidi="ar"/>
                    </w:rPr>
                    <w:t>%</w:t>
                  </w:r>
                </w:p>
              </w:tc>
              <w:tc>
                <w:tcPr>
                  <w:tcW w:w="1203" w:type="pct"/>
                  <w:tcBorders>
                    <w:top w:val="single" w:color="auto" w:sz="6" w:space="0"/>
                    <w:left w:val="single" w:color="auto" w:sz="6" w:space="0"/>
                    <w:bottom w:val="single" w:color="auto" w:sz="6" w:space="0"/>
                  </w:tcBorders>
                  <w:shd w:val="clear" w:color="auto" w:fill="auto"/>
                  <w:vAlign w:val="center"/>
                </w:tcPr>
                <w:p w14:paraId="75D74F7F">
                  <w:pPr>
                    <w:jc w:val="center"/>
                    <w:rPr>
                      <w:szCs w:val="21"/>
                      <w:u w:val="single"/>
                    </w:rPr>
                  </w:pPr>
                  <w:r>
                    <w:rPr>
                      <w:szCs w:val="21"/>
                      <w:u w:val="single"/>
                      <w:lang w:bidi="ar"/>
                    </w:rPr>
                    <w:t>2.35</w:t>
                  </w:r>
                </w:p>
              </w:tc>
            </w:tr>
            <w:tr w14:paraId="2A14BC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420" w:type="pct"/>
                  <w:vMerge w:val="continue"/>
                  <w:tcBorders>
                    <w:top w:val="single" w:color="auto" w:sz="6" w:space="0"/>
                    <w:bottom w:val="single" w:color="auto" w:sz="6" w:space="0"/>
                    <w:right w:val="single" w:color="auto" w:sz="6" w:space="0"/>
                  </w:tcBorders>
                  <w:shd w:val="clear" w:color="auto" w:fill="auto"/>
                  <w:vAlign w:val="center"/>
                </w:tcPr>
                <w:p w14:paraId="22CF2456">
                  <w:pPr>
                    <w:rPr>
                      <w:rFonts w:ascii="Calibri" w:hAnsi="Calibri" w:cs="Calibri"/>
                      <w:sz w:val="20"/>
                      <w:szCs w:val="20"/>
                      <w:u w:val="single"/>
                    </w:rPr>
                  </w:pPr>
                </w:p>
              </w:tc>
              <w:tc>
                <w:tcPr>
                  <w:tcW w:w="603"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172B27FE">
                  <w:pPr>
                    <w:rPr>
                      <w:rFonts w:ascii="Calibri" w:hAnsi="Calibri" w:cs="Calibri"/>
                      <w:sz w:val="20"/>
                      <w:szCs w:val="20"/>
                      <w:u w:val="single"/>
                    </w:rPr>
                  </w:pPr>
                </w:p>
              </w:tc>
              <w:tc>
                <w:tcPr>
                  <w:tcW w:w="1525" w:type="pct"/>
                  <w:tcBorders>
                    <w:top w:val="single" w:color="auto" w:sz="6" w:space="0"/>
                    <w:left w:val="single" w:color="auto" w:sz="6" w:space="0"/>
                    <w:bottom w:val="single" w:color="auto" w:sz="6" w:space="0"/>
                    <w:right w:val="single" w:color="auto" w:sz="6" w:space="0"/>
                  </w:tcBorders>
                  <w:shd w:val="clear" w:color="auto" w:fill="auto"/>
                  <w:vAlign w:val="center"/>
                </w:tcPr>
                <w:p w14:paraId="1FE40A1F">
                  <w:pPr>
                    <w:jc w:val="center"/>
                    <w:rPr>
                      <w:szCs w:val="21"/>
                      <w:u w:val="single"/>
                    </w:rPr>
                  </w:pPr>
                  <w:r>
                    <w:rPr>
                      <w:rFonts w:hint="eastAsia" w:cs="宋体"/>
                      <w:szCs w:val="21"/>
                      <w:u w:val="single"/>
                      <w:lang w:bidi="ar"/>
                    </w:rPr>
                    <w:t>干基</w:t>
                  </w:r>
                </w:p>
              </w:tc>
              <w:tc>
                <w:tcPr>
                  <w:tcW w:w="1249" w:type="pct"/>
                  <w:tcBorders>
                    <w:top w:val="single" w:color="auto" w:sz="6" w:space="0"/>
                    <w:left w:val="single" w:color="auto" w:sz="6" w:space="0"/>
                    <w:bottom w:val="single" w:color="auto" w:sz="6" w:space="0"/>
                    <w:right w:val="single" w:color="auto" w:sz="6" w:space="0"/>
                  </w:tcBorders>
                  <w:shd w:val="clear" w:color="auto" w:fill="auto"/>
                  <w:vAlign w:val="center"/>
                </w:tcPr>
                <w:p w14:paraId="4B5C2DF5">
                  <w:pPr>
                    <w:jc w:val="center"/>
                    <w:rPr>
                      <w:szCs w:val="21"/>
                      <w:u w:val="single"/>
                    </w:rPr>
                  </w:pPr>
                </w:p>
              </w:tc>
              <w:tc>
                <w:tcPr>
                  <w:tcW w:w="1203" w:type="pct"/>
                  <w:tcBorders>
                    <w:top w:val="single" w:color="auto" w:sz="6" w:space="0"/>
                    <w:left w:val="single" w:color="auto" w:sz="6" w:space="0"/>
                    <w:bottom w:val="single" w:color="auto" w:sz="6" w:space="0"/>
                  </w:tcBorders>
                  <w:shd w:val="clear" w:color="auto" w:fill="auto"/>
                  <w:vAlign w:val="center"/>
                </w:tcPr>
                <w:p w14:paraId="0C6F7698">
                  <w:pPr>
                    <w:jc w:val="center"/>
                    <w:rPr>
                      <w:szCs w:val="21"/>
                      <w:u w:val="single"/>
                    </w:rPr>
                  </w:pPr>
                  <w:r>
                    <w:rPr>
                      <w:szCs w:val="21"/>
                      <w:u w:val="single"/>
                      <w:lang w:bidi="ar"/>
                    </w:rPr>
                    <w:t>2.51</w:t>
                  </w:r>
                </w:p>
              </w:tc>
            </w:tr>
            <w:tr w14:paraId="390BA6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420" w:type="pct"/>
                  <w:tcBorders>
                    <w:top w:val="single" w:color="auto" w:sz="6" w:space="0"/>
                    <w:bottom w:val="single" w:color="auto" w:sz="6" w:space="0"/>
                    <w:right w:val="single" w:color="auto" w:sz="6" w:space="0"/>
                  </w:tcBorders>
                  <w:shd w:val="clear" w:color="auto" w:fill="auto"/>
                  <w:vAlign w:val="center"/>
                </w:tcPr>
                <w:p w14:paraId="5D8CB377">
                  <w:pPr>
                    <w:jc w:val="center"/>
                    <w:rPr>
                      <w:szCs w:val="21"/>
                      <w:u w:val="single"/>
                    </w:rPr>
                  </w:pPr>
                  <w:r>
                    <w:rPr>
                      <w:szCs w:val="21"/>
                      <w:u w:val="single"/>
                      <w:lang w:bidi="ar"/>
                    </w:rPr>
                    <w:t>4</w:t>
                  </w:r>
                </w:p>
              </w:tc>
              <w:tc>
                <w:tcPr>
                  <w:tcW w:w="603" w:type="pct"/>
                  <w:tcBorders>
                    <w:top w:val="single" w:color="auto" w:sz="6" w:space="0"/>
                    <w:left w:val="single" w:color="auto" w:sz="6" w:space="0"/>
                    <w:bottom w:val="single" w:color="auto" w:sz="6" w:space="0"/>
                    <w:right w:val="single" w:color="auto" w:sz="6" w:space="0"/>
                  </w:tcBorders>
                  <w:shd w:val="clear" w:color="auto" w:fill="auto"/>
                  <w:vAlign w:val="center"/>
                </w:tcPr>
                <w:p w14:paraId="6118715B">
                  <w:pPr>
                    <w:jc w:val="center"/>
                    <w:rPr>
                      <w:szCs w:val="21"/>
                      <w:u w:val="single"/>
                    </w:rPr>
                  </w:pPr>
                  <w:r>
                    <w:rPr>
                      <w:rFonts w:hint="eastAsia" w:cs="宋体"/>
                      <w:szCs w:val="21"/>
                      <w:u w:val="single"/>
                      <w:lang w:bidi="ar"/>
                    </w:rPr>
                    <w:t>挥发份</w:t>
                  </w:r>
                </w:p>
              </w:tc>
              <w:tc>
                <w:tcPr>
                  <w:tcW w:w="1525" w:type="pct"/>
                  <w:tcBorders>
                    <w:top w:val="single" w:color="auto" w:sz="6" w:space="0"/>
                    <w:left w:val="single" w:color="auto" w:sz="6" w:space="0"/>
                    <w:bottom w:val="single" w:color="auto" w:sz="6" w:space="0"/>
                    <w:right w:val="single" w:color="auto" w:sz="6" w:space="0"/>
                  </w:tcBorders>
                  <w:shd w:val="clear" w:color="auto" w:fill="auto"/>
                  <w:vAlign w:val="center"/>
                </w:tcPr>
                <w:p w14:paraId="04511637">
                  <w:pPr>
                    <w:jc w:val="center"/>
                    <w:rPr>
                      <w:szCs w:val="21"/>
                      <w:u w:val="single"/>
                    </w:rPr>
                  </w:pPr>
                  <w:r>
                    <w:rPr>
                      <w:rFonts w:hint="eastAsia" w:cs="宋体"/>
                      <w:szCs w:val="21"/>
                      <w:u w:val="single"/>
                      <w:lang w:bidi="ar"/>
                    </w:rPr>
                    <w:t>空干基</w:t>
                  </w:r>
                </w:p>
              </w:tc>
              <w:tc>
                <w:tcPr>
                  <w:tcW w:w="1249" w:type="pct"/>
                  <w:tcBorders>
                    <w:top w:val="single" w:color="auto" w:sz="6" w:space="0"/>
                    <w:left w:val="single" w:color="auto" w:sz="6" w:space="0"/>
                    <w:bottom w:val="single" w:color="auto" w:sz="6" w:space="0"/>
                    <w:right w:val="single" w:color="auto" w:sz="6" w:space="0"/>
                  </w:tcBorders>
                  <w:shd w:val="clear" w:color="auto" w:fill="auto"/>
                  <w:vAlign w:val="center"/>
                </w:tcPr>
                <w:p w14:paraId="0F4B1534">
                  <w:pPr>
                    <w:jc w:val="center"/>
                    <w:rPr>
                      <w:szCs w:val="21"/>
                      <w:u w:val="single"/>
                    </w:rPr>
                  </w:pPr>
                  <w:r>
                    <w:rPr>
                      <w:szCs w:val="21"/>
                      <w:u w:val="single"/>
                      <w:lang w:bidi="ar"/>
                    </w:rPr>
                    <w:t>%</w:t>
                  </w:r>
                </w:p>
              </w:tc>
              <w:tc>
                <w:tcPr>
                  <w:tcW w:w="1203" w:type="pct"/>
                  <w:tcBorders>
                    <w:top w:val="single" w:color="auto" w:sz="6" w:space="0"/>
                    <w:left w:val="single" w:color="auto" w:sz="6" w:space="0"/>
                    <w:bottom w:val="single" w:color="auto" w:sz="6" w:space="0"/>
                  </w:tcBorders>
                  <w:shd w:val="clear" w:color="auto" w:fill="auto"/>
                  <w:vAlign w:val="center"/>
                </w:tcPr>
                <w:p w14:paraId="4191A9BE">
                  <w:pPr>
                    <w:jc w:val="center"/>
                    <w:rPr>
                      <w:szCs w:val="21"/>
                      <w:u w:val="single"/>
                    </w:rPr>
                  </w:pPr>
                  <w:r>
                    <w:rPr>
                      <w:szCs w:val="21"/>
                      <w:u w:val="single"/>
                      <w:lang w:bidi="ar"/>
                    </w:rPr>
                    <w:t>72.62</w:t>
                  </w:r>
                </w:p>
              </w:tc>
            </w:tr>
            <w:tr w14:paraId="63FA36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420" w:type="pct"/>
                  <w:tcBorders>
                    <w:top w:val="single" w:color="auto" w:sz="6" w:space="0"/>
                    <w:bottom w:val="single" w:color="auto" w:sz="6" w:space="0"/>
                    <w:right w:val="single" w:color="auto" w:sz="6" w:space="0"/>
                  </w:tcBorders>
                  <w:shd w:val="clear" w:color="auto" w:fill="auto"/>
                  <w:vAlign w:val="center"/>
                </w:tcPr>
                <w:p w14:paraId="67893E1D">
                  <w:pPr>
                    <w:jc w:val="center"/>
                    <w:rPr>
                      <w:szCs w:val="21"/>
                      <w:u w:val="single"/>
                    </w:rPr>
                  </w:pPr>
                  <w:r>
                    <w:rPr>
                      <w:szCs w:val="21"/>
                      <w:u w:val="single"/>
                      <w:lang w:bidi="ar"/>
                    </w:rPr>
                    <w:t>5</w:t>
                  </w:r>
                </w:p>
              </w:tc>
              <w:tc>
                <w:tcPr>
                  <w:tcW w:w="603" w:type="pct"/>
                  <w:tcBorders>
                    <w:top w:val="single" w:color="auto" w:sz="6" w:space="0"/>
                    <w:left w:val="single" w:color="auto" w:sz="6" w:space="0"/>
                    <w:bottom w:val="single" w:color="auto" w:sz="6" w:space="0"/>
                    <w:right w:val="single" w:color="auto" w:sz="6" w:space="0"/>
                  </w:tcBorders>
                  <w:shd w:val="clear" w:color="auto" w:fill="auto"/>
                  <w:vAlign w:val="center"/>
                </w:tcPr>
                <w:p w14:paraId="5BFB1EFC">
                  <w:pPr>
                    <w:jc w:val="center"/>
                    <w:rPr>
                      <w:szCs w:val="21"/>
                      <w:u w:val="single"/>
                    </w:rPr>
                  </w:pPr>
                  <w:r>
                    <w:rPr>
                      <w:rFonts w:hint="eastAsia" w:cs="宋体"/>
                      <w:szCs w:val="21"/>
                      <w:u w:val="single"/>
                      <w:lang w:bidi="ar"/>
                    </w:rPr>
                    <w:t>固定碳</w:t>
                  </w:r>
                </w:p>
              </w:tc>
              <w:tc>
                <w:tcPr>
                  <w:tcW w:w="1525" w:type="pct"/>
                  <w:tcBorders>
                    <w:top w:val="single" w:color="auto" w:sz="6" w:space="0"/>
                    <w:left w:val="single" w:color="auto" w:sz="6" w:space="0"/>
                    <w:bottom w:val="single" w:color="auto" w:sz="6" w:space="0"/>
                    <w:right w:val="single" w:color="auto" w:sz="6" w:space="0"/>
                  </w:tcBorders>
                  <w:shd w:val="clear" w:color="auto" w:fill="auto"/>
                  <w:vAlign w:val="center"/>
                </w:tcPr>
                <w:p w14:paraId="2BB8BB48">
                  <w:pPr>
                    <w:jc w:val="center"/>
                    <w:rPr>
                      <w:szCs w:val="21"/>
                      <w:u w:val="single"/>
                    </w:rPr>
                  </w:pPr>
                  <w:r>
                    <w:rPr>
                      <w:rFonts w:hint="eastAsia" w:cs="宋体"/>
                      <w:szCs w:val="21"/>
                      <w:u w:val="single"/>
                      <w:lang w:bidi="ar"/>
                    </w:rPr>
                    <w:t>空干基</w:t>
                  </w:r>
                </w:p>
              </w:tc>
              <w:tc>
                <w:tcPr>
                  <w:tcW w:w="1249" w:type="pct"/>
                  <w:tcBorders>
                    <w:top w:val="single" w:color="auto" w:sz="6" w:space="0"/>
                    <w:left w:val="single" w:color="auto" w:sz="6" w:space="0"/>
                    <w:bottom w:val="single" w:color="auto" w:sz="6" w:space="0"/>
                    <w:right w:val="single" w:color="auto" w:sz="6" w:space="0"/>
                  </w:tcBorders>
                  <w:shd w:val="clear" w:color="auto" w:fill="auto"/>
                  <w:vAlign w:val="center"/>
                </w:tcPr>
                <w:p w14:paraId="5C9F3DA8">
                  <w:pPr>
                    <w:jc w:val="center"/>
                    <w:rPr>
                      <w:szCs w:val="21"/>
                      <w:u w:val="single"/>
                    </w:rPr>
                  </w:pPr>
                </w:p>
              </w:tc>
              <w:tc>
                <w:tcPr>
                  <w:tcW w:w="1203" w:type="pct"/>
                  <w:tcBorders>
                    <w:top w:val="single" w:color="auto" w:sz="6" w:space="0"/>
                    <w:left w:val="single" w:color="auto" w:sz="6" w:space="0"/>
                    <w:bottom w:val="single" w:color="auto" w:sz="6" w:space="0"/>
                  </w:tcBorders>
                  <w:shd w:val="clear" w:color="auto" w:fill="auto"/>
                  <w:vAlign w:val="center"/>
                </w:tcPr>
                <w:p w14:paraId="7DFF3BE9">
                  <w:pPr>
                    <w:jc w:val="center"/>
                    <w:rPr>
                      <w:szCs w:val="21"/>
                      <w:u w:val="single"/>
                    </w:rPr>
                  </w:pPr>
                  <w:r>
                    <w:rPr>
                      <w:szCs w:val="21"/>
                      <w:u w:val="single"/>
                      <w:lang w:bidi="ar"/>
                    </w:rPr>
                    <w:t>18.78</w:t>
                  </w:r>
                </w:p>
              </w:tc>
            </w:tr>
            <w:tr w14:paraId="3457CF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420" w:type="pct"/>
                  <w:tcBorders>
                    <w:top w:val="single" w:color="auto" w:sz="6" w:space="0"/>
                    <w:bottom w:val="single" w:color="auto" w:sz="6" w:space="0"/>
                    <w:right w:val="single" w:color="auto" w:sz="6" w:space="0"/>
                  </w:tcBorders>
                  <w:shd w:val="clear" w:color="auto" w:fill="auto"/>
                  <w:vAlign w:val="center"/>
                </w:tcPr>
                <w:p w14:paraId="218CEB2D">
                  <w:pPr>
                    <w:jc w:val="center"/>
                    <w:rPr>
                      <w:szCs w:val="21"/>
                      <w:u w:val="single"/>
                    </w:rPr>
                  </w:pPr>
                  <w:r>
                    <w:rPr>
                      <w:szCs w:val="21"/>
                      <w:u w:val="single"/>
                      <w:lang w:bidi="ar"/>
                    </w:rPr>
                    <w:t>6</w:t>
                  </w:r>
                </w:p>
              </w:tc>
              <w:tc>
                <w:tcPr>
                  <w:tcW w:w="603" w:type="pct"/>
                  <w:tcBorders>
                    <w:top w:val="single" w:color="auto" w:sz="6" w:space="0"/>
                    <w:left w:val="single" w:color="auto" w:sz="6" w:space="0"/>
                    <w:bottom w:val="single" w:color="auto" w:sz="6" w:space="0"/>
                    <w:right w:val="single" w:color="auto" w:sz="6" w:space="0"/>
                  </w:tcBorders>
                  <w:shd w:val="clear" w:color="auto" w:fill="auto"/>
                  <w:vAlign w:val="center"/>
                </w:tcPr>
                <w:p w14:paraId="032F68D6">
                  <w:pPr>
                    <w:jc w:val="center"/>
                    <w:rPr>
                      <w:szCs w:val="21"/>
                      <w:u w:val="single"/>
                    </w:rPr>
                  </w:pPr>
                  <w:r>
                    <w:rPr>
                      <w:rFonts w:hint="eastAsia" w:cs="宋体"/>
                      <w:szCs w:val="21"/>
                      <w:u w:val="single"/>
                      <w:lang w:bidi="ar"/>
                    </w:rPr>
                    <w:t>全硫</w:t>
                  </w:r>
                </w:p>
              </w:tc>
              <w:tc>
                <w:tcPr>
                  <w:tcW w:w="1525" w:type="pct"/>
                  <w:tcBorders>
                    <w:top w:val="single" w:color="auto" w:sz="6" w:space="0"/>
                    <w:left w:val="single" w:color="auto" w:sz="6" w:space="0"/>
                    <w:bottom w:val="single" w:color="auto" w:sz="6" w:space="0"/>
                    <w:right w:val="single" w:color="auto" w:sz="6" w:space="0"/>
                  </w:tcBorders>
                  <w:shd w:val="clear" w:color="auto" w:fill="auto"/>
                  <w:vAlign w:val="center"/>
                </w:tcPr>
                <w:p w14:paraId="393196E1">
                  <w:pPr>
                    <w:jc w:val="center"/>
                    <w:rPr>
                      <w:szCs w:val="21"/>
                      <w:u w:val="single"/>
                    </w:rPr>
                  </w:pPr>
                  <w:r>
                    <w:rPr>
                      <w:rFonts w:hint="eastAsia" w:cs="宋体"/>
                      <w:szCs w:val="21"/>
                      <w:u w:val="single"/>
                      <w:lang w:bidi="ar"/>
                    </w:rPr>
                    <w:t>空干基</w:t>
                  </w:r>
                </w:p>
              </w:tc>
              <w:tc>
                <w:tcPr>
                  <w:tcW w:w="1249" w:type="pct"/>
                  <w:tcBorders>
                    <w:top w:val="single" w:color="auto" w:sz="6" w:space="0"/>
                    <w:left w:val="single" w:color="auto" w:sz="6" w:space="0"/>
                    <w:bottom w:val="single" w:color="auto" w:sz="6" w:space="0"/>
                    <w:right w:val="single" w:color="auto" w:sz="6" w:space="0"/>
                  </w:tcBorders>
                  <w:shd w:val="clear" w:color="auto" w:fill="auto"/>
                  <w:vAlign w:val="center"/>
                </w:tcPr>
                <w:p w14:paraId="34927A5B">
                  <w:pPr>
                    <w:jc w:val="center"/>
                    <w:rPr>
                      <w:szCs w:val="21"/>
                      <w:u w:val="single"/>
                    </w:rPr>
                  </w:pPr>
                  <w:r>
                    <w:rPr>
                      <w:szCs w:val="21"/>
                      <w:u w:val="single"/>
                      <w:lang w:bidi="ar"/>
                    </w:rPr>
                    <w:t>%</w:t>
                  </w:r>
                </w:p>
              </w:tc>
              <w:tc>
                <w:tcPr>
                  <w:tcW w:w="1203" w:type="pct"/>
                  <w:tcBorders>
                    <w:top w:val="single" w:color="auto" w:sz="6" w:space="0"/>
                    <w:left w:val="single" w:color="auto" w:sz="6" w:space="0"/>
                    <w:bottom w:val="single" w:color="auto" w:sz="6" w:space="0"/>
                  </w:tcBorders>
                  <w:shd w:val="clear" w:color="auto" w:fill="auto"/>
                  <w:vAlign w:val="center"/>
                </w:tcPr>
                <w:p w14:paraId="24396FF1">
                  <w:pPr>
                    <w:jc w:val="center"/>
                    <w:rPr>
                      <w:szCs w:val="21"/>
                      <w:u w:val="single"/>
                    </w:rPr>
                  </w:pPr>
                  <w:r>
                    <w:rPr>
                      <w:szCs w:val="21"/>
                      <w:u w:val="single"/>
                      <w:lang w:bidi="ar"/>
                    </w:rPr>
                    <w:t>0.02</w:t>
                  </w:r>
                </w:p>
              </w:tc>
            </w:tr>
            <w:tr w14:paraId="533DB7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420" w:type="pct"/>
                  <w:vMerge w:val="restart"/>
                  <w:tcBorders>
                    <w:top w:val="single" w:color="auto" w:sz="6" w:space="0"/>
                    <w:bottom w:val="single" w:color="auto" w:sz="12" w:space="0"/>
                    <w:right w:val="single" w:color="auto" w:sz="6" w:space="0"/>
                  </w:tcBorders>
                  <w:shd w:val="clear" w:color="auto" w:fill="auto"/>
                  <w:vAlign w:val="center"/>
                </w:tcPr>
                <w:p w14:paraId="103C249A">
                  <w:pPr>
                    <w:jc w:val="center"/>
                    <w:rPr>
                      <w:szCs w:val="21"/>
                      <w:u w:val="single"/>
                    </w:rPr>
                  </w:pPr>
                  <w:r>
                    <w:rPr>
                      <w:szCs w:val="21"/>
                      <w:u w:val="single"/>
                      <w:lang w:bidi="ar"/>
                    </w:rPr>
                    <w:t>7</w:t>
                  </w:r>
                </w:p>
              </w:tc>
              <w:tc>
                <w:tcPr>
                  <w:tcW w:w="603" w:type="pct"/>
                  <w:vMerge w:val="restart"/>
                  <w:tcBorders>
                    <w:top w:val="single" w:color="auto" w:sz="6" w:space="0"/>
                    <w:left w:val="single" w:color="auto" w:sz="6" w:space="0"/>
                    <w:bottom w:val="single" w:color="auto" w:sz="12" w:space="0"/>
                    <w:right w:val="single" w:color="auto" w:sz="6" w:space="0"/>
                  </w:tcBorders>
                  <w:shd w:val="clear" w:color="auto" w:fill="auto"/>
                  <w:vAlign w:val="center"/>
                </w:tcPr>
                <w:p w14:paraId="5153BAA4">
                  <w:pPr>
                    <w:jc w:val="center"/>
                    <w:rPr>
                      <w:szCs w:val="21"/>
                      <w:u w:val="single"/>
                    </w:rPr>
                  </w:pPr>
                  <w:r>
                    <w:rPr>
                      <w:rFonts w:hint="eastAsia" w:cs="宋体"/>
                      <w:szCs w:val="21"/>
                      <w:u w:val="single"/>
                      <w:lang w:bidi="ar"/>
                    </w:rPr>
                    <w:t>发热量</w:t>
                  </w:r>
                </w:p>
              </w:tc>
              <w:tc>
                <w:tcPr>
                  <w:tcW w:w="1525" w:type="pct"/>
                  <w:tcBorders>
                    <w:top w:val="single" w:color="auto" w:sz="6" w:space="0"/>
                    <w:left w:val="single" w:color="auto" w:sz="6" w:space="0"/>
                    <w:bottom w:val="single" w:color="auto" w:sz="6" w:space="0"/>
                    <w:right w:val="single" w:color="auto" w:sz="6" w:space="0"/>
                  </w:tcBorders>
                  <w:shd w:val="clear" w:color="auto" w:fill="auto"/>
                  <w:vAlign w:val="center"/>
                </w:tcPr>
                <w:p w14:paraId="212B105F">
                  <w:pPr>
                    <w:jc w:val="center"/>
                    <w:rPr>
                      <w:szCs w:val="21"/>
                      <w:u w:val="single"/>
                    </w:rPr>
                  </w:pPr>
                  <w:r>
                    <w:rPr>
                      <w:rFonts w:hint="eastAsia" w:cs="宋体"/>
                      <w:szCs w:val="21"/>
                      <w:u w:val="single"/>
                      <w:lang w:bidi="ar"/>
                    </w:rPr>
                    <w:t>干基高位发热量</w:t>
                  </w:r>
                </w:p>
              </w:tc>
              <w:tc>
                <w:tcPr>
                  <w:tcW w:w="1249" w:type="pct"/>
                  <w:tcBorders>
                    <w:top w:val="single" w:color="auto" w:sz="6" w:space="0"/>
                    <w:left w:val="single" w:color="auto" w:sz="6" w:space="0"/>
                    <w:bottom w:val="single" w:color="auto" w:sz="6" w:space="0"/>
                    <w:right w:val="single" w:color="auto" w:sz="6" w:space="0"/>
                  </w:tcBorders>
                  <w:shd w:val="clear" w:color="auto" w:fill="auto"/>
                  <w:vAlign w:val="center"/>
                </w:tcPr>
                <w:p w14:paraId="20922B16">
                  <w:pPr>
                    <w:jc w:val="center"/>
                    <w:rPr>
                      <w:szCs w:val="21"/>
                      <w:u w:val="single"/>
                    </w:rPr>
                  </w:pPr>
                  <w:r>
                    <w:rPr>
                      <w:szCs w:val="21"/>
                      <w:u w:val="single"/>
                      <w:lang w:bidi="ar"/>
                    </w:rPr>
                    <w:t>MJ/kg</w:t>
                  </w:r>
                  <w:r>
                    <w:rPr>
                      <w:rFonts w:hint="eastAsia" w:cs="宋体"/>
                      <w:szCs w:val="21"/>
                      <w:u w:val="single"/>
                      <w:lang w:bidi="ar"/>
                    </w:rPr>
                    <w:t>（</w:t>
                  </w:r>
                  <w:r>
                    <w:rPr>
                      <w:szCs w:val="21"/>
                      <w:u w:val="single"/>
                      <w:lang w:bidi="ar"/>
                    </w:rPr>
                    <w:t>cal/g</w:t>
                  </w:r>
                  <w:r>
                    <w:rPr>
                      <w:rFonts w:hint="eastAsia" w:cs="宋体"/>
                      <w:szCs w:val="21"/>
                      <w:u w:val="single"/>
                      <w:lang w:bidi="ar"/>
                    </w:rPr>
                    <w:t>）</w:t>
                  </w:r>
                </w:p>
              </w:tc>
              <w:tc>
                <w:tcPr>
                  <w:tcW w:w="1203" w:type="pct"/>
                  <w:tcBorders>
                    <w:top w:val="single" w:color="auto" w:sz="6" w:space="0"/>
                    <w:left w:val="single" w:color="auto" w:sz="6" w:space="0"/>
                    <w:bottom w:val="single" w:color="auto" w:sz="6" w:space="0"/>
                  </w:tcBorders>
                  <w:shd w:val="clear" w:color="auto" w:fill="auto"/>
                  <w:vAlign w:val="center"/>
                </w:tcPr>
                <w:p w14:paraId="1777632C">
                  <w:pPr>
                    <w:jc w:val="center"/>
                    <w:rPr>
                      <w:szCs w:val="21"/>
                      <w:u w:val="single"/>
                    </w:rPr>
                  </w:pPr>
                  <w:r>
                    <w:rPr>
                      <w:szCs w:val="21"/>
                      <w:u w:val="single"/>
                      <w:lang w:bidi="ar"/>
                    </w:rPr>
                    <w:t>18.30</w:t>
                  </w:r>
                  <w:r>
                    <w:rPr>
                      <w:rFonts w:hint="eastAsia" w:cs="宋体"/>
                      <w:szCs w:val="21"/>
                      <w:u w:val="single"/>
                      <w:lang w:bidi="ar"/>
                    </w:rPr>
                    <w:t>（</w:t>
                  </w:r>
                  <w:r>
                    <w:rPr>
                      <w:szCs w:val="21"/>
                      <w:u w:val="single"/>
                      <w:lang w:bidi="ar"/>
                    </w:rPr>
                    <w:t>4375</w:t>
                  </w:r>
                  <w:r>
                    <w:rPr>
                      <w:rFonts w:hint="eastAsia" w:cs="宋体"/>
                      <w:szCs w:val="21"/>
                      <w:u w:val="single"/>
                      <w:lang w:bidi="ar"/>
                    </w:rPr>
                    <w:t>）</w:t>
                  </w:r>
                </w:p>
              </w:tc>
            </w:tr>
            <w:tr w14:paraId="74D9F0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420" w:type="pct"/>
                  <w:vMerge w:val="continue"/>
                  <w:tcBorders>
                    <w:top w:val="single" w:color="auto" w:sz="6" w:space="0"/>
                    <w:bottom w:val="single" w:color="auto" w:sz="12" w:space="0"/>
                    <w:right w:val="single" w:color="auto" w:sz="6" w:space="0"/>
                  </w:tcBorders>
                  <w:shd w:val="clear" w:color="auto" w:fill="auto"/>
                  <w:vAlign w:val="center"/>
                </w:tcPr>
                <w:p w14:paraId="1DB91ECD">
                  <w:pPr>
                    <w:rPr>
                      <w:rFonts w:ascii="Calibri" w:hAnsi="Calibri" w:cs="Calibri"/>
                      <w:sz w:val="20"/>
                      <w:szCs w:val="20"/>
                      <w:u w:val="single"/>
                    </w:rPr>
                  </w:pPr>
                </w:p>
              </w:tc>
              <w:tc>
                <w:tcPr>
                  <w:tcW w:w="603" w:type="pct"/>
                  <w:vMerge w:val="continue"/>
                  <w:tcBorders>
                    <w:top w:val="single" w:color="auto" w:sz="6" w:space="0"/>
                    <w:left w:val="single" w:color="auto" w:sz="6" w:space="0"/>
                    <w:bottom w:val="single" w:color="auto" w:sz="12" w:space="0"/>
                    <w:right w:val="single" w:color="auto" w:sz="6" w:space="0"/>
                  </w:tcBorders>
                  <w:shd w:val="clear" w:color="auto" w:fill="auto"/>
                  <w:vAlign w:val="center"/>
                </w:tcPr>
                <w:p w14:paraId="4D37CCEE">
                  <w:pPr>
                    <w:rPr>
                      <w:rFonts w:ascii="Calibri" w:hAnsi="Calibri" w:cs="Calibri"/>
                      <w:sz w:val="20"/>
                      <w:szCs w:val="20"/>
                      <w:u w:val="single"/>
                    </w:rPr>
                  </w:pPr>
                </w:p>
              </w:tc>
              <w:tc>
                <w:tcPr>
                  <w:tcW w:w="1525" w:type="pct"/>
                  <w:tcBorders>
                    <w:top w:val="single" w:color="auto" w:sz="6" w:space="0"/>
                    <w:left w:val="single" w:color="auto" w:sz="6" w:space="0"/>
                    <w:bottom w:val="single" w:color="auto" w:sz="6" w:space="0"/>
                    <w:right w:val="single" w:color="auto" w:sz="6" w:space="0"/>
                  </w:tcBorders>
                  <w:shd w:val="clear" w:color="auto" w:fill="auto"/>
                  <w:vAlign w:val="center"/>
                </w:tcPr>
                <w:p w14:paraId="596B3B12">
                  <w:pPr>
                    <w:jc w:val="center"/>
                    <w:rPr>
                      <w:szCs w:val="21"/>
                      <w:u w:val="single"/>
                    </w:rPr>
                  </w:pPr>
                  <w:r>
                    <w:rPr>
                      <w:rFonts w:hint="eastAsia" w:cs="宋体"/>
                      <w:szCs w:val="21"/>
                      <w:u w:val="single"/>
                      <w:lang w:bidi="ar"/>
                    </w:rPr>
                    <w:t>空干基低位发热量</w:t>
                  </w:r>
                </w:p>
              </w:tc>
              <w:tc>
                <w:tcPr>
                  <w:tcW w:w="1249" w:type="pct"/>
                  <w:tcBorders>
                    <w:top w:val="single" w:color="auto" w:sz="6" w:space="0"/>
                    <w:left w:val="single" w:color="auto" w:sz="6" w:space="0"/>
                    <w:bottom w:val="single" w:color="auto" w:sz="6" w:space="0"/>
                    <w:right w:val="single" w:color="auto" w:sz="6" w:space="0"/>
                  </w:tcBorders>
                  <w:shd w:val="clear" w:color="auto" w:fill="auto"/>
                  <w:vAlign w:val="center"/>
                </w:tcPr>
                <w:p w14:paraId="3091193A">
                  <w:pPr>
                    <w:jc w:val="center"/>
                    <w:rPr>
                      <w:szCs w:val="21"/>
                      <w:u w:val="single"/>
                    </w:rPr>
                  </w:pPr>
                  <w:r>
                    <w:rPr>
                      <w:szCs w:val="21"/>
                      <w:u w:val="single"/>
                      <w:lang w:bidi="ar"/>
                    </w:rPr>
                    <w:t>MJ/kg</w:t>
                  </w:r>
                  <w:r>
                    <w:rPr>
                      <w:rFonts w:hint="eastAsia" w:cs="宋体"/>
                      <w:szCs w:val="21"/>
                      <w:u w:val="single"/>
                      <w:lang w:bidi="ar"/>
                    </w:rPr>
                    <w:t>（</w:t>
                  </w:r>
                  <w:r>
                    <w:rPr>
                      <w:szCs w:val="21"/>
                      <w:u w:val="single"/>
                      <w:lang w:bidi="ar"/>
                    </w:rPr>
                    <w:t>cal/g</w:t>
                  </w:r>
                  <w:r>
                    <w:rPr>
                      <w:rFonts w:hint="eastAsia" w:cs="宋体"/>
                      <w:szCs w:val="21"/>
                      <w:u w:val="single"/>
                      <w:lang w:bidi="ar"/>
                    </w:rPr>
                    <w:t>）</w:t>
                  </w:r>
                </w:p>
              </w:tc>
              <w:tc>
                <w:tcPr>
                  <w:tcW w:w="1203" w:type="pct"/>
                  <w:tcBorders>
                    <w:top w:val="single" w:color="auto" w:sz="6" w:space="0"/>
                    <w:left w:val="single" w:color="auto" w:sz="6" w:space="0"/>
                    <w:bottom w:val="single" w:color="auto" w:sz="6" w:space="0"/>
                  </w:tcBorders>
                  <w:shd w:val="clear" w:color="auto" w:fill="auto"/>
                  <w:vAlign w:val="center"/>
                </w:tcPr>
                <w:p w14:paraId="00279B6E">
                  <w:pPr>
                    <w:jc w:val="center"/>
                    <w:rPr>
                      <w:szCs w:val="21"/>
                      <w:u w:val="single"/>
                    </w:rPr>
                  </w:pPr>
                  <w:r>
                    <w:rPr>
                      <w:szCs w:val="21"/>
                      <w:u w:val="single"/>
                      <w:lang w:bidi="ar"/>
                    </w:rPr>
                    <w:t>15.79</w:t>
                  </w:r>
                  <w:r>
                    <w:rPr>
                      <w:rFonts w:hint="eastAsia" w:cs="宋体"/>
                      <w:szCs w:val="21"/>
                      <w:u w:val="single"/>
                      <w:lang w:bidi="ar"/>
                    </w:rPr>
                    <w:t>（</w:t>
                  </w:r>
                  <w:r>
                    <w:rPr>
                      <w:szCs w:val="21"/>
                      <w:u w:val="single"/>
                      <w:lang w:bidi="ar"/>
                    </w:rPr>
                    <w:t>3774</w:t>
                  </w:r>
                  <w:r>
                    <w:rPr>
                      <w:rFonts w:hint="eastAsia" w:cs="宋体"/>
                      <w:szCs w:val="21"/>
                      <w:u w:val="single"/>
                      <w:lang w:bidi="ar"/>
                    </w:rPr>
                    <w:t>）</w:t>
                  </w:r>
                </w:p>
              </w:tc>
            </w:tr>
            <w:tr w14:paraId="5CEA00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420" w:type="pct"/>
                  <w:vMerge w:val="continue"/>
                  <w:tcBorders>
                    <w:top w:val="single" w:color="auto" w:sz="6" w:space="0"/>
                    <w:right w:val="single" w:color="auto" w:sz="6" w:space="0"/>
                  </w:tcBorders>
                  <w:shd w:val="clear" w:color="auto" w:fill="auto"/>
                  <w:vAlign w:val="center"/>
                </w:tcPr>
                <w:p w14:paraId="3F579D54">
                  <w:pPr>
                    <w:rPr>
                      <w:rFonts w:ascii="Calibri" w:hAnsi="Calibri" w:cs="Calibri"/>
                      <w:sz w:val="20"/>
                      <w:szCs w:val="20"/>
                      <w:u w:val="single"/>
                    </w:rPr>
                  </w:pPr>
                </w:p>
              </w:tc>
              <w:tc>
                <w:tcPr>
                  <w:tcW w:w="603" w:type="pct"/>
                  <w:vMerge w:val="continue"/>
                  <w:tcBorders>
                    <w:top w:val="single" w:color="auto" w:sz="6" w:space="0"/>
                    <w:left w:val="single" w:color="auto" w:sz="6" w:space="0"/>
                    <w:right w:val="single" w:color="auto" w:sz="6" w:space="0"/>
                  </w:tcBorders>
                  <w:shd w:val="clear" w:color="auto" w:fill="auto"/>
                  <w:vAlign w:val="center"/>
                </w:tcPr>
                <w:p w14:paraId="3483BB86">
                  <w:pPr>
                    <w:rPr>
                      <w:rFonts w:ascii="Calibri" w:hAnsi="Calibri" w:cs="Calibri"/>
                      <w:sz w:val="20"/>
                      <w:szCs w:val="20"/>
                      <w:u w:val="single"/>
                    </w:rPr>
                  </w:pPr>
                </w:p>
              </w:tc>
              <w:tc>
                <w:tcPr>
                  <w:tcW w:w="1525" w:type="pct"/>
                  <w:tcBorders>
                    <w:top w:val="single" w:color="auto" w:sz="6" w:space="0"/>
                    <w:left w:val="single" w:color="auto" w:sz="6" w:space="0"/>
                    <w:right w:val="single" w:color="auto" w:sz="6" w:space="0"/>
                  </w:tcBorders>
                  <w:shd w:val="clear" w:color="auto" w:fill="auto"/>
                  <w:vAlign w:val="center"/>
                </w:tcPr>
                <w:p w14:paraId="1A82CCCB">
                  <w:pPr>
                    <w:jc w:val="center"/>
                    <w:rPr>
                      <w:szCs w:val="21"/>
                      <w:u w:val="single"/>
                    </w:rPr>
                  </w:pPr>
                  <w:r>
                    <w:rPr>
                      <w:rFonts w:hint="eastAsia" w:cs="宋体"/>
                      <w:szCs w:val="21"/>
                      <w:u w:val="single"/>
                      <w:lang w:bidi="ar"/>
                    </w:rPr>
                    <w:t>收到基低位发热量</w:t>
                  </w:r>
                </w:p>
              </w:tc>
              <w:tc>
                <w:tcPr>
                  <w:tcW w:w="1249" w:type="pct"/>
                  <w:tcBorders>
                    <w:top w:val="single" w:color="auto" w:sz="6" w:space="0"/>
                    <w:left w:val="single" w:color="auto" w:sz="6" w:space="0"/>
                    <w:right w:val="single" w:color="auto" w:sz="6" w:space="0"/>
                  </w:tcBorders>
                  <w:shd w:val="clear" w:color="auto" w:fill="auto"/>
                  <w:vAlign w:val="center"/>
                </w:tcPr>
                <w:p w14:paraId="572D5881">
                  <w:pPr>
                    <w:jc w:val="center"/>
                    <w:rPr>
                      <w:szCs w:val="21"/>
                      <w:u w:val="single"/>
                    </w:rPr>
                  </w:pPr>
                  <w:r>
                    <w:rPr>
                      <w:szCs w:val="21"/>
                      <w:u w:val="single"/>
                      <w:lang w:bidi="ar"/>
                    </w:rPr>
                    <w:t>MJ/kg</w:t>
                  </w:r>
                  <w:r>
                    <w:rPr>
                      <w:rFonts w:hint="eastAsia" w:cs="宋体"/>
                      <w:szCs w:val="21"/>
                      <w:u w:val="single"/>
                      <w:lang w:bidi="ar"/>
                    </w:rPr>
                    <w:t>（</w:t>
                  </w:r>
                  <w:r>
                    <w:rPr>
                      <w:szCs w:val="21"/>
                      <w:u w:val="single"/>
                      <w:lang w:bidi="ar"/>
                    </w:rPr>
                    <w:t>cal/g</w:t>
                  </w:r>
                  <w:r>
                    <w:rPr>
                      <w:rFonts w:hint="eastAsia" w:cs="宋体"/>
                      <w:szCs w:val="21"/>
                      <w:u w:val="single"/>
                      <w:lang w:bidi="ar"/>
                    </w:rPr>
                    <w:t>）</w:t>
                  </w:r>
                </w:p>
              </w:tc>
              <w:tc>
                <w:tcPr>
                  <w:tcW w:w="1203" w:type="pct"/>
                  <w:tcBorders>
                    <w:top w:val="single" w:color="auto" w:sz="6" w:space="0"/>
                    <w:left w:val="single" w:color="auto" w:sz="6" w:space="0"/>
                  </w:tcBorders>
                  <w:shd w:val="clear" w:color="auto" w:fill="auto"/>
                  <w:vAlign w:val="center"/>
                </w:tcPr>
                <w:p w14:paraId="1E673A52">
                  <w:pPr>
                    <w:jc w:val="center"/>
                    <w:rPr>
                      <w:szCs w:val="21"/>
                      <w:u w:val="single"/>
                    </w:rPr>
                  </w:pPr>
                  <w:r>
                    <w:rPr>
                      <w:szCs w:val="21"/>
                      <w:u w:val="single"/>
                      <w:lang w:bidi="ar"/>
                    </w:rPr>
                    <w:t>15.63</w:t>
                  </w:r>
                  <w:r>
                    <w:rPr>
                      <w:rFonts w:hint="eastAsia" w:cs="宋体"/>
                      <w:szCs w:val="21"/>
                      <w:u w:val="single"/>
                      <w:lang w:bidi="ar"/>
                    </w:rPr>
                    <w:t>（</w:t>
                  </w:r>
                  <w:r>
                    <w:rPr>
                      <w:szCs w:val="21"/>
                      <w:u w:val="single"/>
                      <w:lang w:bidi="ar"/>
                    </w:rPr>
                    <w:t>3763</w:t>
                  </w:r>
                  <w:r>
                    <w:rPr>
                      <w:rFonts w:hint="eastAsia" w:cs="宋体"/>
                      <w:szCs w:val="21"/>
                      <w:u w:val="single"/>
                      <w:lang w:bidi="ar"/>
                    </w:rPr>
                    <w:t>）</w:t>
                  </w:r>
                </w:p>
              </w:tc>
            </w:tr>
          </w:tbl>
          <w:p w14:paraId="21640B8F">
            <w:pPr>
              <w:adjustRightInd w:val="0"/>
              <w:snapToGrid w:val="0"/>
              <w:spacing w:line="360" w:lineRule="auto"/>
              <w:ind w:firstLine="480" w:firstLineChars="200"/>
              <w:rPr>
                <w:bCs/>
                <w:sz w:val="24"/>
                <w:szCs w:val="24"/>
              </w:rPr>
            </w:pPr>
            <w:r>
              <w:rPr>
                <w:bCs/>
                <w:sz w:val="24"/>
                <w:szCs w:val="24"/>
              </w:rPr>
              <w:t>（5）制冷工程</w:t>
            </w:r>
          </w:p>
          <w:p w14:paraId="069E8AA9">
            <w:pPr>
              <w:spacing w:line="360" w:lineRule="auto"/>
              <w:ind w:firstLine="480" w:firstLineChars="200"/>
              <w:rPr>
                <w:bCs/>
                <w:sz w:val="24"/>
              </w:rPr>
            </w:pPr>
            <w:r>
              <w:rPr>
                <w:bCs/>
                <w:sz w:val="24"/>
              </w:rPr>
              <w:t>冻库、冷藏室制冷剂使用的是R507a。</w:t>
            </w:r>
            <w:r>
              <w:rPr>
                <w:bCs/>
                <w:sz w:val="24"/>
                <w:szCs w:val="24"/>
              </w:rPr>
              <w:t>本项目不储存制冷剂，添加制冷剂时请专业机构添加。</w:t>
            </w:r>
          </w:p>
          <w:p w14:paraId="184385EA">
            <w:pPr>
              <w:adjustRightInd w:val="0"/>
              <w:snapToGrid w:val="0"/>
              <w:spacing w:line="360" w:lineRule="auto"/>
              <w:ind w:firstLine="482" w:firstLineChars="200"/>
              <w:rPr>
                <w:b/>
                <w:sz w:val="24"/>
                <w:szCs w:val="24"/>
              </w:rPr>
            </w:pPr>
            <w:bookmarkStart w:id="17" w:name="_Hlk135216410"/>
            <w:r>
              <w:rPr>
                <w:b/>
                <w:sz w:val="24"/>
                <w:szCs w:val="24"/>
              </w:rPr>
              <w:t>全厂水平衡分析：</w:t>
            </w:r>
          </w:p>
          <w:p w14:paraId="39693B07">
            <w:pPr>
              <w:tabs>
                <w:tab w:val="left" w:pos="8137"/>
              </w:tabs>
              <w:adjustRightInd w:val="0"/>
              <w:snapToGrid w:val="0"/>
              <w:spacing w:line="360" w:lineRule="auto"/>
              <w:ind w:firstLine="482" w:firstLineChars="200"/>
              <w:rPr>
                <w:b/>
                <w:sz w:val="24"/>
                <w:szCs w:val="24"/>
              </w:rPr>
            </w:pPr>
            <w:r>
              <w:rPr>
                <w:b/>
                <w:sz w:val="24"/>
                <w:szCs w:val="24"/>
              </w:rPr>
              <w:t>生活用水和排水：</w:t>
            </w:r>
            <w:r>
              <w:rPr>
                <w:bCs/>
                <w:sz w:val="24"/>
                <w:szCs w:val="24"/>
              </w:rPr>
              <w:t>项目职工定员</w:t>
            </w:r>
            <w:r>
              <w:rPr>
                <w:rFonts w:hint="eastAsia"/>
                <w:bCs/>
                <w:sz w:val="24"/>
                <w:szCs w:val="24"/>
              </w:rPr>
              <w:t>8</w:t>
            </w:r>
            <w:r>
              <w:rPr>
                <w:bCs/>
                <w:sz w:val="24"/>
                <w:szCs w:val="24"/>
              </w:rPr>
              <w:t>0人，年工作时间为300天。参照《湖南省用水定额》（DB43T388-2020），厂区内平均每人每天的用水量按100L计，生活用水为</w:t>
            </w:r>
            <w:r>
              <w:rPr>
                <w:rFonts w:hint="eastAsia"/>
                <w:bCs/>
                <w:sz w:val="24"/>
                <w:szCs w:val="24"/>
              </w:rPr>
              <w:t>8</w:t>
            </w:r>
            <w:r>
              <w:rPr>
                <w:bCs/>
                <w:sz w:val="24"/>
                <w:szCs w:val="24"/>
              </w:rPr>
              <w:t>m</w:t>
            </w:r>
            <w:r>
              <w:rPr>
                <w:bCs/>
                <w:sz w:val="24"/>
                <w:szCs w:val="24"/>
                <w:vertAlign w:val="superscript"/>
              </w:rPr>
              <w:t>3</w:t>
            </w:r>
            <w:r>
              <w:rPr>
                <w:bCs/>
                <w:sz w:val="24"/>
                <w:szCs w:val="24"/>
              </w:rPr>
              <w:t>/d（</w:t>
            </w:r>
            <w:r>
              <w:rPr>
                <w:rFonts w:hint="eastAsia"/>
                <w:bCs/>
                <w:sz w:val="24"/>
                <w:szCs w:val="24"/>
              </w:rPr>
              <w:t>24</w:t>
            </w:r>
            <w:r>
              <w:rPr>
                <w:bCs/>
                <w:sz w:val="24"/>
                <w:szCs w:val="24"/>
              </w:rPr>
              <w:t>00m</w:t>
            </w:r>
            <w:r>
              <w:rPr>
                <w:bCs/>
                <w:sz w:val="24"/>
                <w:szCs w:val="24"/>
                <w:vertAlign w:val="superscript"/>
              </w:rPr>
              <w:t>3</w:t>
            </w:r>
            <w:r>
              <w:rPr>
                <w:bCs/>
                <w:sz w:val="24"/>
                <w:szCs w:val="24"/>
              </w:rPr>
              <w:t>/a）。生活污水排放系数取0.8，则生活污水产生量为</w:t>
            </w:r>
            <w:r>
              <w:rPr>
                <w:rFonts w:hint="eastAsia"/>
                <w:bCs/>
                <w:sz w:val="24"/>
                <w:szCs w:val="24"/>
              </w:rPr>
              <w:t>6.4</w:t>
            </w:r>
            <w:r>
              <w:rPr>
                <w:bCs/>
                <w:sz w:val="24"/>
                <w:szCs w:val="24"/>
              </w:rPr>
              <w:t>m</w:t>
            </w:r>
            <w:r>
              <w:rPr>
                <w:bCs/>
                <w:sz w:val="24"/>
                <w:szCs w:val="24"/>
                <w:vertAlign w:val="superscript"/>
              </w:rPr>
              <w:t>3</w:t>
            </w:r>
            <w:r>
              <w:rPr>
                <w:bCs/>
                <w:sz w:val="24"/>
                <w:szCs w:val="24"/>
              </w:rPr>
              <w:t>/d（</w:t>
            </w:r>
            <w:r>
              <w:rPr>
                <w:rFonts w:hint="eastAsia"/>
                <w:bCs/>
                <w:sz w:val="24"/>
                <w:szCs w:val="24"/>
              </w:rPr>
              <w:t>1920</w:t>
            </w:r>
            <w:r>
              <w:rPr>
                <w:bCs/>
                <w:sz w:val="24"/>
                <w:szCs w:val="24"/>
              </w:rPr>
              <w:t>m</w:t>
            </w:r>
            <w:r>
              <w:rPr>
                <w:bCs/>
                <w:sz w:val="24"/>
                <w:szCs w:val="24"/>
                <w:vertAlign w:val="superscript"/>
              </w:rPr>
              <w:t>3</w:t>
            </w:r>
            <w:r>
              <w:rPr>
                <w:bCs/>
                <w:sz w:val="24"/>
                <w:szCs w:val="24"/>
              </w:rPr>
              <w:t>/a），生活污水经隔油池、化粪池预处理后排入市政污水管网，经安化县污水处理厂深度处理，排入资江。</w:t>
            </w:r>
          </w:p>
          <w:p w14:paraId="7B81C167">
            <w:pPr>
              <w:adjustRightInd w:val="0"/>
              <w:snapToGrid w:val="0"/>
              <w:spacing w:line="360" w:lineRule="auto"/>
              <w:ind w:firstLine="482" w:firstLineChars="200"/>
              <w:rPr>
                <w:bCs/>
                <w:sz w:val="24"/>
                <w:szCs w:val="24"/>
              </w:rPr>
            </w:pPr>
            <w:r>
              <w:rPr>
                <w:b/>
                <w:sz w:val="24"/>
                <w:szCs w:val="24"/>
              </w:rPr>
              <w:t>生产用水和排水：</w:t>
            </w:r>
            <w:r>
              <w:rPr>
                <w:bCs/>
                <w:sz w:val="24"/>
                <w:szCs w:val="24"/>
              </w:rPr>
              <w:t>本项目生产用水包括肉类卤制品预处理用水、卤制用水、配汤用水、非即食性生制食品预处理用水、黄豆浸泡用水、锅炉用水、洗袋用水、设备清洗用水、地面清洁用水</w:t>
            </w:r>
            <w:r>
              <w:rPr>
                <w:rFonts w:hint="eastAsia"/>
                <w:bCs/>
                <w:sz w:val="24"/>
                <w:szCs w:val="24"/>
              </w:rPr>
              <w:t>、检验用水</w:t>
            </w:r>
            <w:r>
              <w:rPr>
                <w:bCs/>
                <w:sz w:val="24"/>
                <w:szCs w:val="24"/>
              </w:rPr>
              <w:t>。</w:t>
            </w:r>
          </w:p>
          <w:p w14:paraId="48E3CD0C">
            <w:pPr>
              <w:snapToGrid w:val="0"/>
              <w:spacing w:line="360" w:lineRule="auto"/>
              <w:ind w:left="832" w:hanging="360"/>
              <w:rPr>
                <w:b/>
                <w:sz w:val="24"/>
              </w:rPr>
            </w:pPr>
            <w:bookmarkStart w:id="18" w:name="OLE_LINK75"/>
            <w:bookmarkStart w:id="19" w:name="OLE_LINK74"/>
            <w:r>
              <w:rPr>
                <w:rFonts w:ascii="宋体" w:hAnsi="宋体" w:cs="宋体"/>
                <w:b/>
                <w:sz w:val="24"/>
              </w:rPr>
              <w:t>①</w:t>
            </w:r>
            <w:r>
              <w:rPr>
                <w:b/>
                <w:sz w:val="24"/>
              </w:rPr>
              <w:t>肉类卤制品</w:t>
            </w:r>
            <w:bookmarkEnd w:id="18"/>
            <w:bookmarkEnd w:id="19"/>
            <w:r>
              <w:rPr>
                <w:b/>
                <w:sz w:val="24"/>
              </w:rPr>
              <w:t>预处理用水及排水</w:t>
            </w:r>
          </w:p>
          <w:p w14:paraId="59CF79D6">
            <w:pPr>
              <w:spacing w:line="360" w:lineRule="auto"/>
              <w:ind w:firstLine="470" w:firstLineChars="196"/>
              <w:rPr>
                <w:sz w:val="24"/>
              </w:rPr>
            </w:pPr>
            <w:r>
              <w:rPr>
                <w:bCs/>
                <w:sz w:val="24"/>
              </w:rPr>
              <w:t>根据建设单位提供的资料，类比同类型项目《湖南三公仔食品有限公司年产14000吨肉制品、2000吨鱼产品、3000吨豆制品项目》可知；肉类卤制品预处理用水包括解冻（含清洗）、焯水。解冻、焯水用水量分别为2m</w:t>
            </w:r>
            <w:r>
              <w:rPr>
                <w:bCs/>
                <w:sz w:val="24"/>
                <w:vertAlign w:val="superscript"/>
              </w:rPr>
              <w:t>3</w:t>
            </w:r>
            <w:r>
              <w:rPr>
                <w:bCs/>
                <w:sz w:val="24"/>
              </w:rPr>
              <w:t>/t原料、1.5m</w:t>
            </w:r>
            <w:r>
              <w:rPr>
                <w:bCs/>
                <w:sz w:val="24"/>
                <w:vertAlign w:val="superscript"/>
              </w:rPr>
              <w:t>3</w:t>
            </w:r>
            <w:r>
              <w:rPr>
                <w:bCs/>
                <w:sz w:val="24"/>
              </w:rPr>
              <w:t>/t原料。本项目肉类卤制品原料12000吨，因此本项目肉类制品解冻清洗用水量为24000t/a（80t/d），</w:t>
            </w:r>
            <w:r>
              <w:rPr>
                <w:sz w:val="24"/>
              </w:rPr>
              <w:t>产污系数按0.9计算，则</w:t>
            </w:r>
            <w:r>
              <w:rPr>
                <w:bCs/>
                <w:sz w:val="24"/>
              </w:rPr>
              <w:t>肉类原料解冻清洗</w:t>
            </w:r>
            <w:r>
              <w:rPr>
                <w:sz w:val="24"/>
              </w:rPr>
              <w:t>废水产生量为21600t/a（72</w:t>
            </w:r>
            <w:r>
              <w:rPr>
                <w:bCs/>
                <w:sz w:val="24"/>
              </w:rPr>
              <w:t>t/d</w:t>
            </w:r>
            <w:r>
              <w:rPr>
                <w:sz w:val="24"/>
              </w:rPr>
              <w:t>）；</w:t>
            </w:r>
            <w:r>
              <w:rPr>
                <w:bCs/>
                <w:sz w:val="24"/>
              </w:rPr>
              <w:t>肉类卤制品原料需要焯水的有12000吨，</w:t>
            </w:r>
            <w:r>
              <w:rPr>
                <w:sz w:val="24"/>
              </w:rPr>
              <w:t>焯水用水为</w:t>
            </w:r>
            <w:r>
              <w:rPr>
                <w:bCs/>
                <w:sz w:val="24"/>
              </w:rPr>
              <w:t>18000t/a（60t/d），</w:t>
            </w:r>
            <w:r>
              <w:rPr>
                <w:sz w:val="24"/>
              </w:rPr>
              <w:t>产污系数按0.9计算，则肉制品焯水废水量为</w:t>
            </w:r>
            <w:r>
              <w:rPr>
                <w:bCs/>
                <w:sz w:val="24"/>
              </w:rPr>
              <w:t>16200t/a（54t/d），</w:t>
            </w:r>
            <w:r>
              <w:rPr>
                <w:sz w:val="24"/>
              </w:rPr>
              <w:t>依托湖南华益科技发展有限公司（原名湖南华益食品有限公司）自建污水处理设施处理。原料为冷冻状态，</w:t>
            </w:r>
            <w:r>
              <w:rPr>
                <w:bCs/>
                <w:sz w:val="24"/>
              </w:rPr>
              <w:t>肉类卤制品</w:t>
            </w:r>
            <w:r>
              <w:rPr>
                <w:sz w:val="24"/>
              </w:rPr>
              <w:t>原料表面含冰衣或冰霜≤5%，则原料带入水分为600m</w:t>
            </w:r>
            <w:r>
              <w:rPr>
                <w:sz w:val="24"/>
                <w:vertAlign w:val="superscript"/>
              </w:rPr>
              <w:t>3</w:t>
            </w:r>
            <w:r>
              <w:rPr>
                <w:sz w:val="24"/>
              </w:rPr>
              <w:t>/a（2m</w:t>
            </w:r>
            <w:r>
              <w:rPr>
                <w:sz w:val="24"/>
                <w:vertAlign w:val="superscript"/>
              </w:rPr>
              <w:t>3</w:t>
            </w:r>
            <w:r>
              <w:rPr>
                <w:sz w:val="24"/>
              </w:rPr>
              <w:t>/d），则</w:t>
            </w:r>
            <w:r>
              <w:rPr>
                <w:bCs/>
                <w:sz w:val="24"/>
              </w:rPr>
              <w:t>肉类卤制品</w:t>
            </w:r>
            <w:r>
              <w:rPr>
                <w:sz w:val="24"/>
              </w:rPr>
              <w:t>预处理总排水量为128m</w:t>
            </w:r>
            <w:r>
              <w:rPr>
                <w:sz w:val="24"/>
                <w:vertAlign w:val="superscript"/>
              </w:rPr>
              <w:t>3</w:t>
            </w:r>
            <w:r>
              <w:rPr>
                <w:sz w:val="24"/>
              </w:rPr>
              <w:t>/d（38400m</w:t>
            </w:r>
            <w:r>
              <w:rPr>
                <w:sz w:val="24"/>
                <w:vertAlign w:val="superscript"/>
              </w:rPr>
              <w:t>3</w:t>
            </w:r>
            <w:r>
              <w:rPr>
                <w:sz w:val="24"/>
              </w:rPr>
              <w:t>/a）。</w:t>
            </w:r>
          </w:p>
          <w:p w14:paraId="0415D018">
            <w:pPr>
              <w:adjustRightInd w:val="0"/>
              <w:spacing w:line="360" w:lineRule="auto"/>
              <w:ind w:left="832" w:hanging="360"/>
              <w:rPr>
                <w:b/>
                <w:sz w:val="24"/>
                <w:szCs w:val="24"/>
              </w:rPr>
            </w:pPr>
            <w:r>
              <w:rPr>
                <w:rFonts w:ascii="宋体" w:hAnsi="宋体" w:cs="宋体"/>
                <w:b/>
                <w:sz w:val="24"/>
                <w:szCs w:val="24"/>
              </w:rPr>
              <w:t>②</w:t>
            </w:r>
            <w:r>
              <w:rPr>
                <w:b/>
                <w:sz w:val="24"/>
                <w:szCs w:val="24"/>
              </w:rPr>
              <w:t>卤制用水</w:t>
            </w:r>
            <w:r>
              <w:rPr>
                <w:b/>
                <w:bCs/>
                <w:sz w:val="24"/>
                <w:szCs w:val="24"/>
              </w:rPr>
              <w:t>及排水</w:t>
            </w:r>
          </w:p>
          <w:p w14:paraId="120051BD">
            <w:pPr>
              <w:snapToGrid w:val="0"/>
              <w:spacing w:line="360" w:lineRule="auto"/>
              <w:ind w:firstLine="470" w:firstLineChars="196"/>
              <w:rPr>
                <w:bCs/>
                <w:sz w:val="24"/>
              </w:rPr>
            </w:pPr>
            <w:r>
              <w:rPr>
                <w:bCs/>
                <w:sz w:val="24"/>
                <w:szCs w:val="24"/>
              </w:rPr>
              <w:t>卤汁熬制过程将各类卤料包括草果、八角、香叶、桂枝等按一定比例进行熬煮成卤汁，卤制过程中，卤汁时间越长越好，一般不更换，</w:t>
            </w:r>
            <w:r>
              <w:rPr>
                <w:sz w:val="24"/>
                <w:szCs w:val="28"/>
              </w:rPr>
              <w:t>本项目有</w:t>
            </w:r>
            <w:r>
              <w:rPr>
                <w:bCs/>
                <w:sz w:val="24"/>
                <w:szCs w:val="24"/>
              </w:rPr>
              <w:t>12300t/a</w:t>
            </w:r>
            <w:r>
              <w:rPr>
                <w:sz w:val="24"/>
                <w:szCs w:val="28"/>
              </w:rPr>
              <w:t>产品生产过程均需进行卤制，卤制过程中卤水由于蒸发和进入产品，需定期补充。根据企业实际生产经验，新鲜水补充量约为</w:t>
            </w:r>
            <w:r>
              <w:rPr>
                <w:rFonts w:hint="eastAsia"/>
                <w:sz w:val="24"/>
                <w:szCs w:val="28"/>
              </w:rPr>
              <w:t>1</w:t>
            </w:r>
            <w:r>
              <w:rPr>
                <w:sz w:val="24"/>
                <w:szCs w:val="28"/>
              </w:rPr>
              <w:t>m</w:t>
            </w:r>
            <w:r>
              <w:rPr>
                <w:sz w:val="24"/>
                <w:szCs w:val="28"/>
                <w:vertAlign w:val="superscript"/>
              </w:rPr>
              <w:t>3</w:t>
            </w:r>
            <w:r>
              <w:rPr>
                <w:sz w:val="24"/>
                <w:szCs w:val="28"/>
              </w:rPr>
              <w:t>/d，合计生产300天/年，故卤水补充总用水量为</w:t>
            </w:r>
            <w:r>
              <w:rPr>
                <w:rFonts w:hint="eastAsia"/>
                <w:sz w:val="24"/>
                <w:szCs w:val="28"/>
              </w:rPr>
              <w:t>300</w:t>
            </w:r>
            <w:r>
              <w:rPr>
                <w:sz w:val="24"/>
                <w:szCs w:val="28"/>
              </w:rPr>
              <w:t>m</w:t>
            </w:r>
            <w:r>
              <w:rPr>
                <w:sz w:val="24"/>
                <w:szCs w:val="28"/>
                <w:vertAlign w:val="superscript"/>
              </w:rPr>
              <w:t>3</w:t>
            </w:r>
            <w:r>
              <w:rPr>
                <w:sz w:val="24"/>
                <w:szCs w:val="28"/>
              </w:rPr>
              <w:t>/a</w:t>
            </w:r>
            <w:r>
              <w:rPr>
                <w:sz w:val="24"/>
              </w:rPr>
              <w:t>。</w:t>
            </w:r>
          </w:p>
          <w:p w14:paraId="5BF6BC04">
            <w:pPr>
              <w:snapToGrid w:val="0"/>
              <w:spacing w:line="360" w:lineRule="auto"/>
              <w:ind w:left="832" w:hanging="360"/>
              <w:rPr>
                <w:b/>
                <w:sz w:val="24"/>
              </w:rPr>
            </w:pPr>
            <w:r>
              <w:rPr>
                <w:rFonts w:ascii="宋体" w:hAnsi="宋体" w:cs="宋体"/>
                <w:b/>
                <w:sz w:val="24"/>
              </w:rPr>
              <w:t>③</w:t>
            </w:r>
            <w:r>
              <w:rPr>
                <w:b/>
                <w:sz w:val="24"/>
              </w:rPr>
              <w:t>配汤用水</w:t>
            </w:r>
            <w:r>
              <w:rPr>
                <w:b/>
                <w:bCs/>
                <w:sz w:val="24"/>
                <w:szCs w:val="24"/>
              </w:rPr>
              <w:t>及排水</w:t>
            </w:r>
          </w:p>
          <w:p w14:paraId="28FE698C">
            <w:pPr>
              <w:snapToGrid w:val="0"/>
              <w:spacing w:line="360" w:lineRule="auto"/>
              <w:ind w:firstLine="470" w:firstLineChars="196"/>
              <w:rPr>
                <w:bCs/>
                <w:sz w:val="24"/>
              </w:rPr>
            </w:pPr>
            <w:r>
              <w:rPr>
                <w:sz w:val="24"/>
              </w:rPr>
              <w:t>项目380g规格的爆胶猪蹄</w:t>
            </w:r>
            <w:r>
              <w:rPr>
                <w:bCs/>
                <w:sz w:val="24"/>
              </w:rPr>
              <w:t>产品需加入筒子骨汤进行调味。</w:t>
            </w:r>
            <w:r>
              <w:rPr>
                <w:spacing w:val="8"/>
                <w:sz w:val="24"/>
              </w:rPr>
              <w:t>根据建设单位提供资料可知</w:t>
            </w:r>
            <w:r>
              <w:rPr>
                <w:bCs/>
                <w:sz w:val="24"/>
              </w:rPr>
              <w:t>，筒子骨汤与水的比例为1:50，进行熬制，筒子骨汤年用量为182t/a，则配汤用水量约为30.33</w:t>
            </w:r>
            <w:r>
              <w:rPr>
                <w:sz w:val="24"/>
                <w:szCs w:val="28"/>
              </w:rPr>
              <w:t xml:space="preserve"> m</w:t>
            </w:r>
            <w:r>
              <w:rPr>
                <w:sz w:val="24"/>
                <w:szCs w:val="28"/>
                <w:vertAlign w:val="superscript"/>
              </w:rPr>
              <w:t>3</w:t>
            </w:r>
            <w:r>
              <w:rPr>
                <w:sz w:val="24"/>
                <w:szCs w:val="28"/>
              </w:rPr>
              <w:t>/d</w:t>
            </w:r>
            <w:r>
              <w:rPr>
                <w:bCs/>
                <w:sz w:val="24"/>
              </w:rPr>
              <w:t>（9100</w:t>
            </w:r>
            <w:r>
              <w:rPr>
                <w:sz w:val="24"/>
                <w:szCs w:val="28"/>
              </w:rPr>
              <w:t xml:space="preserve"> m</w:t>
            </w:r>
            <w:r>
              <w:rPr>
                <w:sz w:val="24"/>
                <w:szCs w:val="28"/>
                <w:vertAlign w:val="superscript"/>
              </w:rPr>
              <w:t>3</w:t>
            </w:r>
            <w:r>
              <w:rPr>
                <w:sz w:val="24"/>
                <w:szCs w:val="28"/>
              </w:rPr>
              <w:t>/a</w:t>
            </w:r>
            <w:r>
              <w:rPr>
                <w:bCs/>
                <w:sz w:val="24"/>
              </w:rPr>
              <w:t>），熬制过程蒸发损耗量按20%计，则损耗1820</w:t>
            </w:r>
            <w:r>
              <w:rPr>
                <w:sz w:val="24"/>
                <w:szCs w:val="28"/>
              </w:rPr>
              <w:t xml:space="preserve"> m</w:t>
            </w:r>
            <w:r>
              <w:rPr>
                <w:sz w:val="24"/>
                <w:szCs w:val="28"/>
                <w:vertAlign w:val="superscript"/>
              </w:rPr>
              <w:t>3</w:t>
            </w:r>
            <w:r>
              <w:rPr>
                <w:sz w:val="24"/>
                <w:szCs w:val="28"/>
              </w:rPr>
              <w:t>/a</w:t>
            </w:r>
            <w:r>
              <w:rPr>
                <w:bCs/>
                <w:sz w:val="24"/>
              </w:rPr>
              <w:t>（6.07</w:t>
            </w:r>
            <w:r>
              <w:rPr>
                <w:sz w:val="24"/>
                <w:szCs w:val="28"/>
              </w:rPr>
              <w:t xml:space="preserve"> m</w:t>
            </w:r>
            <w:r>
              <w:rPr>
                <w:sz w:val="24"/>
                <w:szCs w:val="28"/>
                <w:vertAlign w:val="superscript"/>
              </w:rPr>
              <w:t>3</w:t>
            </w:r>
            <w:r>
              <w:rPr>
                <w:sz w:val="24"/>
                <w:szCs w:val="28"/>
              </w:rPr>
              <w:t>/d</w:t>
            </w:r>
            <w:r>
              <w:rPr>
                <w:bCs/>
                <w:sz w:val="24"/>
              </w:rPr>
              <w:t>），其余部分加入</w:t>
            </w:r>
            <w:r>
              <w:rPr>
                <w:sz w:val="24"/>
              </w:rPr>
              <w:t>爆胶猪蹄</w:t>
            </w:r>
            <w:r>
              <w:rPr>
                <w:bCs/>
                <w:sz w:val="24"/>
              </w:rPr>
              <w:t>产品中。</w:t>
            </w:r>
          </w:p>
          <w:p w14:paraId="054B7E39">
            <w:pPr>
              <w:snapToGrid w:val="0"/>
              <w:spacing w:line="360" w:lineRule="auto"/>
              <w:ind w:left="832" w:hanging="360"/>
              <w:rPr>
                <w:b/>
                <w:sz w:val="24"/>
              </w:rPr>
            </w:pPr>
            <w:bookmarkStart w:id="20" w:name="OLE_LINK72"/>
            <w:bookmarkStart w:id="21" w:name="OLE_LINK73"/>
            <w:bookmarkStart w:id="22" w:name="OLE_LINK77"/>
            <w:r>
              <w:rPr>
                <w:rFonts w:ascii="宋体" w:hAnsi="宋体" w:cs="宋体"/>
                <w:b/>
                <w:sz w:val="24"/>
              </w:rPr>
              <w:t>④</w:t>
            </w:r>
            <w:r>
              <w:rPr>
                <w:b/>
                <w:bCs/>
                <w:sz w:val="24"/>
                <w:szCs w:val="24"/>
              </w:rPr>
              <w:t>非即食性生制食品</w:t>
            </w:r>
            <w:bookmarkEnd w:id="20"/>
            <w:bookmarkEnd w:id="21"/>
            <w:bookmarkEnd w:id="22"/>
            <w:r>
              <w:rPr>
                <w:b/>
                <w:bCs/>
                <w:sz w:val="24"/>
                <w:szCs w:val="24"/>
              </w:rPr>
              <w:t>预处理用水及排水</w:t>
            </w:r>
          </w:p>
          <w:p w14:paraId="04927B4B">
            <w:pPr>
              <w:spacing w:line="360" w:lineRule="auto"/>
              <w:ind w:firstLine="501" w:firstLineChars="196"/>
              <w:rPr>
                <w:sz w:val="24"/>
              </w:rPr>
            </w:pPr>
            <w:r>
              <w:rPr>
                <w:spacing w:val="8"/>
                <w:sz w:val="24"/>
              </w:rPr>
              <w:t>根据建设单位提供资料可知</w:t>
            </w:r>
            <w:r>
              <w:rPr>
                <w:sz w:val="24"/>
              </w:rPr>
              <w:t>，项目</w:t>
            </w:r>
            <w:bookmarkStart w:id="23" w:name="OLE_LINK43"/>
            <w:bookmarkStart w:id="24" w:name="OLE_LINK44"/>
            <w:r>
              <w:rPr>
                <w:sz w:val="24"/>
              </w:rPr>
              <w:t>非即食性生制食品</w:t>
            </w:r>
            <w:bookmarkEnd w:id="23"/>
            <w:bookmarkEnd w:id="24"/>
            <w:r>
              <w:rPr>
                <w:sz w:val="24"/>
              </w:rPr>
              <w:t>为生猪蹄块和剁椒鱼头，年产量分别为3000吨、500t。</w:t>
            </w:r>
            <w:r>
              <w:rPr>
                <w:bCs/>
                <w:sz w:val="24"/>
              </w:rPr>
              <w:t>根据建设单位提供的资料，类比同类型项目可知；</w:t>
            </w:r>
            <w:r>
              <w:rPr>
                <w:sz w:val="24"/>
              </w:rPr>
              <w:t>非即食性生制食品</w:t>
            </w:r>
            <w:r>
              <w:rPr>
                <w:bCs/>
                <w:sz w:val="24"/>
              </w:rPr>
              <w:t>预处理用水主要为浸泡（浸泡包括进行解冻和清洗），浸泡用水量为2m</w:t>
            </w:r>
            <w:r>
              <w:rPr>
                <w:bCs/>
                <w:sz w:val="24"/>
                <w:vertAlign w:val="superscript"/>
              </w:rPr>
              <w:t>3</w:t>
            </w:r>
            <w:r>
              <w:rPr>
                <w:bCs/>
                <w:sz w:val="24"/>
              </w:rPr>
              <w:t>/t原料；本项目</w:t>
            </w:r>
            <w:r>
              <w:rPr>
                <w:sz w:val="24"/>
              </w:rPr>
              <w:t>非即食性生制食品</w:t>
            </w:r>
            <w:r>
              <w:rPr>
                <w:bCs/>
                <w:sz w:val="24"/>
              </w:rPr>
              <w:t>原料总计3500t/a，则</w:t>
            </w:r>
            <w:r>
              <w:rPr>
                <w:sz w:val="24"/>
              </w:rPr>
              <w:t>非即食性生制食品</w:t>
            </w:r>
            <w:r>
              <w:rPr>
                <w:bCs/>
                <w:sz w:val="24"/>
              </w:rPr>
              <w:t>预处理用水为7000m</w:t>
            </w:r>
            <w:r>
              <w:rPr>
                <w:bCs/>
                <w:sz w:val="24"/>
                <w:vertAlign w:val="superscript"/>
              </w:rPr>
              <w:t>3</w:t>
            </w:r>
            <w:r>
              <w:rPr>
                <w:bCs/>
                <w:sz w:val="24"/>
              </w:rPr>
              <w:t>/a（23.33m</w:t>
            </w:r>
            <w:r>
              <w:rPr>
                <w:bCs/>
                <w:sz w:val="24"/>
                <w:vertAlign w:val="superscript"/>
              </w:rPr>
              <w:t>3</w:t>
            </w:r>
            <w:r>
              <w:rPr>
                <w:bCs/>
                <w:sz w:val="24"/>
              </w:rPr>
              <w:t>/d），排水系数取0.9，则年废水量6300m</w:t>
            </w:r>
            <w:r>
              <w:rPr>
                <w:bCs/>
                <w:sz w:val="24"/>
                <w:vertAlign w:val="superscript"/>
              </w:rPr>
              <w:t>3</w:t>
            </w:r>
            <w:r>
              <w:rPr>
                <w:bCs/>
                <w:sz w:val="24"/>
              </w:rPr>
              <w:t>/a（21m</w:t>
            </w:r>
            <w:r>
              <w:rPr>
                <w:bCs/>
                <w:sz w:val="24"/>
                <w:vertAlign w:val="superscript"/>
              </w:rPr>
              <w:t>3</w:t>
            </w:r>
            <w:r>
              <w:rPr>
                <w:bCs/>
                <w:sz w:val="24"/>
              </w:rPr>
              <w:t>/d）。</w:t>
            </w:r>
            <w:r>
              <w:rPr>
                <w:sz w:val="24"/>
              </w:rPr>
              <w:t>原料表面含冰衣或冰霜≤5%，则原料带入水分为175m</w:t>
            </w:r>
            <w:r>
              <w:rPr>
                <w:sz w:val="24"/>
                <w:vertAlign w:val="superscript"/>
              </w:rPr>
              <w:t>3</w:t>
            </w:r>
            <w:r>
              <w:rPr>
                <w:sz w:val="24"/>
              </w:rPr>
              <w:t>/a（0.58m</w:t>
            </w:r>
            <w:r>
              <w:rPr>
                <w:sz w:val="24"/>
                <w:vertAlign w:val="superscript"/>
              </w:rPr>
              <w:t>3</w:t>
            </w:r>
            <w:r>
              <w:rPr>
                <w:sz w:val="24"/>
              </w:rPr>
              <w:t>/d），则非即食性生制食品预处理总排水量为21.58m</w:t>
            </w:r>
            <w:r>
              <w:rPr>
                <w:sz w:val="24"/>
                <w:vertAlign w:val="superscript"/>
              </w:rPr>
              <w:t>3</w:t>
            </w:r>
            <w:r>
              <w:rPr>
                <w:sz w:val="24"/>
              </w:rPr>
              <w:t>/d（6475m</w:t>
            </w:r>
            <w:r>
              <w:rPr>
                <w:sz w:val="24"/>
                <w:vertAlign w:val="superscript"/>
              </w:rPr>
              <w:t>3</w:t>
            </w:r>
            <w:r>
              <w:rPr>
                <w:sz w:val="24"/>
              </w:rPr>
              <w:t>/a）。</w:t>
            </w:r>
          </w:p>
          <w:p w14:paraId="715DAC63">
            <w:pPr>
              <w:snapToGrid w:val="0"/>
              <w:spacing w:line="360" w:lineRule="auto"/>
              <w:ind w:left="832" w:hanging="360"/>
              <w:rPr>
                <w:b/>
                <w:sz w:val="24"/>
              </w:rPr>
            </w:pPr>
            <w:r>
              <w:rPr>
                <w:rFonts w:ascii="宋体" w:hAnsi="宋体" w:cs="宋体"/>
                <w:b/>
                <w:sz w:val="24"/>
              </w:rPr>
              <w:t>⑤</w:t>
            </w:r>
            <w:r>
              <w:rPr>
                <w:b/>
                <w:sz w:val="24"/>
              </w:rPr>
              <w:t>黄豆浸泡用水及排水</w:t>
            </w:r>
          </w:p>
          <w:p w14:paraId="3AE2D7A6">
            <w:pPr>
              <w:snapToGrid w:val="0"/>
              <w:spacing w:line="360" w:lineRule="auto"/>
              <w:ind w:firstLine="470" w:firstLineChars="196"/>
              <w:rPr>
                <w:bCs/>
                <w:sz w:val="24"/>
              </w:rPr>
            </w:pPr>
            <w:r>
              <w:rPr>
                <w:bCs/>
                <w:sz w:val="24"/>
              </w:rPr>
              <w:t>根据建设单位提供的资料，黄豆原料需要进行清洗。浸泡用水量为</w:t>
            </w:r>
            <w:r>
              <w:rPr>
                <w:rFonts w:hint="eastAsia"/>
                <w:bCs/>
                <w:sz w:val="24"/>
              </w:rPr>
              <w:t>1</w:t>
            </w:r>
            <w:r>
              <w:rPr>
                <w:bCs/>
                <w:sz w:val="24"/>
              </w:rPr>
              <w:t>m</w:t>
            </w:r>
            <w:r>
              <w:rPr>
                <w:bCs/>
                <w:sz w:val="24"/>
                <w:vertAlign w:val="superscript"/>
              </w:rPr>
              <w:t>3</w:t>
            </w:r>
            <w:r>
              <w:rPr>
                <w:bCs/>
                <w:sz w:val="24"/>
              </w:rPr>
              <w:t>/t 原料。豆制品原料用量为300t/a，则黄豆用水量为</w:t>
            </w:r>
            <w:r>
              <w:rPr>
                <w:rFonts w:hint="eastAsia"/>
                <w:bCs/>
                <w:sz w:val="24"/>
              </w:rPr>
              <w:t>300</w:t>
            </w:r>
            <w:r>
              <w:rPr>
                <w:bCs/>
                <w:sz w:val="24"/>
              </w:rPr>
              <w:t>m</w:t>
            </w:r>
            <w:r>
              <w:rPr>
                <w:bCs/>
                <w:sz w:val="24"/>
                <w:vertAlign w:val="superscript"/>
              </w:rPr>
              <w:t>3</w:t>
            </w:r>
            <w:r>
              <w:rPr>
                <w:bCs/>
                <w:sz w:val="24"/>
              </w:rPr>
              <w:t>/a（</w:t>
            </w:r>
            <w:r>
              <w:rPr>
                <w:rFonts w:hint="eastAsia"/>
                <w:bCs/>
                <w:sz w:val="24"/>
              </w:rPr>
              <w:t>1</w:t>
            </w:r>
            <w:r>
              <w:rPr>
                <w:sz w:val="24"/>
              </w:rPr>
              <w:t>m</w:t>
            </w:r>
            <w:r>
              <w:rPr>
                <w:sz w:val="24"/>
                <w:vertAlign w:val="superscript"/>
              </w:rPr>
              <w:t>3</w:t>
            </w:r>
            <w:r>
              <w:rPr>
                <w:sz w:val="24"/>
              </w:rPr>
              <w:t>/d</w:t>
            </w:r>
            <w:r>
              <w:rPr>
                <w:bCs/>
                <w:sz w:val="24"/>
              </w:rPr>
              <w:t>），排水系数取0.9，则年废水量</w:t>
            </w:r>
            <w:r>
              <w:rPr>
                <w:rFonts w:hint="eastAsia"/>
                <w:bCs/>
                <w:sz w:val="24"/>
              </w:rPr>
              <w:t>27</w:t>
            </w:r>
            <w:r>
              <w:rPr>
                <w:bCs/>
                <w:sz w:val="24"/>
              </w:rPr>
              <w:t>0m</w:t>
            </w:r>
            <w:r>
              <w:rPr>
                <w:bCs/>
                <w:sz w:val="24"/>
                <w:vertAlign w:val="superscript"/>
              </w:rPr>
              <w:t>3</w:t>
            </w:r>
            <w:r>
              <w:rPr>
                <w:bCs/>
                <w:sz w:val="24"/>
              </w:rPr>
              <w:t>/a（</w:t>
            </w:r>
            <w:r>
              <w:rPr>
                <w:rFonts w:hint="eastAsia"/>
                <w:bCs/>
                <w:sz w:val="24"/>
              </w:rPr>
              <w:t>0.9</w:t>
            </w:r>
            <w:r>
              <w:rPr>
                <w:sz w:val="24"/>
              </w:rPr>
              <w:t>m</w:t>
            </w:r>
            <w:r>
              <w:rPr>
                <w:sz w:val="24"/>
                <w:vertAlign w:val="superscript"/>
              </w:rPr>
              <w:t>3</w:t>
            </w:r>
            <w:r>
              <w:rPr>
                <w:sz w:val="24"/>
              </w:rPr>
              <w:t>/d</w:t>
            </w:r>
            <w:r>
              <w:rPr>
                <w:bCs/>
                <w:sz w:val="24"/>
              </w:rPr>
              <w:t>）。</w:t>
            </w:r>
          </w:p>
          <w:p w14:paraId="69BE82A0">
            <w:pPr>
              <w:snapToGrid w:val="0"/>
              <w:spacing w:line="360" w:lineRule="auto"/>
              <w:ind w:firstLine="472" w:firstLineChars="196"/>
              <w:rPr>
                <w:bCs/>
                <w:sz w:val="24"/>
              </w:rPr>
            </w:pPr>
            <w:r>
              <w:rPr>
                <w:rFonts w:ascii="宋体" w:hAnsi="宋体" w:cs="宋体"/>
                <w:b/>
                <w:sz w:val="24"/>
              </w:rPr>
              <w:t>⑥</w:t>
            </w:r>
            <w:r>
              <w:rPr>
                <w:rFonts w:hint="eastAsia"/>
                <w:b/>
                <w:sz w:val="24"/>
              </w:rPr>
              <w:t>卤料原料清洗用水及排水</w:t>
            </w:r>
          </w:p>
          <w:p w14:paraId="2F9123C4">
            <w:pPr>
              <w:snapToGrid w:val="0"/>
              <w:spacing w:line="360" w:lineRule="auto"/>
              <w:ind w:firstLine="470" w:firstLineChars="196"/>
              <w:rPr>
                <w:bCs/>
                <w:sz w:val="24"/>
              </w:rPr>
            </w:pPr>
            <w:r>
              <w:rPr>
                <w:bCs/>
                <w:sz w:val="24"/>
              </w:rPr>
              <w:t>根据建设单位提供的资料，类比同类型项目可知；</w:t>
            </w:r>
            <w:r>
              <w:rPr>
                <w:rFonts w:hint="eastAsia"/>
                <w:bCs/>
                <w:sz w:val="24"/>
              </w:rPr>
              <w:t>项目卤制原料需要进行清洗，用水量与原料比例为1:1，原料用量为39t/a，则清洗用水量为39</w:t>
            </w:r>
            <w:r>
              <w:rPr>
                <w:sz w:val="24"/>
              </w:rPr>
              <w:t>m</w:t>
            </w:r>
            <w:r>
              <w:rPr>
                <w:sz w:val="24"/>
                <w:vertAlign w:val="superscript"/>
              </w:rPr>
              <w:t>3</w:t>
            </w:r>
            <w:r>
              <w:rPr>
                <w:sz w:val="24"/>
              </w:rPr>
              <w:t>/d</w:t>
            </w:r>
            <w:r>
              <w:rPr>
                <w:rFonts w:hint="eastAsia"/>
                <w:bCs/>
                <w:sz w:val="24"/>
              </w:rPr>
              <w:t>（0.13</w:t>
            </w:r>
            <w:r>
              <w:rPr>
                <w:sz w:val="24"/>
              </w:rPr>
              <w:t>m</w:t>
            </w:r>
            <w:r>
              <w:rPr>
                <w:sz w:val="24"/>
                <w:vertAlign w:val="superscript"/>
              </w:rPr>
              <w:t>3</w:t>
            </w:r>
            <w:r>
              <w:rPr>
                <w:sz w:val="24"/>
              </w:rPr>
              <w:t>/d</w:t>
            </w:r>
            <w:r>
              <w:rPr>
                <w:rFonts w:hint="eastAsia"/>
                <w:bCs/>
                <w:sz w:val="24"/>
              </w:rPr>
              <w:t>）</w:t>
            </w:r>
            <w:r>
              <w:rPr>
                <w:bCs/>
                <w:sz w:val="24"/>
              </w:rPr>
              <w:t>，排水系数取0.9，则年废水量</w:t>
            </w:r>
            <w:r>
              <w:rPr>
                <w:rFonts w:hint="eastAsia"/>
                <w:bCs/>
                <w:sz w:val="24"/>
              </w:rPr>
              <w:t>35.1</w:t>
            </w:r>
            <w:r>
              <w:rPr>
                <w:bCs/>
                <w:sz w:val="24"/>
              </w:rPr>
              <w:t>m</w:t>
            </w:r>
            <w:r>
              <w:rPr>
                <w:bCs/>
                <w:sz w:val="24"/>
                <w:vertAlign w:val="superscript"/>
              </w:rPr>
              <w:t>3</w:t>
            </w:r>
            <w:r>
              <w:rPr>
                <w:bCs/>
                <w:sz w:val="24"/>
              </w:rPr>
              <w:t>/a（</w:t>
            </w:r>
            <w:r>
              <w:rPr>
                <w:rFonts w:hint="eastAsia"/>
                <w:bCs/>
                <w:sz w:val="24"/>
              </w:rPr>
              <w:t>0.117</w:t>
            </w:r>
            <w:r>
              <w:rPr>
                <w:bCs/>
                <w:sz w:val="24"/>
              </w:rPr>
              <w:t>m</w:t>
            </w:r>
            <w:r>
              <w:rPr>
                <w:bCs/>
                <w:sz w:val="24"/>
                <w:vertAlign w:val="superscript"/>
              </w:rPr>
              <w:t>3</w:t>
            </w:r>
            <w:r>
              <w:rPr>
                <w:bCs/>
                <w:sz w:val="24"/>
              </w:rPr>
              <w:t>/d）。</w:t>
            </w:r>
          </w:p>
          <w:p w14:paraId="1118C121">
            <w:pPr>
              <w:snapToGrid w:val="0"/>
              <w:spacing w:line="360" w:lineRule="auto"/>
              <w:ind w:left="832" w:hanging="360"/>
              <w:rPr>
                <w:b/>
                <w:sz w:val="24"/>
              </w:rPr>
            </w:pPr>
            <w:r>
              <w:rPr>
                <w:rFonts w:ascii="宋体" w:hAnsi="宋体" w:cs="宋体"/>
                <w:b/>
                <w:sz w:val="24"/>
              </w:rPr>
              <w:t>⑦</w:t>
            </w:r>
            <w:r>
              <w:rPr>
                <w:b/>
                <w:sz w:val="24"/>
              </w:rPr>
              <w:t>锅炉用水及排水</w:t>
            </w:r>
          </w:p>
          <w:p w14:paraId="1319C11E">
            <w:pPr>
              <w:snapToGrid w:val="0"/>
              <w:spacing w:line="360" w:lineRule="auto"/>
              <w:ind w:firstLine="470" w:firstLineChars="196"/>
              <w:rPr>
                <w:bCs/>
                <w:color w:val="000000"/>
                <w:sz w:val="24"/>
                <w:szCs w:val="24"/>
              </w:rPr>
            </w:pPr>
            <w:r>
              <w:rPr>
                <w:bCs/>
                <w:sz w:val="24"/>
              </w:rPr>
              <w:t>本项目设置1台6t/h生物质气化锅炉，运行时间为8h/d（2400h/a），</w:t>
            </w:r>
            <w:r>
              <w:rPr>
                <w:bCs/>
                <w:color w:val="000000"/>
                <w:sz w:val="24"/>
                <w:szCs w:val="24"/>
              </w:rPr>
              <w:t>则锅炉软水用量为8h/d×6t/h=48t/d，14400m</w:t>
            </w:r>
            <w:r>
              <w:rPr>
                <w:bCs/>
                <w:color w:val="000000"/>
                <w:sz w:val="24"/>
                <w:szCs w:val="24"/>
                <w:vertAlign w:val="superscript"/>
              </w:rPr>
              <w:t>3</w:t>
            </w:r>
            <w:r>
              <w:rPr>
                <w:bCs/>
                <w:color w:val="000000"/>
                <w:sz w:val="24"/>
                <w:szCs w:val="24"/>
              </w:rPr>
              <w:t>/a；锅炉定排水量为软水用量的2%，即0.96m</w:t>
            </w:r>
            <w:r>
              <w:rPr>
                <w:bCs/>
                <w:color w:val="000000"/>
                <w:sz w:val="24"/>
                <w:szCs w:val="24"/>
                <w:vertAlign w:val="superscript"/>
              </w:rPr>
              <w:t>3</w:t>
            </w:r>
            <w:r>
              <w:rPr>
                <w:bCs/>
                <w:color w:val="000000"/>
                <w:sz w:val="24"/>
                <w:szCs w:val="24"/>
              </w:rPr>
              <w:t>/d，288m</w:t>
            </w:r>
            <w:r>
              <w:rPr>
                <w:bCs/>
                <w:color w:val="000000"/>
                <w:sz w:val="24"/>
                <w:szCs w:val="24"/>
                <w:vertAlign w:val="superscript"/>
              </w:rPr>
              <w:t>3</w:t>
            </w:r>
            <w:r>
              <w:rPr>
                <w:bCs/>
                <w:color w:val="000000"/>
                <w:sz w:val="24"/>
                <w:szCs w:val="24"/>
              </w:rPr>
              <w:t>/a。根据建设单位提供的软化水制备设备的相关参数，本项目软水制备设备中软水与浓水的比例为4：1，即</w:t>
            </w:r>
            <w:r>
              <w:rPr>
                <w:rFonts w:hint="eastAsia"/>
                <w:bCs/>
                <w:color w:val="000000"/>
                <w:sz w:val="24"/>
                <w:szCs w:val="24"/>
              </w:rPr>
              <w:t>每天</w:t>
            </w:r>
            <w:r>
              <w:rPr>
                <w:bCs/>
                <w:color w:val="000000"/>
                <w:sz w:val="24"/>
                <w:szCs w:val="24"/>
              </w:rPr>
              <w:t>会产生12m</w:t>
            </w:r>
            <w:r>
              <w:rPr>
                <w:bCs/>
                <w:color w:val="000000"/>
                <w:sz w:val="24"/>
                <w:szCs w:val="24"/>
                <w:vertAlign w:val="superscript"/>
              </w:rPr>
              <w:t>3</w:t>
            </w:r>
            <w:r>
              <w:rPr>
                <w:bCs/>
                <w:color w:val="000000"/>
                <w:sz w:val="24"/>
                <w:szCs w:val="24"/>
              </w:rPr>
              <w:t>的浓水，新鲜水量需18000m</w:t>
            </w:r>
            <w:r>
              <w:rPr>
                <w:bCs/>
                <w:color w:val="000000"/>
                <w:sz w:val="24"/>
                <w:szCs w:val="24"/>
                <w:vertAlign w:val="superscript"/>
              </w:rPr>
              <w:t>3</w:t>
            </w:r>
            <w:r>
              <w:rPr>
                <w:bCs/>
                <w:color w:val="000000"/>
                <w:sz w:val="24"/>
                <w:szCs w:val="24"/>
              </w:rPr>
              <w:t>/a，60m</w:t>
            </w:r>
            <w:r>
              <w:rPr>
                <w:bCs/>
                <w:color w:val="000000"/>
                <w:sz w:val="24"/>
                <w:szCs w:val="24"/>
                <w:vertAlign w:val="superscript"/>
              </w:rPr>
              <w:t>3</w:t>
            </w:r>
            <w:r>
              <w:rPr>
                <w:bCs/>
                <w:color w:val="000000"/>
                <w:sz w:val="24"/>
                <w:szCs w:val="24"/>
              </w:rPr>
              <w:t>/d；浓水产生量为3600m</w:t>
            </w:r>
            <w:r>
              <w:rPr>
                <w:bCs/>
                <w:color w:val="000000"/>
                <w:sz w:val="24"/>
                <w:szCs w:val="24"/>
                <w:vertAlign w:val="superscript"/>
              </w:rPr>
              <w:t>3</w:t>
            </w:r>
            <w:r>
              <w:rPr>
                <w:bCs/>
                <w:color w:val="000000"/>
                <w:sz w:val="24"/>
                <w:szCs w:val="24"/>
              </w:rPr>
              <w:t>/a，12m</w:t>
            </w:r>
            <w:r>
              <w:rPr>
                <w:bCs/>
                <w:color w:val="000000"/>
                <w:sz w:val="24"/>
                <w:szCs w:val="24"/>
                <w:vertAlign w:val="superscript"/>
              </w:rPr>
              <w:t>3</w:t>
            </w:r>
            <w:r>
              <w:rPr>
                <w:bCs/>
                <w:color w:val="000000"/>
                <w:sz w:val="24"/>
                <w:szCs w:val="24"/>
              </w:rPr>
              <w:t>/d，则锅炉废水（锅炉定排水+软水制备浓水）排放量为12.96m</w:t>
            </w:r>
            <w:r>
              <w:rPr>
                <w:bCs/>
                <w:color w:val="000000"/>
                <w:sz w:val="24"/>
                <w:szCs w:val="24"/>
                <w:vertAlign w:val="superscript"/>
              </w:rPr>
              <w:t>3</w:t>
            </w:r>
            <w:r>
              <w:rPr>
                <w:bCs/>
                <w:color w:val="000000"/>
                <w:sz w:val="24"/>
                <w:szCs w:val="24"/>
              </w:rPr>
              <w:t>/d，3888m</w:t>
            </w:r>
            <w:r>
              <w:rPr>
                <w:bCs/>
                <w:color w:val="000000"/>
                <w:sz w:val="24"/>
                <w:szCs w:val="24"/>
                <w:vertAlign w:val="superscript"/>
              </w:rPr>
              <w:t>3</w:t>
            </w:r>
            <w:r>
              <w:rPr>
                <w:bCs/>
                <w:color w:val="000000"/>
                <w:sz w:val="24"/>
                <w:szCs w:val="24"/>
              </w:rPr>
              <w:t>/a。</w:t>
            </w:r>
          </w:p>
          <w:p w14:paraId="6EC0F519">
            <w:pPr>
              <w:adjustRightInd w:val="0"/>
              <w:snapToGrid w:val="0"/>
              <w:spacing w:line="360" w:lineRule="auto"/>
              <w:ind w:firstLine="480" w:firstLineChars="200"/>
              <w:rPr>
                <w:bCs/>
                <w:color w:val="FF0000"/>
                <w:sz w:val="24"/>
                <w:szCs w:val="24"/>
              </w:rPr>
            </w:pPr>
            <w:r>
              <w:rPr>
                <w:bCs/>
                <w:sz w:val="24"/>
                <w:szCs w:val="24"/>
              </w:rPr>
              <w:t>项目蒸汽使用方式为间接加热，加到卤制、熬制、杀菌、烘干等工序设备。按企业实际生产经验，蒸汽损耗约为20%，其余的均为蒸汽冷凝水，蒸汽产生量为14400t/a，则蒸汽损耗量为2880t/a（9.6t/d），则加到工序上变成冷凝水的蒸汽为37.44m</w:t>
            </w:r>
            <w:r>
              <w:rPr>
                <w:bCs/>
                <w:sz w:val="24"/>
                <w:szCs w:val="24"/>
                <w:vertAlign w:val="superscript"/>
              </w:rPr>
              <w:t>3</w:t>
            </w:r>
            <w:r>
              <w:rPr>
                <w:bCs/>
                <w:sz w:val="24"/>
                <w:szCs w:val="24"/>
              </w:rPr>
              <w:t>/d，11232m</w:t>
            </w:r>
            <w:r>
              <w:rPr>
                <w:bCs/>
                <w:sz w:val="24"/>
                <w:szCs w:val="24"/>
                <w:vertAlign w:val="superscript"/>
              </w:rPr>
              <w:t>3</w:t>
            </w:r>
            <w:r>
              <w:rPr>
                <w:bCs/>
                <w:sz w:val="24"/>
                <w:szCs w:val="24"/>
              </w:rPr>
              <w:t>/a</w:t>
            </w:r>
            <w:r>
              <w:rPr>
                <w:rFonts w:hint="eastAsia"/>
                <w:bCs/>
                <w:sz w:val="24"/>
                <w:szCs w:val="24"/>
              </w:rPr>
              <w:t>，回用于锅炉</w:t>
            </w:r>
            <w:r>
              <w:rPr>
                <w:bCs/>
                <w:sz w:val="24"/>
                <w:szCs w:val="24"/>
              </w:rPr>
              <w:t>。则锅炉需补充的新鲜水量为22.56 m</w:t>
            </w:r>
            <w:r>
              <w:rPr>
                <w:bCs/>
                <w:sz w:val="24"/>
                <w:szCs w:val="24"/>
                <w:vertAlign w:val="superscript"/>
              </w:rPr>
              <w:t>3</w:t>
            </w:r>
            <w:r>
              <w:rPr>
                <w:bCs/>
                <w:sz w:val="24"/>
                <w:szCs w:val="24"/>
              </w:rPr>
              <w:t>/d（6768 m</w:t>
            </w:r>
            <w:r>
              <w:rPr>
                <w:bCs/>
                <w:sz w:val="24"/>
                <w:szCs w:val="24"/>
                <w:vertAlign w:val="superscript"/>
              </w:rPr>
              <w:t>3</w:t>
            </w:r>
            <w:r>
              <w:rPr>
                <w:bCs/>
                <w:sz w:val="24"/>
                <w:szCs w:val="24"/>
              </w:rPr>
              <w:t>/a）</w:t>
            </w:r>
            <w:r>
              <w:rPr>
                <w:rFonts w:hint="eastAsia"/>
                <w:bCs/>
                <w:sz w:val="24"/>
                <w:szCs w:val="24"/>
              </w:rPr>
              <w:t>。</w:t>
            </w:r>
          </w:p>
          <w:p w14:paraId="650F742E">
            <w:pPr>
              <w:snapToGrid w:val="0"/>
              <w:spacing w:line="360" w:lineRule="auto"/>
              <w:ind w:left="832" w:hanging="360"/>
              <w:rPr>
                <w:b/>
                <w:sz w:val="24"/>
              </w:rPr>
            </w:pPr>
            <w:r>
              <w:rPr>
                <w:rFonts w:ascii="宋体" w:hAnsi="宋体" w:cs="宋体"/>
                <w:b/>
                <w:sz w:val="24"/>
              </w:rPr>
              <w:t>⑧</w:t>
            </w:r>
            <w:r>
              <w:rPr>
                <w:b/>
                <w:sz w:val="24"/>
              </w:rPr>
              <w:t>洗袋用水及排水</w:t>
            </w:r>
          </w:p>
          <w:p w14:paraId="6F357B6D">
            <w:pPr>
              <w:snapToGrid w:val="0"/>
              <w:spacing w:line="360" w:lineRule="auto"/>
              <w:ind w:firstLine="470" w:firstLineChars="196"/>
              <w:rPr>
                <w:sz w:val="24"/>
              </w:rPr>
            </w:pPr>
            <w:r>
              <w:rPr>
                <w:bCs/>
                <w:sz w:val="24"/>
              </w:rPr>
              <w:t>根据建设单位提供的资料，类比同类型项目可知；</w:t>
            </w:r>
            <w:r>
              <w:rPr>
                <w:sz w:val="24"/>
              </w:rPr>
              <w:t>杀菌后进行洗袋，用水量为1m</w:t>
            </w:r>
            <w:r>
              <w:rPr>
                <w:sz w:val="24"/>
                <w:vertAlign w:val="superscript"/>
              </w:rPr>
              <w:t>3</w:t>
            </w:r>
            <w:r>
              <w:rPr>
                <w:sz w:val="24"/>
              </w:rPr>
              <w:t>/t产品，产品量为15500t/a，则用水量为51.67m³/d(15500m³/a)，排水系数取0.9，则年废水量46.5m</w:t>
            </w:r>
            <w:r>
              <w:rPr>
                <w:sz w:val="24"/>
                <w:vertAlign w:val="superscript"/>
              </w:rPr>
              <w:t>3</w:t>
            </w:r>
            <w:r>
              <w:rPr>
                <w:sz w:val="24"/>
              </w:rPr>
              <w:t>/d（13950m³/a）。</w:t>
            </w:r>
          </w:p>
          <w:p w14:paraId="361DFFB8">
            <w:pPr>
              <w:snapToGrid w:val="0"/>
              <w:spacing w:line="360" w:lineRule="auto"/>
              <w:ind w:left="832" w:hanging="360"/>
              <w:rPr>
                <w:b/>
                <w:sz w:val="24"/>
              </w:rPr>
            </w:pPr>
            <w:r>
              <w:rPr>
                <w:rFonts w:ascii="宋体" w:hAnsi="宋体" w:cs="宋体"/>
                <w:b/>
                <w:sz w:val="24"/>
              </w:rPr>
              <w:t>⑨</w:t>
            </w:r>
            <w:r>
              <w:rPr>
                <w:b/>
                <w:sz w:val="24"/>
              </w:rPr>
              <w:t>设备清洗用水及排水</w:t>
            </w:r>
          </w:p>
          <w:p w14:paraId="3B6D5860">
            <w:pPr>
              <w:spacing w:line="360" w:lineRule="auto"/>
              <w:ind w:firstLine="470" w:firstLineChars="196"/>
              <w:rPr>
                <w:sz w:val="24"/>
              </w:rPr>
            </w:pPr>
            <w:r>
              <w:rPr>
                <w:bCs/>
                <w:sz w:val="24"/>
              </w:rPr>
              <w:t>根据建设单位提供的资料，</w:t>
            </w:r>
            <w:r>
              <w:rPr>
                <w:sz w:val="24"/>
              </w:rPr>
              <w:t>本项目为食品生产车间，对清洁度有一定的需求，进出车间的人员需要在车间的更衣室、洗手池和风淋间对个人进行卫生清洁，无需对车间进行消毒，仅需要在每批次生产结束后进行清场程序，主要是用洁净抹布擦拭设备外身以及用水冲洗生产设备内部。本项目生产批次需要根据订单和生产数量来决定，据其生产经验数据表明，大约每天生产出一批次成品。厂区内生产设备每天清洗一次，年工作300天，项目设备清洗用水量为10m</w:t>
            </w:r>
            <w:r>
              <w:rPr>
                <w:sz w:val="24"/>
                <w:vertAlign w:val="superscript"/>
              </w:rPr>
              <w:t>3</w:t>
            </w:r>
            <w:r>
              <w:rPr>
                <w:sz w:val="24"/>
              </w:rPr>
              <w:t>/d（3000m</w:t>
            </w:r>
            <w:r>
              <w:rPr>
                <w:sz w:val="24"/>
                <w:vertAlign w:val="superscript"/>
              </w:rPr>
              <w:t>3</w:t>
            </w:r>
            <w:r>
              <w:rPr>
                <w:sz w:val="24"/>
              </w:rPr>
              <w:t>/a），排污系数按0.9计，设备清洗废水量为9m</w:t>
            </w:r>
            <w:r>
              <w:rPr>
                <w:sz w:val="24"/>
                <w:vertAlign w:val="superscript"/>
              </w:rPr>
              <w:t>3</w:t>
            </w:r>
            <w:r>
              <w:rPr>
                <w:sz w:val="24"/>
              </w:rPr>
              <w:t>/d（2700m</w:t>
            </w:r>
            <w:r>
              <w:rPr>
                <w:sz w:val="24"/>
                <w:vertAlign w:val="superscript"/>
              </w:rPr>
              <w:t>3</w:t>
            </w:r>
            <w:r>
              <w:rPr>
                <w:sz w:val="24"/>
              </w:rPr>
              <w:t>/a）。</w:t>
            </w:r>
          </w:p>
          <w:p w14:paraId="06FA7CE6">
            <w:pPr>
              <w:snapToGrid w:val="0"/>
              <w:spacing w:line="360" w:lineRule="auto"/>
              <w:ind w:left="832" w:hanging="360"/>
              <w:rPr>
                <w:b/>
                <w:sz w:val="24"/>
              </w:rPr>
            </w:pPr>
            <w:r>
              <w:rPr>
                <w:rFonts w:ascii="宋体" w:hAnsi="宋体" w:cs="宋体"/>
                <w:b/>
                <w:sz w:val="24"/>
              </w:rPr>
              <w:t>⑩</w:t>
            </w:r>
            <w:r>
              <w:rPr>
                <w:b/>
                <w:sz w:val="24"/>
              </w:rPr>
              <w:t>地面清洁用水及排水</w:t>
            </w:r>
          </w:p>
          <w:p w14:paraId="52882520">
            <w:pPr>
              <w:snapToGrid w:val="0"/>
              <w:spacing w:line="360" w:lineRule="auto"/>
              <w:ind w:firstLine="470" w:firstLineChars="196"/>
              <w:rPr>
                <w:bCs/>
                <w:color w:val="000000"/>
                <w:sz w:val="24"/>
              </w:rPr>
            </w:pPr>
            <w:r>
              <w:rPr>
                <w:sz w:val="24"/>
              </w:rPr>
              <w:t>车间生产区地面需每天进行清洗，用水规模约为</w:t>
            </w:r>
            <w:r>
              <w:rPr>
                <w:bCs/>
                <w:sz w:val="24"/>
              </w:rPr>
              <w:t>5L/m</w:t>
            </w:r>
            <w:r>
              <w:rPr>
                <w:bCs/>
                <w:sz w:val="24"/>
                <w:vertAlign w:val="superscript"/>
              </w:rPr>
              <w:t>2</w:t>
            </w:r>
            <w:r>
              <w:rPr>
                <w:bCs/>
                <w:sz w:val="24"/>
              </w:rPr>
              <w:t>计</w:t>
            </w:r>
            <w:r>
              <w:rPr>
                <w:bCs/>
                <w:color w:val="000000"/>
                <w:sz w:val="24"/>
              </w:rPr>
              <w:t>。</w:t>
            </w:r>
            <w:r>
              <w:rPr>
                <w:sz w:val="24"/>
              </w:rPr>
              <w:t>根据建设单位提供资料，需要清洗的生产车间面积约为9000</w:t>
            </w:r>
            <w:r>
              <w:rPr>
                <w:bCs/>
                <w:sz w:val="24"/>
              </w:rPr>
              <w:t>m</w:t>
            </w:r>
            <w:r>
              <w:rPr>
                <w:bCs/>
                <w:sz w:val="24"/>
                <w:vertAlign w:val="superscript"/>
              </w:rPr>
              <w:t>2</w:t>
            </w:r>
            <w:r>
              <w:rPr>
                <w:bCs/>
                <w:color w:val="000000"/>
                <w:sz w:val="24"/>
              </w:rPr>
              <w:t>，则清洗用水量为45m</w:t>
            </w:r>
            <w:r>
              <w:rPr>
                <w:bCs/>
                <w:color w:val="000000"/>
                <w:sz w:val="24"/>
                <w:vertAlign w:val="superscript"/>
              </w:rPr>
              <w:t>3</w:t>
            </w:r>
            <w:r>
              <w:rPr>
                <w:bCs/>
                <w:color w:val="000000"/>
                <w:sz w:val="24"/>
              </w:rPr>
              <w:t>/d（13500 m</w:t>
            </w:r>
            <w:r>
              <w:rPr>
                <w:bCs/>
                <w:color w:val="000000"/>
                <w:sz w:val="24"/>
                <w:vertAlign w:val="superscript"/>
              </w:rPr>
              <w:t>3</w:t>
            </w:r>
            <w:r>
              <w:rPr>
                <w:bCs/>
                <w:color w:val="000000"/>
                <w:sz w:val="24"/>
              </w:rPr>
              <w:t>/a）；清洗废水排放量按用水量90%计，则清洗废水产生量为40.5m</w:t>
            </w:r>
            <w:r>
              <w:rPr>
                <w:bCs/>
                <w:color w:val="000000"/>
                <w:sz w:val="24"/>
                <w:vertAlign w:val="superscript"/>
              </w:rPr>
              <w:t>3</w:t>
            </w:r>
            <w:r>
              <w:rPr>
                <w:bCs/>
                <w:color w:val="000000"/>
                <w:sz w:val="24"/>
              </w:rPr>
              <w:t>/d（12150m</w:t>
            </w:r>
            <w:r>
              <w:rPr>
                <w:bCs/>
                <w:color w:val="000000"/>
                <w:sz w:val="24"/>
                <w:vertAlign w:val="superscript"/>
              </w:rPr>
              <w:t>3</w:t>
            </w:r>
            <w:r>
              <w:rPr>
                <w:bCs/>
                <w:color w:val="000000"/>
                <w:sz w:val="24"/>
              </w:rPr>
              <w:t>/a）。</w:t>
            </w:r>
          </w:p>
          <w:p w14:paraId="76F88B35">
            <w:pPr>
              <w:snapToGrid w:val="0"/>
              <w:spacing w:line="360" w:lineRule="auto"/>
              <w:ind w:firstLine="472" w:firstLineChars="196"/>
              <w:rPr>
                <w:bCs/>
                <w:color w:val="000000"/>
                <w:sz w:val="24"/>
              </w:rPr>
            </w:pPr>
            <w:r>
              <w:rPr>
                <w:rFonts w:hint="eastAsia" w:ascii="宋体" w:hAnsi="宋体" w:cs="宋体"/>
                <w:b/>
                <w:color w:val="000000"/>
                <w:sz w:val="24"/>
              </w:rPr>
              <w:t>⑪</w:t>
            </w:r>
            <w:r>
              <w:rPr>
                <w:b/>
                <w:color w:val="000000"/>
                <w:sz w:val="24"/>
              </w:rPr>
              <w:t>检验用水</w:t>
            </w:r>
            <w:r>
              <w:rPr>
                <w:rFonts w:hint="eastAsia"/>
                <w:b/>
                <w:color w:val="000000"/>
                <w:sz w:val="24"/>
              </w:rPr>
              <w:t>及排水</w:t>
            </w:r>
          </w:p>
          <w:p w14:paraId="430E6829">
            <w:pPr>
              <w:snapToGrid w:val="0"/>
              <w:spacing w:line="360" w:lineRule="auto"/>
              <w:ind w:firstLine="470" w:firstLineChars="196"/>
              <w:rPr>
                <w:bCs/>
                <w:color w:val="000000"/>
                <w:sz w:val="24"/>
              </w:rPr>
            </w:pPr>
            <w:r>
              <w:rPr>
                <w:bCs/>
                <w:color w:val="000000"/>
                <w:sz w:val="24"/>
              </w:rPr>
              <w:t>项目检验室主要检验指标为水分、感官净含量、大肠菌群、菌群种数等，以此判别食品卫生质量。项目检验室检验产生的废水主要为清洗容器产生的检验废水，废水中不含有毒有害物质。通过类比同类项目，容器清洗用水量约为 0.5m</w:t>
            </w:r>
            <w:r>
              <w:rPr>
                <w:bCs/>
                <w:color w:val="000000"/>
                <w:sz w:val="24"/>
                <w:vertAlign w:val="superscript"/>
              </w:rPr>
              <w:t>3</w:t>
            </w:r>
            <w:r>
              <w:rPr>
                <w:bCs/>
                <w:color w:val="000000"/>
                <w:sz w:val="24"/>
              </w:rPr>
              <w:t xml:space="preserve"> /a（0.001</w:t>
            </w:r>
            <w:r>
              <w:rPr>
                <w:rFonts w:hint="eastAsia"/>
                <w:bCs/>
                <w:color w:val="000000"/>
                <w:sz w:val="24"/>
              </w:rPr>
              <w:t>7</w:t>
            </w:r>
            <w:r>
              <w:rPr>
                <w:bCs/>
                <w:color w:val="000000"/>
                <w:sz w:val="24"/>
              </w:rPr>
              <w:t>m</w:t>
            </w:r>
            <w:r>
              <w:rPr>
                <w:bCs/>
                <w:color w:val="000000"/>
                <w:sz w:val="24"/>
                <w:vertAlign w:val="superscript"/>
              </w:rPr>
              <w:t>3</w:t>
            </w:r>
            <w:r>
              <w:rPr>
                <w:bCs/>
                <w:color w:val="000000"/>
                <w:sz w:val="24"/>
              </w:rPr>
              <w:t xml:space="preserve"> /d），排放量按 80%用水量计，则检验废水约为0.4m</w:t>
            </w:r>
            <w:r>
              <w:rPr>
                <w:bCs/>
                <w:color w:val="000000"/>
                <w:sz w:val="24"/>
                <w:vertAlign w:val="superscript"/>
              </w:rPr>
              <w:t>3</w:t>
            </w:r>
            <w:r>
              <w:rPr>
                <w:bCs/>
                <w:color w:val="000000"/>
                <w:sz w:val="24"/>
              </w:rPr>
              <w:t>/a（0.001</w:t>
            </w:r>
            <w:r>
              <w:rPr>
                <w:rFonts w:hint="eastAsia"/>
                <w:bCs/>
                <w:color w:val="000000"/>
                <w:sz w:val="24"/>
              </w:rPr>
              <w:t>3</w:t>
            </w:r>
            <w:r>
              <w:rPr>
                <w:bCs/>
                <w:color w:val="000000"/>
                <w:sz w:val="24"/>
              </w:rPr>
              <w:t>m</w:t>
            </w:r>
            <w:r>
              <w:rPr>
                <w:bCs/>
                <w:color w:val="000000"/>
                <w:sz w:val="24"/>
                <w:vertAlign w:val="superscript"/>
              </w:rPr>
              <w:t>3</w:t>
            </w:r>
            <w:r>
              <w:rPr>
                <w:bCs/>
                <w:color w:val="000000"/>
                <w:sz w:val="24"/>
              </w:rPr>
              <w:t>/d）。</w:t>
            </w:r>
          </w:p>
          <w:p w14:paraId="5760176D">
            <w:pPr>
              <w:snapToGrid w:val="0"/>
              <w:spacing w:line="360" w:lineRule="auto"/>
              <w:jc w:val="center"/>
              <w:rPr>
                <w:b/>
                <w:sz w:val="24"/>
              </w:rPr>
            </w:pPr>
            <w:r>
              <w:rPr>
                <w:b/>
                <w:sz w:val="24"/>
              </w:rPr>
              <w:t>表2-</w:t>
            </w:r>
            <w:r>
              <w:rPr>
                <w:rFonts w:hint="eastAsia"/>
                <w:b/>
                <w:sz w:val="24"/>
              </w:rPr>
              <w:t>11</w:t>
            </w:r>
            <w:r>
              <w:rPr>
                <w:b/>
                <w:sz w:val="24"/>
              </w:rPr>
              <w:t xml:space="preserve">  项目水平衡一览表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537"/>
              <w:gridCol w:w="1250"/>
              <w:gridCol w:w="812"/>
              <w:gridCol w:w="976"/>
              <w:gridCol w:w="582"/>
              <w:gridCol w:w="841"/>
              <w:gridCol w:w="893"/>
              <w:gridCol w:w="888"/>
              <w:gridCol w:w="841"/>
              <w:gridCol w:w="841"/>
            </w:tblGrid>
            <w:tr w14:paraId="506693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blHeader/>
                <w:jc w:val="center"/>
              </w:trPr>
              <w:tc>
                <w:tcPr>
                  <w:tcW w:w="1055" w:type="pct"/>
                  <w:gridSpan w:val="2"/>
                  <w:vMerge w:val="restart"/>
                  <w:vAlign w:val="center"/>
                </w:tcPr>
                <w:p w14:paraId="572D8AC2">
                  <w:pPr>
                    <w:pStyle w:val="19"/>
                    <w:adjustRightInd w:val="0"/>
                    <w:ind w:left="0" w:firstLine="0" w:firstLineChars="0"/>
                    <w:jc w:val="center"/>
                    <w:rPr>
                      <w:b/>
                      <w:bCs/>
                      <w:color w:val="000000"/>
                      <w:szCs w:val="21"/>
                    </w:rPr>
                  </w:pPr>
                  <w:bookmarkStart w:id="25" w:name="OLE_LINK1"/>
                  <w:bookmarkStart w:id="26" w:name="_Hlk169874570"/>
                  <w:r>
                    <w:rPr>
                      <w:b/>
                      <w:bCs/>
                      <w:color w:val="000000"/>
                      <w:szCs w:val="21"/>
                    </w:rPr>
                    <w:t>用水环节</w:t>
                  </w:r>
                </w:p>
              </w:tc>
              <w:tc>
                <w:tcPr>
                  <w:tcW w:w="480" w:type="pct"/>
                  <w:vMerge w:val="restart"/>
                  <w:vAlign w:val="center"/>
                </w:tcPr>
                <w:p w14:paraId="4F7D7CD7">
                  <w:pPr>
                    <w:pStyle w:val="19"/>
                    <w:adjustRightInd w:val="0"/>
                    <w:ind w:left="0" w:firstLine="0" w:firstLineChars="0"/>
                    <w:jc w:val="center"/>
                    <w:rPr>
                      <w:b/>
                      <w:bCs/>
                      <w:color w:val="000000"/>
                      <w:szCs w:val="21"/>
                    </w:rPr>
                  </w:pPr>
                  <w:r>
                    <w:rPr>
                      <w:b/>
                      <w:bCs/>
                      <w:color w:val="000000"/>
                      <w:szCs w:val="21"/>
                    </w:rPr>
                    <w:t>用水标准</w:t>
                  </w:r>
                </w:p>
              </w:tc>
              <w:tc>
                <w:tcPr>
                  <w:tcW w:w="577" w:type="pct"/>
                  <w:vMerge w:val="restart"/>
                  <w:vAlign w:val="center"/>
                </w:tcPr>
                <w:p w14:paraId="03D75EC9">
                  <w:pPr>
                    <w:pStyle w:val="19"/>
                    <w:adjustRightInd w:val="0"/>
                    <w:ind w:left="0" w:firstLine="0" w:firstLineChars="0"/>
                    <w:jc w:val="center"/>
                    <w:rPr>
                      <w:b/>
                      <w:bCs/>
                      <w:color w:val="000000"/>
                      <w:szCs w:val="21"/>
                    </w:rPr>
                  </w:pPr>
                  <w:r>
                    <w:rPr>
                      <w:b/>
                      <w:bCs/>
                      <w:color w:val="000000"/>
                      <w:szCs w:val="21"/>
                    </w:rPr>
                    <w:t>数量</w:t>
                  </w:r>
                </w:p>
              </w:tc>
              <w:tc>
                <w:tcPr>
                  <w:tcW w:w="344" w:type="pct"/>
                  <w:vMerge w:val="restart"/>
                  <w:vAlign w:val="center"/>
                </w:tcPr>
                <w:p w14:paraId="5ECCB6BB">
                  <w:pPr>
                    <w:pStyle w:val="19"/>
                    <w:adjustRightInd w:val="0"/>
                    <w:ind w:left="0" w:firstLine="0" w:firstLineChars="0"/>
                    <w:jc w:val="center"/>
                    <w:rPr>
                      <w:b/>
                      <w:bCs/>
                      <w:color w:val="000000"/>
                      <w:szCs w:val="21"/>
                    </w:rPr>
                  </w:pPr>
                  <w:r>
                    <w:rPr>
                      <w:b/>
                      <w:bCs/>
                      <w:color w:val="000000"/>
                      <w:szCs w:val="21"/>
                    </w:rPr>
                    <w:t>工作天数</w:t>
                  </w:r>
                </w:p>
              </w:tc>
              <w:tc>
                <w:tcPr>
                  <w:tcW w:w="1025" w:type="pct"/>
                  <w:gridSpan w:val="2"/>
                  <w:vAlign w:val="center"/>
                </w:tcPr>
                <w:p w14:paraId="3FEE42D6">
                  <w:pPr>
                    <w:pStyle w:val="19"/>
                    <w:adjustRightInd w:val="0"/>
                    <w:ind w:left="0" w:firstLine="0" w:firstLineChars="0"/>
                    <w:jc w:val="center"/>
                    <w:rPr>
                      <w:b/>
                      <w:bCs/>
                      <w:color w:val="000000"/>
                      <w:szCs w:val="21"/>
                    </w:rPr>
                  </w:pPr>
                  <w:r>
                    <w:rPr>
                      <w:b/>
                      <w:bCs/>
                      <w:color w:val="000000"/>
                      <w:szCs w:val="21"/>
                    </w:rPr>
                    <w:t>用水量</w:t>
                  </w:r>
                </w:p>
              </w:tc>
              <w:tc>
                <w:tcPr>
                  <w:tcW w:w="525" w:type="pct"/>
                  <w:vMerge w:val="restart"/>
                  <w:vAlign w:val="center"/>
                </w:tcPr>
                <w:p w14:paraId="5CA1A37D">
                  <w:pPr>
                    <w:pStyle w:val="19"/>
                    <w:adjustRightInd w:val="0"/>
                    <w:ind w:left="0" w:firstLine="0" w:firstLineChars="0"/>
                    <w:jc w:val="center"/>
                    <w:rPr>
                      <w:b/>
                      <w:bCs/>
                      <w:color w:val="000000"/>
                      <w:szCs w:val="21"/>
                    </w:rPr>
                  </w:pPr>
                  <w:r>
                    <w:rPr>
                      <w:b/>
                      <w:bCs/>
                      <w:color w:val="000000"/>
                      <w:szCs w:val="21"/>
                    </w:rPr>
                    <w:t>损耗量</w:t>
                  </w:r>
                </w:p>
                <w:p w14:paraId="502A8A79">
                  <w:pPr>
                    <w:pStyle w:val="19"/>
                    <w:adjustRightInd w:val="0"/>
                    <w:ind w:left="0" w:firstLine="0" w:firstLineChars="0"/>
                    <w:jc w:val="center"/>
                    <w:rPr>
                      <w:b/>
                      <w:bCs/>
                      <w:color w:val="000000"/>
                      <w:szCs w:val="21"/>
                    </w:rPr>
                  </w:pPr>
                  <w:r>
                    <w:rPr>
                      <w:b/>
                      <w:bCs/>
                      <w:color w:val="000000"/>
                      <w:szCs w:val="21"/>
                    </w:rPr>
                    <w:t>（m³/d）</w:t>
                  </w:r>
                </w:p>
              </w:tc>
              <w:tc>
                <w:tcPr>
                  <w:tcW w:w="994" w:type="pct"/>
                  <w:gridSpan w:val="2"/>
                  <w:vAlign w:val="center"/>
                </w:tcPr>
                <w:p w14:paraId="4AD6317F">
                  <w:pPr>
                    <w:pStyle w:val="19"/>
                    <w:adjustRightInd w:val="0"/>
                    <w:ind w:left="0" w:firstLine="0" w:firstLineChars="0"/>
                    <w:jc w:val="center"/>
                    <w:rPr>
                      <w:b/>
                      <w:bCs/>
                      <w:color w:val="000000"/>
                      <w:szCs w:val="21"/>
                    </w:rPr>
                  </w:pPr>
                  <w:r>
                    <w:rPr>
                      <w:b/>
                      <w:bCs/>
                      <w:color w:val="000000"/>
                      <w:szCs w:val="21"/>
                    </w:rPr>
                    <w:t>排水量</w:t>
                  </w:r>
                </w:p>
              </w:tc>
            </w:tr>
            <w:tr w14:paraId="754A5A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blHeader/>
                <w:jc w:val="center"/>
              </w:trPr>
              <w:tc>
                <w:tcPr>
                  <w:tcW w:w="1055" w:type="pct"/>
                  <w:gridSpan w:val="2"/>
                  <w:vMerge w:val="continue"/>
                  <w:vAlign w:val="center"/>
                </w:tcPr>
                <w:p w14:paraId="1BA9C7B6">
                  <w:pPr>
                    <w:pStyle w:val="19"/>
                    <w:adjustRightInd w:val="0"/>
                    <w:ind w:left="0" w:firstLine="0" w:firstLineChars="0"/>
                    <w:jc w:val="center"/>
                    <w:rPr>
                      <w:b/>
                      <w:bCs/>
                      <w:color w:val="000000"/>
                      <w:szCs w:val="21"/>
                    </w:rPr>
                  </w:pPr>
                </w:p>
              </w:tc>
              <w:tc>
                <w:tcPr>
                  <w:tcW w:w="480" w:type="pct"/>
                  <w:vMerge w:val="continue"/>
                  <w:vAlign w:val="center"/>
                </w:tcPr>
                <w:p w14:paraId="300ED391">
                  <w:pPr>
                    <w:pStyle w:val="19"/>
                    <w:adjustRightInd w:val="0"/>
                    <w:ind w:left="0" w:firstLine="0" w:firstLineChars="0"/>
                    <w:jc w:val="center"/>
                    <w:rPr>
                      <w:b/>
                      <w:bCs/>
                      <w:color w:val="000000"/>
                      <w:szCs w:val="21"/>
                    </w:rPr>
                  </w:pPr>
                </w:p>
              </w:tc>
              <w:tc>
                <w:tcPr>
                  <w:tcW w:w="577" w:type="pct"/>
                  <w:vMerge w:val="continue"/>
                  <w:vAlign w:val="center"/>
                </w:tcPr>
                <w:p w14:paraId="44C7390E">
                  <w:pPr>
                    <w:pStyle w:val="19"/>
                    <w:adjustRightInd w:val="0"/>
                    <w:ind w:left="0" w:firstLine="0" w:firstLineChars="0"/>
                    <w:jc w:val="center"/>
                    <w:rPr>
                      <w:b/>
                      <w:bCs/>
                      <w:color w:val="000000"/>
                      <w:szCs w:val="21"/>
                    </w:rPr>
                  </w:pPr>
                </w:p>
              </w:tc>
              <w:tc>
                <w:tcPr>
                  <w:tcW w:w="344" w:type="pct"/>
                  <w:vMerge w:val="continue"/>
                  <w:vAlign w:val="center"/>
                </w:tcPr>
                <w:p w14:paraId="1EA1BF02">
                  <w:pPr>
                    <w:pStyle w:val="19"/>
                    <w:adjustRightInd w:val="0"/>
                    <w:ind w:left="0" w:firstLine="0" w:firstLineChars="0"/>
                    <w:jc w:val="center"/>
                    <w:rPr>
                      <w:b/>
                      <w:bCs/>
                      <w:color w:val="000000"/>
                      <w:szCs w:val="21"/>
                    </w:rPr>
                  </w:pPr>
                </w:p>
              </w:tc>
              <w:tc>
                <w:tcPr>
                  <w:tcW w:w="497" w:type="pct"/>
                  <w:vAlign w:val="center"/>
                </w:tcPr>
                <w:p w14:paraId="78335DE3">
                  <w:pPr>
                    <w:pStyle w:val="19"/>
                    <w:adjustRightInd w:val="0"/>
                    <w:ind w:left="0" w:firstLine="0" w:firstLineChars="0"/>
                    <w:jc w:val="center"/>
                    <w:rPr>
                      <w:b/>
                      <w:bCs/>
                      <w:color w:val="000000"/>
                      <w:szCs w:val="21"/>
                    </w:rPr>
                  </w:pPr>
                  <w:r>
                    <w:rPr>
                      <w:b/>
                      <w:bCs/>
                      <w:color w:val="000000"/>
                      <w:szCs w:val="21"/>
                    </w:rPr>
                    <w:t>日用水量（m³/d）</w:t>
                  </w:r>
                </w:p>
              </w:tc>
              <w:tc>
                <w:tcPr>
                  <w:tcW w:w="528" w:type="pct"/>
                  <w:vAlign w:val="center"/>
                </w:tcPr>
                <w:p w14:paraId="40F1BED6">
                  <w:pPr>
                    <w:pStyle w:val="19"/>
                    <w:adjustRightInd w:val="0"/>
                    <w:ind w:left="0" w:firstLine="0" w:firstLineChars="0"/>
                    <w:jc w:val="center"/>
                    <w:rPr>
                      <w:b/>
                      <w:bCs/>
                      <w:color w:val="000000"/>
                      <w:szCs w:val="21"/>
                    </w:rPr>
                  </w:pPr>
                  <w:r>
                    <w:rPr>
                      <w:b/>
                      <w:bCs/>
                      <w:color w:val="000000"/>
                      <w:szCs w:val="21"/>
                    </w:rPr>
                    <w:t>年用水量（m³/a）</w:t>
                  </w:r>
                </w:p>
              </w:tc>
              <w:tc>
                <w:tcPr>
                  <w:tcW w:w="525" w:type="pct"/>
                  <w:vMerge w:val="continue"/>
                  <w:vAlign w:val="center"/>
                </w:tcPr>
                <w:p w14:paraId="5CCBF72D">
                  <w:pPr>
                    <w:pStyle w:val="19"/>
                    <w:adjustRightInd w:val="0"/>
                    <w:ind w:left="0" w:firstLine="0" w:firstLineChars="0"/>
                    <w:jc w:val="center"/>
                    <w:rPr>
                      <w:b/>
                      <w:bCs/>
                      <w:color w:val="000000"/>
                      <w:szCs w:val="21"/>
                    </w:rPr>
                  </w:pPr>
                </w:p>
              </w:tc>
              <w:tc>
                <w:tcPr>
                  <w:tcW w:w="497" w:type="pct"/>
                  <w:vAlign w:val="center"/>
                </w:tcPr>
                <w:p w14:paraId="402D1B17">
                  <w:pPr>
                    <w:pStyle w:val="19"/>
                    <w:adjustRightInd w:val="0"/>
                    <w:ind w:left="0" w:firstLine="0" w:firstLineChars="0"/>
                    <w:jc w:val="center"/>
                    <w:rPr>
                      <w:b/>
                      <w:bCs/>
                      <w:color w:val="000000"/>
                      <w:szCs w:val="21"/>
                    </w:rPr>
                  </w:pPr>
                  <w:r>
                    <w:rPr>
                      <w:b/>
                      <w:bCs/>
                      <w:color w:val="000000"/>
                      <w:szCs w:val="21"/>
                    </w:rPr>
                    <w:t>日排水量（m³/d）</w:t>
                  </w:r>
                </w:p>
              </w:tc>
              <w:tc>
                <w:tcPr>
                  <w:tcW w:w="497" w:type="pct"/>
                  <w:vAlign w:val="center"/>
                </w:tcPr>
                <w:p w14:paraId="1AB8D860">
                  <w:pPr>
                    <w:pStyle w:val="19"/>
                    <w:adjustRightInd w:val="0"/>
                    <w:ind w:left="0" w:firstLine="0" w:firstLineChars="0"/>
                    <w:jc w:val="center"/>
                    <w:rPr>
                      <w:b/>
                      <w:bCs/>
                      <w:color w:val="000000"/>
                      <w:szCs w:val="21"/>
                    </w:rPr>
                  </w:pPr>
                  <w:r>
                    <w:rPr>
                      <w:b/>
                      <w:bCs/>
                      <w:color w:val="000000"/>
                      <w:szCs w:val="21"/>
                    </w:rPr>
                    <w:t>年排水量（m³/a）</w:t>
                  </w:r>
                </w:p>
              </w:tc>
            </w:tr>
            <w:tr w14:paraId="37652E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blHeader/>
                <w:jc w:val="center"/>
              </w:trPr>
              <w:tc>
                <w:tcPr>
                  <w:tcW w:w="1055" w:type="pct"/>
                  <w:gridSpan w:val="2"/>
                  <w:vAlign w:val="center"/>
                </w:tcPr>
                <w:p w14:paraId="3FE35242">
                  <w:pPr>
                    <w:pStyle w:val="19"/>
                    <w:adjustRightInd w:val="0"/>
                    <w:ind w:left="0" w:firstLine="0" w:firstLineChars="0"/>
                    <w:jc w:val="center"/>
                    <w:rPr>
                      <w:color w:val="000000"/>
                      <w:szCs w:val="21"/>
                    </w:rPr>
                  </w:pPr>
                  <w:r>
                    <w:rPr>
                      <w:color w:val="000000"/>
                      <w:szCs w:val="21"/>
                    </w:rPr>
                    <w:t>生活用水</w:t>
                  </w:r>
                </w:p>
              </w:tc>
              <w:tc>
                <w:tcPr>
                  <w:tcW w:w="821" w:type="dxa"/>
                  <w:vAlign w:val="center"/>
                </w:tcPr>
                <w:p w14:paraId="698470F0">
                  <w:pPr>
                    <w:widowControl/>
                    <w:jc w:val="center"/>
                    <w:textAlignment w:val="center"/>
                    <w:rPr>
                      <w:color w:val="000000"/>
                      <w:szCs w:val="21"/>
                    </w:rPr>
                  </w:pPr>
                  <w:r>
                    <w:rPr>
                      <w:color w:val="000000"/>
                      <w:kern w:val="0"/>
                      <w:szCs w:val="21"/>
                      <w:lang w:bidi="ar"/>
                    </w:rPr>
                    <w:t>100L</w:t>
                  </w:r>
                </w:p>
              </w:tc>
              <w:tc>
                <w:tcPr>
                  <w:tcW w:w="986" w:type="dxa"/>
                  <w:vAlign w:val="center"/>
                </w:tcPr>
                <w:p w14:paraId="02AE5A57">
                  <w:pPr>
                    <w:widowControl/>
                    <w:jc w:val="center"/>
                    <w:textAlignment w:val="center"/>
                    <w:rPr>
                      <w:color w:val="000000"/>
                      <w:szCs w:val="21"/>
                    </w:rPr>
                  </w:pPr>
                  <w:r>
                    <w:rPr>
                      <w:rFonts w:hint="eastAsia"/>
                      <w:color w:val="000000"/>
                      <w:kern w:val="0"/>
                      <w:szCs w:val="21"/>
                      <w:lang w:bidi="ar"/>
                    </w:rPr>
                    <w:t>8</w:t>
                  </w:r>
                  <w:r>
                    <w:rPr>
                      <w:color w:val="000000"/>
                      <w:kern w:val="0"/>
                      <w:szCs w:val="21"/>
                      <w:lang w:bidi="ar"/>
                    </w:rPr>
                    <w:t>0人</w:t>
                  </w:r>
                </w:p>
              </w:tc>
              <w:tc>
                <w:tcPr>
                  <w:tcW w:w="588" w:type="dxa"/>
                  <w:vAlign w:val="center"/>
                </w:tcPr>
                <w:p w14:paraId="52DB47BE">
                  <w:pPr>
                    <w:widowControl/>
                    <w:jc w:val="center"/>
                    <w:textAlignment w:val="center"/>
                    <w:rPr>
                      <w:color w:val="000000"/>
                      <w:szCs w:val="21"/>
                    </w:rPr>
                  </w:pPr>
                  <w:r>
                    <w:rPr>
                      <w:color w:val="000000"/>
                      <w:kern w:val="0"/>
                      <w:sz w:val="20"/>
                      <w:szCs w:val="20"/>
                      <w:lang w:bidi="ar"/>
                    </w:rPr>
                    <w:t>300d/a</w:t>
                  </w:r>
                </w:p>
              </w:tc>
              <w:tc>
                <w:tcPr>
                  <w:tcW w:w="850" w:type="dxa"/>
                  <w:vAlign w:val="center"/>
                </w:tcPr>
                <w:p w14:paraId="1E56BC83">
                  <w:pPr>
                    <w:widowControl/>
                    <w:jc w:val="center"/>
                    <w:textAlignment w:val="center"/>
                    <w:rPr>
                      <w:color w:val="000000"/>
                      <w:kern w:val="0"/>
                      <w:szCs w:val="21"/>
                    </w:rPr>
                  </w:pPr>
                  <w:r>
                    <w:rPr>
                      <w:color w:val="000000"/>
                      <w:kern w:val="0"/>
                      <w:sz w:val="20"/>
                      <w:szCs w:val="20"/>
                      <w:lang w:bidi="ar"/>
                    </w:rPr>
                    <w:t>8</w:t>
                  </w:r>
                </w:p>
              </w:tc>
              <w:tc>
                <w:tcPr>
                  <w:tcW w:w="903" w:type="dxa"/>
                  <w:vAlign w:val="center"/>
                </w:tcPr>
                <w:p w14:paraId="380E346A">
                  <w:pPr>
                    <w:widowControl/>
                    <w:jc w:val="center"/>
                    <w:textAlignment w:val="center"/>
                    <w:rPr>
                      <w:color w:val="000000"/>
                      <w:szCs w:val="21"/>
                    </w:rPr>
                  </w:pPr>
                  <w:r>
                    <w:rPr>
                      <w:color w:val="000000"/>
                      <w:kern w:val="0"/>
                      <w:sz w:val="20"/>
                      <w:szCs w:val="20"/>
                      <w:lang w:bidi="ar"/>
                    </w:rPr>
                    <w:t>2400</w:t>
                  </w:r>
                </w:p>
              </w:tc>
              <w:tc>
                <w:tcPr>
                  <w:tcW w:w="897" w:type="dxa"/>
                  <w:vAlign w:val="center"/>
                </w:tcPr>
                <w:p w14:paraId="0F3A6498">
                  <w:pPr>
                    <w:widowControl/>
                    <w:jc w:val="center"/>
                    <w:textAlignment w:val="center"/>
                    <w:rPr>
                      <w:color w:val="000000"/>
                      <w:szCs w:val="21"/>
                    </w:rPr>
                  </w:pPr>
                  <w:r>
                    <w:rPr>
                      <w:color w:val="000000"/>
                      <w:kern w:val="0"/>
                      <w:sz w:val="20"/>
                      <w:szCs w:val="20"/>
                      <w:lang w:bidi="ar"/>
                    </w:rPr>
                    <w:t>1.6</w:t>
                  </w:r>
                </w:p>
              </w:tc>
              <w:tc>
                <w:tcPr>
                  <w:tcW w:w="850" w:type="dxa"/>
                  <w:vAlign w:val="center"/>
                </w:tcPr>
                <w:p w14:paraId="398E6060">
                  <w:pPr>
                    <w:widowControl/>
                    <w:jc w:val="center"/>
                    <w:textAlignment w:val="center"/>
                    <w:rPr>
                      <w:rFonts w:eastAsia="等线"/>
                      <w:color w:val="000000"/>
                      <w:kern w:val="0"/>
                      <w:szCs w:val="21"/>
                    </w:rPr>
                  </w:pPr>
                  <w:r>
                    <w:rPr>
                      <w:color w:val="000000"/>
                      <w:kern w:val="0"/>
                      <w:sz w:val="20"/>
                      <w:szCs w:val="20"/>
                      <w:lang w:bidi="ar"/>
                    </w:rPr>
                    <w:t>6.4</w:t>
                  </w:r>
                </w:p>
              </w:tc>
              <w:tc>
                <w:tcPr>
                  <w:tcW w:w="850" w:type="dxa"/>
                  <w:vAlign w:val="center"/>
                </w:tcPr>
                <w:p w14:paraId="74347374">
                  <w:pPr>
                    <w:widowControl/>
                    <w:jc w:val="center"/>
                    <w:textAlignment w:val="center"/>
                    <w:rPr>
                      <w:rFonts w:eastAsia="等线"/>
                      <w:color w:val="000000"/>
                      <w:szCs w:val="21"/>
                    </w:rPr>
                  </w:pPr>
                  <w:r>
                    <w:rPr>
                      <w:color w:val="000000"/>
                      <w:kern w:val="0"/>
                      <w:sz w:val="20"/>
                      <w:szCs w:val="20"/>
                      <w:lang w:bidi="ar"/>
                    </w:rPr>
                    <w:t>1920</w:t>
                  </w:r>
                </w:p>
              </w:tc>
            </w:tr>
            <w:tr w14:paraId="2D5D9A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blHeader/>
                <w:jc w:val="center"/>
              </w:trPr>
              <w:tc>
                <w:tcPr>
                  <w:tcW w:w="1055" w:type="pct"/>
                  <w:gridSpan w:val="2"/>
                  <w:vAlign w:val="center"/>
                </w:tcPr>
                <w:p w14:paraId="620A6E98">
                  <w:pPr>
                    <w:pStyle w:val="19"/>
                    <w:adjustRightInd w:val="0"/>
                    <w:ind w:left="0" w:firstLine="0" w:firstLineChars="0"/>
                    <w:jc w:val="center"/>
                    <w:rPr>
                      <w:color w:val="000000"/>
                      <w:szCs w:val="21"/>
                    </w:rPr>
                  </w:pPr>
                  <w:r>
                    <w:rPr>
                      <w:color w:val="000000"/>
                      <w:szCs w:val="21"/>
                    </w:rPr>
                    <w:t>生产用水</w:t>
                  </w:r>
                </w:p>
              </w:tc>
              <w:tc>
                <w:tcPr>
                  <w:tcW w:w="821" w:type="dxa"/>
                  <w:vAlign w:val="center"/>
                </w:tcPr>
                <w:p w14:paraId="3DE08C3D">
                  <w:pPr>
                    <w:widowControl/>
                    <w:jc w:val="center"/>
                    <w:textAlignment w:val="center"/>
                    <w:rPr>
                      <w:color w:val="000000"/>
                      <w:szCs w:val="21"/>
                    </w:rPr>
                  </w:pPr>
                  <w:r>
                    <w:rPr>
                      <w:color w:val="000000"/>
                      <w:kern w:val="0"/>
                      <w:szCs w:val="21"/>
                      <w:lang w:bidi="ar"/>
                    </w:rPr>
                    <w:t>/</w:t>
                  </w:r>
                </w:p>
              </w:tc>
              <w:tc>
                <w:tcPr>
                  <w:tcW w:w="986" w:type="dxa"/>
                  <w:vAlign w:val="center"/>
                </w:tcPr>
                <w:p w14:paraId="3D13B48D">
                  <w:pPr>
                    <w:widowControl/>
                    <w:jc w:val="center"/>
                    <w:textAlignment w:val="center"/>
                    <w:rPr>
                      <w:color w:val="000000"/>
                      <w:szCs w:val="21"/>
                    </w:rPr>
                  </w:pPr>
                  <w:r>
                    <w:rPr>
                      <w:color w:val="000000"/>
                      <w:kern w:val="0"/>
                      <w:szCs w:val="21"/>
                      <w:lang w:bidi="ar"/>
                    </w:rPr>
                    <w:t>/</w:t>
                  </w:r>
                </w:p>
              </w:tc>
              <w:tc>
                <w:tcPr>
                  <w:tcW w:w="588" w:type="dxa"/>
                  <w:vAlign w:val="center"/>
                </w:tcPr>
                <w:p w14:paraId="1D3828FC">
                  <w:pPr>
                    <w:widowControl/>
                    <w:jc w:val="center"/>
                    <w:textAlignment w:val="center"/>
                    <w:rPr>
                      <w:rFonts w:eastAsia="等线"/>
                      <w:color w:val="000000"/>
                      <w:szCs w:val="21"/>
                    </w:rPr>
                  </w:pPr>
                  <w:r>
                    <w:rPr>
                      <w:color w:val="000000"/>
                      <w:kern w:val="0"/>
                      <w:sz w:val="20"/>
                      <w:szCs w:val="20"/>
                      <w:lang w:bidi="ar"/>
                    </w:rPr>
                    <w:t>/</w:t>
                  </w:r>
                </w:p>
              </w:tc>
              <w:tc>
                <w:tcPr>
                  <w:tcW w:w="850" w:type="dxa"/>
                  <w:vAlign w:val="center"/>
                </w:tcPr>
                <w:p w14:paraId="27CFAA3A">
                  <w:pPr>
                    <w:widowControl/>
                    <w:jc w:val="center"/>
                    <w:textAlignment w:val="center"/>
                    <w:rPr>
                      <w:color w:val="000000"/>
                      <w:kern w:val="0"/>
                      <w:szCs w:val="21"/>
                    </w:rPr>
                  </w:pPr>
                  <w:r>
                    <w:rPr>
                      <w:color w:val="000000"/>
                      <w:kern w:val="0"/>
                      <w:sz w:val="20"/>
                      <w:szCs w:val="20"/>
                      <w:lang w:bidi="ar"/>
                    </w:rPr>
                    <w:t xml:space="preserve">325.022 </w:t>
                  </w:r>
                </w:p>
              </w:tc>
              <w:tc>
                <w:tcPr>
                  <w:tcW w:w="903" w:type="dxa"/>
                  <w:vAlign w:val="center"/>
                </w:tcPr>
                <w:p w14:paraId="16157FF9">
                  <w:pPr>
                    <w:widowControl/>
                    <w:jc w:val="center"/>
                    <w:textAlignment w:val="center"/>
                    <w:rPr>
                      <w:color w:val="000000"/>
                      <w:szCs w:val="21"/>
                    </w:rPr>
                  </w:pPr>
                  <w:r>
                    <w:rPr>
                      <w:color w:val="000000"/>
                      <w:kern w:val="0"/>
                      <w:sz w:val="20"/>
                      <w:szCs w:val="20"/>
                      <w:lang w:bidi="ar"/>
                    </w:rPr>
                    <w:t>97507.5</w:t>
                  </w:r>
                </w:p>
              </w:tc>
              <w:tc>
                <w:tcPr>
                  <w:tcW w:w="897" w:type="dxa"/>
                  <w:vAlign w:val="center"/>
                </w:tcPr>
                <w:p w14:paraId="22B85909">
                  <w:pPr>
                    <w:widowControl/>
                    <w:jc w:val="center"/>
                    <w:textAlignment w:val="center"/>
                    <w:rPr>
                      <w:color w:val="000000"/>
                      <w:szCs w:val="21"/>
                    </w:rPr>
                  </w:pPr>
                  <w:r>
                    <w:rPr>
                      <w:color w:val="000000"/>
                      <w:kern w:val="0"/>
                      <w:sz w:val="20"/>
                      <w:szCs w:val="20"/>
                      <w:lang w:bidi="ar"/>
                    </w:rPr>
                    <w:t xml:space="preserve">43.783 </w:t>
                  </w:r>
                </w:p>
              </w:tc>
              <w:tc>
                <w:tcPr>
                  <w:tcW w:w="850" w:type="dxa"/>
                  <w:vAlign w:val="center"/>
                </w:tcPr>
                <w:p w14:paraId="547A13DD">
                  <w:pPr>
                    <w:widowControl/>
                    <w:jc w:val="center"/>
                    <w:textAlignment w:val="center"/>
                    <w:rPr>
                      <w:color w:val="000000"/>
                      <w:szCs w:val="21"/>
                    </w:rPr>
                  </w:pPr>
                  <w:r>
                    <w:rPr>
                      <w:color w:val="000000"/>
                      <w:kern w:val="0"/>
                      <w:sz w:val="20"/>
                      <w:szCs w:val="20"/>
                      <w:lang w:bidi="ar"/>
                    </w:rPr>
                    <w:t xml:space="preserve">259.558 </w:t>
                  </w:r>
                </w:p>
              </w:tc>
              <w:tc>
                <w:tcPr>
                  <w:tcW w:w="850" w:type="dxa"/>
                  <w:vAlign w:val="center"/>
                </w:tcPr>
                <w:p w14:paraId="51ADE45F">
                  <w:pPr>
                    <w:widowControl/>
                    <w:jc w:val="center"/>
                    <w:textAlignment w:val="center"/>
                    <w:rPr>
                      <w:color w:val="000000"/>
                      <w:szCs w:val="21"/>
                    </w:rPr>
                  </w:pPr>
                  <w:r>
                    <w:rPr>
                      <w:color w:val="000000"/>
                      <w:kern w:val="0"/>
                      <w:sz w:val="20"/>
                      <w:szCs w:val="20"/>
                      <w:lang w:bidi="ar"/>
                    </w:rPr>
                    <w:t>77868.5</w:t>
                  </w:r>
                </w:p>
              </w:tc>
            </w:tr>
            <w:tr w14:paraId="1D86F1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blHeader/>
                <w:jc w:val="center"/>
              </w:trPr>
              <w:tc>
                <w:tcPr>
                  <w:tcW w:w="317" w:type="pct"/>
                  <w:vMerge w:val="restart"/>
                  <w:vAlign w:val="center"/>
                </w:tcPr>
                <w:p w14:paraId="475FC771">
                  <w:pPr>
                    <w:pStyle w:val="19"/>
                    <w:adjustRightInd w:val="0"/>
                    <w:ind w:left="420" w:hanging="420"/>
                    <w:jc w:val="center"/>
                    <w:rPr>
                      <w:color w:val="000000"/>
                      <w:szCs w:val="21"/>
                    </w:rPr>
                  </w:pPr>
                  <w:r>
                    <w:rPr>
                      <w:color w:val="000000"/>
                      <w:szCs w:val="21"/>
                    </w:rPr>
                    <w:t>其中</w:t>
                  </w:r>
                </w:p>
              </w:tc>
              <w:tc>
                <w:tcPr>
                  <w:tcW w:w="738" w:type="pct"/>
                  <w:vMerge w:val="restart"/>
                  <w:vAlign w:val="center"/>
                </w:tcPr>
                <w:p w14:paraId="6C61A38B">
                  <w:pPr>
                    <w:pStyle w:val="19"/>
                    <w:ind w:left="420" w:hanging="420"/>
                    <w:jc w:val="center"/>
                    <w:rPr>
                      <w:color w:val="000000"/>
                      <w:szCs w:val="21"/>
                    </w:rPr>
                  </w:pPr>
                  <w:r>
                    <w:rPr>
                      <w:color w:val="000000"/>
                      <w:szCs w:val="21"/>
                    </w:rPr>
                    <w:t>锅炉用水</w:t>
                  </w:r>
                </w:p>
              </w:tc>
              <w:tc>
                <w:tcPr>
                  <w:tcW w:w="480" w:type="pct"/>
                  <w:vAlign w:val="center"/>
                </w:tcPr>
                <w:p w14:paraId="599D56CB">
                  <w:pPr>
                    <w:pStyle w:val="19"/>
                    <w:ind w:left="420" w:hanging="420"/>
                    <w:jc w:val="center"/>
                    <w:rPr>
                      <w:color w:val="000000"/>
                      <w:szCs w:val="21"/>
                    </w:rPr>
                  </w:pPr>
                  <w:r>
                    <w:rPr>
                      <w:color w:val="000000"/>
                      <w:szCs w:val="21"/>
                    </w:rPr>
                    <w:t>/</w:t>
                  </w:r>
                </w:p>
              </w:tc>
              <w:tc>
                <w:tcPr>
                  <w:tcW w:w="577" w:type="pct"/>
                  <w:vAlign w:val="center"/>
                </w:tcPr>
                <w:p w14:paraId="12DF0BA3">
                  <w:pPr>
                    <w:pStyle w:val="19"/>
                    <w:ind w:left="420" w:hanging="420"/>
                    <w:jc w:val="center"/>
                    <w:rPr>
                      <w:color w:val="000000"/>
                      <w:szCs w:val="21"/>
                    </w:rPr>
                  </w:pPr>
                  <w:r>
                    <w:rPr>
                      <w:color w:val="000000"/>
                      <w:szCs w:val="21"/>
                    </w:rPr>
                    <w:t>/</w:t>
                  </w:r>
                </w:p>
              </w:tc>
              <w:tc>
                <w:tcPr>
                  <w:tcW w:w="344" w:type="pct"/>
                  <w:vAlign w:val="center"/>
                </w:tcPr>
                <w:p w14:paraId="69C61F86">
                  <w:pPr>
                    <w:widowControl/>
                    <w:jc w:val="center"/>
                    <w:rPr>
                      <w:rFonts w:eastAsia="等线"/>
                      <w:color w:val="000000"/>
                      <w:szCs w:val="21"/>
                    </w:rPr>
                  </w:pPr>
                  <w:r>
                    <w:rPr>
                      <w:color w:val="000000"/>
                      <w:szCs w:val="21"/>
                    </w:rPr>
                    <w:t>300</w:t>
                  </w:r>
                  <w:r>
                    <w:rPr>
                      <w:rFonts w:eastAsia="等线"/>
                      <w:color w:val="000000"/>
                      <w:szCs w:val="21"/>
                    </w:rPr>
                    <w:t>d/a</w:t>
                  </w:r>
                </w:p>
              </w:tc>
              <w:tc>
                <w:tcPr>
                  <w:tcW w:w="497" w:type="pct"/>
                  <w:vAlign w:val="center"/>
                </w:tcPr>
                <w:p w14:paraId="5B133FD9">
                  <w:pPr>
                    <w:widowControl/>
                    <w:jc w:val="center"/>
                    <w:rPr>
                      <w:rFonts w:eastAsia="等线"/>
                      <w:color w:val="000000"/>
                      <w:kern w:val="0"/>
                      <w:szCs w:val="21"/>
                    </w:rPr>
                  </w:pPr>
                  <w:r>
                    <w:rPr>
                      <w:rFonts w:eastAsia="等线"/>
                      <w:color w:val="000000"/>
                      <w:kern w:val="0"/>
                      <w:szCs w:val="21"/>
                    </w:rPr>
                    <w:t>22.56</w:t>
                  </w:r>
                </w:p>
              </w:tc>
              <w:tc>
                <w:tcPr>
                  <w:tcW w:w="528" w:type="pct"/>
                  <w:vAlign w:val="center"/>
                </w:tcPr>
                <w:p w14:paraId="3B90FF09">
                  <w:pPr>
                    <w:jc w:val="center"/>
                    <w:rPr>
                      <w:rFonts w:eastAsia="等线"/>
                      <w:color w:val="000000"/>
                      <w:szCs w:val="21"/>
                    </w:rPr>
                  </w:pPr>
                  <w:r>
                    <w:rPr>
                      <w:rFonts w:eastAsia="等线"/>
                      <w:color w:val="000000"/>
                      <w:szCs w:val="21"/>
                    </w:rPr>
                    <w:t>6768</w:t>
                  </w:r>
                </w:p>
              </w:tc>
              <w:tc>
                <w:tcPr>
                  <w:tcW w:w="525" w:type="pct"/>
                  <w:vAlign w:val="center"/>
                </w:tcPr>
                <w:p w14:paraId="5129A686">
                  <w:pPr>
                    <w:jc w:val="center"/>
                    <w:rPr>
                      <w:rFonts w:eastAsia="等线"/>
                      <w:color w:val="000000"/>
                      <w:szCs w:val="21"/>
                    </w:rPr>
                  </w:pPr>
                  <w:r>
                    <w:rPr>
                      <w:rFonts w:eastAsia="等线"/>
                      <w:color w:val="000000"/>
                      <w:szCs w:val="21"/>
                    </w:rPr>
                    <w:t>/</w:t>
                  </w:r>
                </w:p>
              </w:tc>
              <w:tc>
                <w:tcPr>
                  <w:tcW w:w="497" w:type="pct"/>
                  <w:vAlign w:val="center"/>
                </w:tcPr>
                <w:p w14:paraId="68F3D197">
                  <w:pPr>
                    <w:jc w:val="center"/>
                    <w:rPr>
                      <w:rFonts w:eastAsia="等线"/>
                      <w:color w:val="000000"/>
                      <w:szCs w:val="21"/>
                    </w:rPr>
                  </w:pPr>
                  <w:r>
                    <w:rPr>
                      <w:rFonts w:eastAsia="等线"/>
                      <w:color w:val="000000"/>
                      <w:szCs w:val="21"/>
                    </w:rPr>
                    <w:t>12.96（定排水0.96+浓水12）</w:t>
                  </w:r>
                </w:p>
              </w:tc>
              <w:tc>
                <w:tcPr>
                  <w:tcW w:w="497" w:type="pct"/>
                  <w:vAlign w:val="center"/>
                </w:tcPr>
                <w:p w14:paraId="6267C1C0">
                  <w:pPr>
                    <w:jc w:val="center"/>
                    <w:rPr>
                      <w:rFonts w:eastAsia="等线"/>
                      <w:color w:val="000000"/>
                      <w:szCs w:val="21"/>
                    </w:rPr>
                  </w:pPr>
                  <w:r>
                    <w:rPr>
                      <w:rFonts w:eastAsia="等线"/>
                      <w:color w:val="000000"/>
                      <w:szCs w:val="21"/>
                    </w:rPr>
                    <w:t>3888</w:t>
                  </w:r>
                </w:p>
              </w:tc>
            </w:tr>
            <w:tr w14:paraId="0C90B3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blHeader/>
                <w:jc w:val="center"/>
              </w:trPr>
              <w:tc>
                <w:tcPr>
                  <w:tcW w:w="317" w:type="pct"/>
                  <w:vMerge w:val="continue"/>
                  <w:vAlign w:val="center"/>
                </w:tcPr>
                <w:p w14:paraId="50300DCD">
                  <w:pPr>
                    <w:pStyle w:val="19"/>
                    <w:adjustRightInd w:val="0"/>
                    <w:ind w:left="420" w:hanging="420"/>
                    <w:jc w:val="center"/>
                    <w:rPr>
                      <w:color w:val="000000"/>
                      <w:szCs w:val="21"/>
                    </w:rPr>
                  </w:pPr>
                </w:p>
              </w:tc>
              <w:tc>
                <w:tcPr>
                  <w:tcW w:w="738" w:type="pct"/>
                  <w:vMerge w:val="continue"/>
                  <w:vAlign w:val="center"/>
                </w:tcPr>
                <w:p w14:paraId="23A4E1B5">
                  <w:pPr>
                    <w:pStyle w:val="19"/>
                    <w:adjustRightInd w:val="0"/>
                    <w:ind w:left="0" w:firstLine="0" w:firstLineChars="0"/>
                    <w:jc w:val="center"/>
                    <w:rPr>
                      <w:color w:val="000000"/>
                      <w:szCs w:val="21"/>
                    </w:rPr>
                  </w:pPr>
                </w:p>
              </w:tc>
              <w:tc>
                <w:tcPr>
                  <w:tcW w:w="480" w:type="pct"/>
                  <w:vAlign w:val="center"/>
                </w:tcPr>
                <w:p w14:paraId="688EFF1E">
                  <w:pPr>
                    <w:pStyle w:val="19"/>
                    <w:adjustRightInd w:val="0"/>
                    <w:ind w:left="0" w:firstLine="0" w:firstLineChars="0"/>
                    <w:jc w:val="center"/>
                    <w:rPr>
                      <w:color w:val="000000"/>
                      <w:szCs w:val="21"/>
                    </w:rPr>
                  </w:pPr>
                  <w:r>
                    <w:rPr>
                      <w:color w:val="000000"/>
                      <w:szCs w:val="21"/>
                    </w:rPr>
                    <w:t>蒸汽</w:t>
                  </w:r>
                </w:p>
              </w:tc>
              <w:tc>
                <w:tcPr>
                  <w:tcW w:w="577" w:type="pct"/>
                  <w:vAlign w:val="center"/>
                </w:tcPr>
                <w:p w14:paraId="0D536621">
                  <w:pPr>
                    <w:pStyle w:val="19"/>
                    <w:adjustRightInd w:val="0"/>
                    <w:ind w:left="0" w:firstLine="0" w:firstLineChars="0"/>
                    <w:jc w:val="center"/>
                    <w:rPr>
                      <w:color w:val="000000"/>
                      <w:szCs w:val="21"/>
                    </w:rPr>
                  </w:pPr>
                  <w:r>
                    <w:rPr>
                      <w:color w:val="000000"/>
                      <w:szCs w:val="21"/>
                    </w:rPr>
                    <w:t>/</w:t>
                  </w:r>
                </w:p>
              </w:tc>
              <w:tc>
                <w:tcPr>
                  <w:tcW w:w="344" w:type="pct"/>
                  <w:vAlign w:val="center"/>
                </w:tcPr>
                <w:p w14:paraId="6013F308">
                  <w:pPr>
                    <w:widowControl/>
                    <w:adjustRightInd w:val="0"/>
                    <w:contextualSpacing/>
                    <w:jc w:val="center"/>
                    <w:rPr>
                      <w:color w:val="000000"/>
                      <w:szCs w:val="21"/>
                    </w:rPr>
                  </w:pPr>
                  <w:r>
                    <w:rPr>
                      <w:color w:val="000000"/>
                      <w:szCs w:val="21"/>
                    </w:rPr>
                    <w:t>/</w:t>
                  </w:r>
                </w:p>
              </w:tc>
              <w:tc>
                <w:tcPr>
                  <w:tcW w:w="497" w:type="pct"/>
                  <w:vAlign w:val="center"/>
                </w:tcPr>
                <w:p w14:paraId="41F939FE">
                  <w:pPr>
                    <w:widowControl/>
                    <w:adjustRightInd w:val="0"/>
                    <w:contextualSpacing/>
                    <w:jc w:val="center"/>
                    <w:rPr>
                      <w:rFonts w:eastAsia="等线"/>
                      <w:color w:val="000000"/>
                      <w:kern w:val="0"/>
                      <w:szCs w:val="21"/>
                    </w:rPr>
                  </w:pPr>
                  <w:r>
                    <w:rPr>
                      <w:rFonts w:eastAsia="等线"/>
                      <w:color w:val="000000"/>
                      <w:kern w:val="0"/>
                      <w:szCs w:val="21"/>
                    </w:rPr>
                    <w:t>/</w:t>
                  </w:r>
                </w:p>
              </w:tc>
              <w:tc>
                <w:tcPr>
                  <w:tcW w:w="528" w:type="pct"/>
                  <w:vAlign w:val="center"/>
                </w:tcPr>
                <w:p w14:paraId="2F8D263C">
                  <w:pPr>
                    <w:adjustRightInd w:val="0"/>
                    <w:contextualSpacing/>
                    <w:jc w:val="center"/>
                    <w:rPr>
                      <w:rFonts w:eastAsia="等线"/>
                      <w:color w:val="000000"/>
                      <w:szCs w:val="21"/>
                    </w:rPr>
                  </w:pPr>
                  <w:r>
                    <w:rPr>
                      <w:rFonts w:eastAsia="等线"/>
                      <w:color w:val="000000"/>
                      <w:szCs w:val="21"/>
                    </w:rPr>
                    <w:t>/</w:t>
                  </w:r>
                </w:p>
              </w:tc>
              <w:tc>
                <w:tcPr>
                  <w:tcW w:w="525" w:type="pct"/>
                  <w:vAlign w:val="center"/>
                </w:tcPr>
                <w:p w14:paraId="4AEA5EE9">
                  <w:pPr>
                    <w:adjustRightInd w:val="0"/>
                    <w:contextualSpacing/>
                    <w:jc w:val="center"/>
                    <w:rPr>
                      <w:rFonts w:eastAsia="等线"/>
                      <w:color w:val="000000"/>
                      <w:szCs w:val="21"/>
                    </w:rPr>
                  </w:pPr>
                  <w:r>
                    <w:rPr>
                      <w:rFonts w:eastAsia="等线"/>
                      <w:color w:val="000000"/>
                      <w:szCs w:val="21"/>
                    </w:rPr>
                    <w:t>9.6</w:t>
                  </w:r>
                </w:p>
              </w:tc>
              <w:tc>
                <w:tcPr>
                  <w:tcW w:w="497" w:type="pct"/>
                  <w:vAlign w:val="center"/>
                </w:tcPr>
                <w:p w14:paraId="3692E516">
                  <w:pPr>
                    <w:adjustRightInd w:val="0"/>
                    <w:contextualSpacing/>
                    <w:jc w:val="center"/>
                    <w:rPr>
                      <w:rFonts w:eastAsia="等线"/>
                      <w:color w:val="000000"/>
                      <w:szCs w:val="21"/>
                    </w:rPr>
                  </w:pPr>
                  <w:r>
                    <w:rPr>
                      <w:rFonts w:eastAsia="等线"/>
                      <w:color w:val="000000"/>
                      <w:szCs w:val="21"/>
                    </w:rPr>
                    <w:t>/</w:t>
                  </w:r>
                </w:p>
              </w:tc>
              <w:tc>
                <w:tcPr>
                  <w:tcW w:w="497" w:type="pct"/>
                  <w:vAlign w:val="center"/>
                </w:tcPr>
                <w:p w14:paraId="40768FCD">
                  <w:pPr>
                    <w:adjustRightInd w:val="0"/>
                    <w:contextualSpacing/>
                    <w:jc w:val="center"/>
                    <w:rPr>
                      <w:rFonts w:eastAsia="等线"/>
                      <w:color w:val="000000"/>
                      <w:szCs w:val="21"/>
                    </w:rPr>
                  </w:pPr>
                </w:p>
              </w:tc>
            </w:tr>
            <w:tr w14:paraId="034FD7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blHeader/>
                <w:jc w:val="center"/>
              </w:trPr>
              <w:tc>
                <w:tcPr>
                  <w:tcW w:w="317" w:type="pct"/>
                  <w:vMerge w:val="continue"/>
                  <w:vAlign w:val="center"/>
                </w:tcPr>
                <w:p w14:paraId="23BF6978">
                  <w:pPr>
                    <w:pStyle w:val="19"/>
                    <w:adjustRightInd w:val="0"/>
                    <w:ind w:left="0" w:firstLine="0" w:firstLineChars="0"/>
                    <w:jc w:val="center"/>
                    <w:rPr>
                      <w:color w:val="000000"/>
                      <w:szCs w:val="21"/>
                    </w:rPr>
                  </w:pPr>
                </w:p>
              </w:tc>
              <w:tc>
                <w:tcPr>
                  <w:tcW w:w="738" w:type="pct"/>
                  <w:vMerge w:val="restart"/>
                  <w:vAlign w:val="center"/>
                </w:tcPr>
                <w:p w14:paraId="525F962C">
                  <w:pPr>
                    <w:pStyle w:val="19"/>
                    <w:adjustRightInd w:val="0"/>
                    <w:ind w:left="0" w:firstLine="0" w:firstLineChars="0"/>
                    <w:jc w:val="center"/>
                    <w:rPr>
                      <w:color w:val="000000"/>
                      <w:szCs w:val="21"/>
                    </w:rPr>
                  </w:pPr>
                  <w:r>
                    <w:rPr>
                      <w:color w:val="000000"/>
                      <w:szCs w:val="21"/>
                    </w:rPr>
                    <w:t>肉类卤制品预处理用排水</w:t>
                  </w:r>
                </w:p>
              </w:tc>
              <w:tc>
                <w:tcPr>
                  <w:tcW w:w="480" w:type="pct"/>
                  <w:vAlign w:val="center"/>
                </w:tcPr>
                <w:p w14:paraId="2A50D3DA">
                  <w:pPr>
                    <w:pStyle w:val="19"/>
                    <w:adjustRightInd w:val="0"/>
                    <w:ind w:left="0" w:firstLine="0" w:firstLineChars="0"/>
                    <w:jc w:val="center"/>
                    <w:rPr>
                      <w:color w:val="000000"/>
                      <w:szCs w:val="21"/>
                    </w:rPr>
                  </w:pPr>
                  <w:r>
                    <w:rPr>
                      <w:color w:val="000000"/>
                      <w:szCs w:val="21"/>
                    </w:rPr>
                    <w:t>2m</w:t>
                  </w:r>
                  <w:r>
                    <w:rPr>
                      <w:color w:val="000000"/>
                      <w:szCs w:val="21"/>
                      <w:vertAlign w:val="superscript"/>
                    </w:rPr>
                    <w:t>3</w:t>
                  </w:r>
                  <w:r>
                    <w:rPr>
                      <w:color w:val="000000"/>
                      <w:szCs w:val="21"/>
                    </w:rPr>
                    <w:t>/t</w:t>
                  </w:r>
                </w:p>
              </w:tc>
              <w:tc>
                <w:tcPr>
                  <w:tcW w:w="577" w:type="pct"/>
                  <w:vAlign w:val="center"/>
                </w:tcPr>
                <w:p w14:paraId="30A71999">
                  <w:pPr>
                    <w:pStyle w:val="19"/>
                    <w:adjustRightInd w:val="0"/>
                    <w:ind w:left="0" w:firstLine="0" w:firstLineChars="0"/>
                    <w:jc w:val="center"/>
                    <w:rPr>
                      <w:color w:val="000000"/>
                      <w:szCs w:val="21"/>
                    </w:rPr>
                  </w:pPr>
                  <w:r>
                    <w:rPr>
                      <w:color w:val="000000"/>
                      <w:szCs w:val="21"/>
                    </w:rPr>
                    <w:t>12000 t/a</w:t>
                  </w:r>
                </w:p>
              </w:tc>
              <w:tc>
                <w:tcPr>
                  <w:tcW w:w="344" w:type="pct"/>
                  <w:vMerge w:val="restart"/>
                  <w:vAlign w:val="center"/>
                </w:tcPr>
                <w:p w14:paraId="7BD4C48F">
                  <w:pPr>
                    <w:widowControl/>
                    <w:adjustRightInd w:val="0"/>
                    <w:contextualSpacing/>
                    <w:jc w:val="center"/>
                    <w:rPr>
                      <w:rFonts w:eastAsia="等线"/>
                      <w:color w:val="000000"/>
                      <w:szCs w:val="21"/>
                    </w:rPr>
                  </w:pPr>
                  <w:r>
                    <w:rPr>
                      <w:color w:val="000000"/>
                      <w:szCs w:val="21"/>
                    </w:rPr>
                    <w:t>300</w:t>
                  </w:r>
                  <w:r>
                    <w:rPr>
                      <w:rFonts w:eastAsia="等线"/>
                      <w:color w:val="000000"/>
                      <w:szCs w:val="21"/>
                    </w:rPr>
                    <w:t>d/a</w:t>
                  </w:r>
                </w:p>
              </w:tc>
              <w:tc>
                <w:tcPr>
                  <w:tcW w:w="850" w:type="dxa"/>
                  <w:vAlign w:val="center"/>
                </w:tcPr>
                <w:p w14:paraId="5DA7DB1F">
                  <w:pPr>
                    <w:widowControl/>
                    <w:jc w:val="center"/>
                    <w:textAlignment w:val="center"/>
                    <w:rPr>
                      <w:rFonts w:eastAsia="等线"/>
                      <w:color w:val="000000"/>
                      <w:kern w:val="0"/>
                      <w:szCs w:val="21"/>
                    </w:rPr>
                  </w:pPr>
                  <w:r>
                    <w:rPr>
                      <w:color w:val="000000"/>
                      <w:kern w:val="0"/>
                      <w:sz w:val="20"/>
                      <w:szCs w:val="20"/>
                      <w:lang w:bidi="ar"/>
                    </w:rPr>
                    <w:t>80</w:t>
                  </w:r>
                </w:p>
              </w:tc>
              <w:tc>
                <w:tcPr>
                  <w:tcW w:w="903" w:type="dxa"/>
                  <w:vAlign w:val="center"/>
                </w:tcPr>
                <w:p w14:paraId="70AF09F5">
                  <w:pPr>
                    <w:widowControl/>
                    <w:jc w:val="center"/>
                    <w:textAlignment w:val="center"/>
                    <w:rPr>
                      <w:rFonts w:eastAsia="等线"/>
                      <w:color w:val="000000"/>
                      <w:szCs w:val="21"/>
                    </w:rPr>
                  </w:pPr>
                  <w:r>
                    <w:rPr>
                      <w:color w:val="000000"/>
                      <w:kern w:val="0"/>
                      <w:sz w:val="20"/>
                      <w:szCs w:val="20"/>
                      <w:lang w:bidi="ar"/>
                    </w:rPr>
                    <w:t>24000</w:t>
                  </w:r>
                </w:p>
              </w:tc>
              <w:tc>
                <w:tcPr>
                  <w:tcW w:w="897" w:type="dxa"/>
                  <w:vAlign w:val="center"/>
                </w:tcPr>
                <w:p w14:paraId="74B6630E">
                  <w:pPr>
                    <w:widowControl/>
                    <w:jc w:val="center"/>
                    <w:textAlignment w:val="center"/>
                    <w:rPr>
                      <w:rFonts w:eastAsia="等线"/>
                      <w:color w:val="000000"/>
                      <w:szCs w:val="21"/>
                    </w:rPr>
                  </w:pPr>
                  <w:r>
                    <w:rPr>
                      <w:color w:val="000000"/>
                      <w:kern w:val="0"/>
                      <w:sz w:val="20"/>
                      <w:szCs w:val="20"/>
                      <w:lang w:bidi="ar"/>
                    </w:rPr>
                    <w:t>8</w:t>
                  </w:r>
                </w:p>
              </w:tc>
              <w:tc>
                <w:tcPr>
                  <w:tcW w:w="850" w:type="dxa"/>
                  <w:vAlign w:val="center"/>
                </w:tcPr>
                <w:p w14:paraId="60D97EDF">
                  <w:pPr>
                    <w:widowControl/>
                    <w:jc w:val="center"/>
                    <w:textAlignment w:val="center"/>
                    <w:rPr>
                      <w:rFonts w:eastAsia="等线"/>
                      <w:color w:val="000000"/>
                      <w:szCs w:val="21"/>
                    </w:rPr>
                  </w:pPr>
                  <w:r>
                    <w:rPr>
                      <w:color w:val="000000"/>
                      <w:kern w:val="0"/>
                      <w:sz w:val="20"/>
                      <w:szCs w:val="20"/>
                      <w:lang w:bidi="ar"/>
                    </w:rPr>
                    <w:t>72</w:t>
                  </w:r>
                </w:p>
              </w:tc>
              <w:tc>
                <w:tcPr>
                  <w:tcW w:w="850" w:type="dxa"/>
                  <w:vAlign w:val="center"/>
                </w:tcPr>
                <w:p w14:paraId="6281822B">
                  <w:pPr>
                    <w:widowControl/>
                    <w:jc w:val="center"/>
                    <w:textAlignment w:val="center"/>
                    <w:rPr>
                      <w:rFonts w:eastAsia="等线"/>
                      <w:color w:val="000000"/>
                      <w:szCs w:val="21"/>
                    </w:rPr>
                  </w:pPr>
                  <w:r>
                    <w:rPr>
                      <w:color w:val="000000"/>
                      <w:kern w:val="0"/>
                      <w:sz w:val="20"/>
                      <w:szCs w:val="20"/>
                      <w:lang w:bidi="ar"/>
                    </w:rPr>
                    <w:t>21600</w:t>
                  </w:r>
                </w:p>
              </w:tc>
            </w:tr>
            <w:tr w14:paraId="1705A4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blHeader/>
                <w:jc w:val="center"/>
              </w:trPr>
              <w:tc>
                <w:tcPr>
                  <w:tcW w:w="317" w:type="pct"/>
                  <w:vMerge w:val="continue"/>
                  <w:vAlign w:val="center"/>
                </w:tcPr>
                <w:p w14:paraId="5AD3509C">
                  <w:pPr>
                    <w:pStyle w:val="19"/>
                    <w:adjustRightInd w:val="0"/>
                    <w:ind w:left="0" w:firstLine="0" w:firstLineChars="0"/>
                    <w:jc w:val="center"/>
                    <w:rPr>
                      <w:color w:val="000000"/>
                      <w:szCs w:val="21"/>
                    </w:rPr>
                  </w:pPr>
                </w:p>
              </w:tc>
              <w:tc>
                <w:tcPr>
                  <w:tcW w:w="738" w:type="pct"/>
                  <w:vMerge w:val="continue"/>
                  <w:vAlign w:val="center"/>
                </w:tcPr>
                <w:p w14:paraId="24A34B9A">
                  <w:pPr>
                    <w:pStyle w:val="19"/>
                    <w:adjustRightInd w:val="0"/>
                    <w:ind w:left="0" w:firstLine="0" w:firstLineChars="0"/>
                    <w:jc w:val="center"/>
                    <w:rPr>
                      <w:color w:val="000000"/>
                      <w:szCs w:val="21"/>
                    </w:rPr>
                  </w:pPr>
                </w:p>
              </w:tc>
              <w:tc>
                <w:tcPr>
                  <w:tcW w:w="480" w:type="pct"/>
                  <w:vAlign w:val="center"/>
                </w:tcPr>
                <w:p w14:paraId="0CFB9817">
                  <w:pPr>
                    <w:pStyle w:val="19"/>
                    <w:adjustRightInd w:val="0"/>
                    <w:ind w:left="0" w:firstLine="0" w:firstLineChars="0"/>
                    <w:jc w:val="center"/>
                    <w:rPr>
                      <w:color w:val="000000"/>
                      <w:szCs w:val="21"/>
                    </w:rPr>
                  </w:pPr>
                  <w:r>
                    <w:rPr>
                      <w:color w:val="000000"/>
                      <w:szCs w:val="21"/>
                    </w:rPr>
                    <w:t>1.5m</w:t>
                  </w:r>
                  <w:r>
                    <w:rPr>
                      <w:color w:val="000000"/>
                      <w:szCs w:val="21"/>
                      <w:vertAlign w:val="superscript"/>
                    </w:rPr>
                    <w:t>3</w:t>
                  </w:r>
                  <w:r>
                    <w:rPr>
                      <w:color w:val="000000"/>
                      <w:szCs w:val="21"/>
                    </w:rPr>
                    <w:t>/t</w:t>
                  </w:r>
                </w:p>
              </w:tc>
              <w:tc>
                <w:tcPr>
                  <w:tcW w:w="577" w:type="pct"/>
                  <w:vAlign w:val="center"/>
                </w:tcPr>
                <w:p w14:paraId="1A548D2B">
                  <w:pPr>
                    <w:pStyle w:val="19"/>
                    <w:adjustRightInd w:val="0"/>
                    <w:ind w:left="0" w:firstLine="0" w:firstLineChars="0"/>
                    <w:jc w:val="center"/>
                    <w:rPr>
                      <w:color w:val="000000"/>
                      <w:szCs w:val="21"/>
                    </w:rPr>
                  </w:pPr>
                  <w:r>
                    <w:rPr>
                      <w:color w:val="000000"/>
                      <w:szCs w:val="21"/>
                    </w:rPr>
                    <w:t>12000 t/a</w:t>
                  </w:r>
                </w:p>
              </w:tc>
              <w:tc>
                <w:tcPr>
                  <w:tcW w:w="344" w:type="pct"/>
                  <w:vMerge w:val="continue"/>
                  <w:vAlign w:val="center"/>
                </w:tcPr>
                <w:p w14:paraId="7EE65851">
                  <w:pPr>
                    <w:widowControl/>
                    <w:adjustRightInd w:val="0"/>
                    <w:contextualSpacing/>
                    <w:jc w:val="center"/>
                    <w:rPr>
                      <w:color w:val="000000"/>
                      <w:szCs w:val="21"/>
                    </w:rPr>
                  </w:pPr>
                </w:p>
              </w:tc>
              <w:tc>
                <w:tcPr>
                  <w:tcW w:w="850" w:type="dxa"/>
                  <w:vAlign w:val="center"/>
                </w:tcPr>
                <w:p w14:paraId="6836A572">
                  <w:pPr>
                    <w:widowControl/>
                    <w:jc w:val="center"/>
                    <w:textAlignment w:val="center"/>
                    <w:rPr>
                      <w:rFonts w:eastAsia="等线"/>
                      <w:color w:val="000000"/>
                      <w:szCs w:val="21"/>
                    </w:rPr>
                  </w:pPr>
                  <w:r>
                    <w:rPr>
                      <w:color w:val="000000"/>
                      <w:kern w:val="0"/>
                      <w:sz w:val="20"/>
                      <w:szCs w:val="20"/>
                      <w:lang w:bidi="ar"/>
                    </w:rPr>
                    <w:t>60</w:t>
                  </w:r>
                </w:p>
              </w:tc>
              <w:tc>
                <w:tcPr>
                  <w:tcW w:w="903" w:type="dxa"/>
                  <w:vAlign w:val="center"/>
                </w:tcPr>
                <w:p w14:paraId="379EF348">
                  <w:pPr>
                    <w:widowControl/>
                    <w:jc w:val="center"/>
                    <w:textAlignment w:val="center"/>
                    <w:rPr>
                      <w:rFonts w:eastAsia="等线"/>
                      <w:color w:val="000000"/>
                      <w:szCs w:val="21"/>
                    </w:rPr>
                  </w:pPr>
                  <w:r>
                    <w:rPr>
                      <w:color w:val="000000"/>
                      <w:kern w:val="0"/>
                      <w:sz w:val="20"/>
                      <w:szCs w:val="20"/>
                      <w:lang w:bidi="ar"/>
                    </w:rPr>
                    <w:t>18000</w:t>
                  </w:r>
                </w:p>
              </w:tc>
              <w:tc>
                <w:tcPr>
                  <w:tcW w:w="897" w:type="dxa"/>
                  <w:vAlign w:val="center"/>
                </w:tcPr>
                <w:p w14:paraId="5897468C">
                  <w:pPr>
                    <w:widowControl/>
                    <w:jc w:val="center"/>
                    <w:textAlignment w:val="center"/>
                    <w:rPr>
                      <w:rFonts w:eastAsia="等线"/>
                      <w:color w:val="000000"/>
                      <w:szCs w:val="21"/>
                    </w:rPr>
                  </w:pPr>
                  <w:r>
                    <w:rPr>
                      <w:color w:val="000000"/>
                      <w:kern w:val="0"/>
                      <w:sz w:val="20"/>
                      <w:szCs w:val="20"/>
                      <w:lang w:bidi="ar"/>
                    </w:rPr>
                    <w:t>6</w:t>
                  </w:r>
                </w:p>
              </w:tc>
              <w:tc>
                <w:tcPr>
                  <w:tcW w:w="850" w:type="dxa"/>
                  <w:vAlign w:val="center"/>
                </w:tcPr>
                <w:p w14:paraId="6A50593A">
                  <w:pPr>
                    <w:widowControl/>
                    <w:jc w:val="center"/>
                    <w:textAlignment w:val="center"/>
                    <w:rPr>
                      <w:rFonts w:eastAsia="等线"/>
                      <w:color w:val="000000"/>
                      <w:szCs w:val="21"/>
                    </w:rPr>
                  </w:pPr>
                  <w:r>
                    <w:rPr>
                      <w:color w:val="000000"/>
                      <w:kern w:val="0"/>
                      <w:sz w:val="20"/>
                      <w:szCs w:val="20"/>
                      <w:lang w:bidi="ar"/>
                    </w:rPr>
                    <w:t>54</w:t>
                  </w:r>
                </w:p>
              </w:tc>
              <w:tc>
                <w:tcPr>
                  <w:tcW w:w="850" w:type="dxa"/>
                  <w:vAlign w:val="center"/>
                </w:tcPr>
                <w:p w14:paraId="43EB6B64">
                  <w:pPr>
                    <w:widowControl/>
                    <w:jc w:val="center"/>
                    <w:textAlignment w:val="center"/>
                    <w:rPr>
                      <w:rFonts w:eastAsia="等线"/>
                      <w:color w:val="000000"/>
                      <w:szCs w:val="21"/>
                    </w:rPr>
                  </w:pPr>
                  <w:r>
                    <w:rPr>
                      <w:color w:val="000000"/>
                      <w:kern w:val="0"/>
                      <w:sz w:val="20"/>
                      <w:szCs w:val="20"/>
                      <w:lang w:bidi="ar"/>
                    </w:rPr>
                    <w:t>16200</w:t>
                  </w:r>
                </w:p>
              </w:tc>
            </w:tr>
            <w:tr w14:paraId="430B29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blHeader/>
                <w:jc w:val="center"/>
              </w:trPr>
              <w:tc>
                <w:tcPr>
                  <w:tcW w:w="317" w:type="pct"/>
                  <w:vMerge w:val="continue"/>
                  <w:vAlign w:val="center"/>
                </w:tcPr>
                <w:p w14:paraId="19785027">
                  <w:pPr>
                    <w:pStyle w:val="19"/>
                    <w:adjustRightInd w:val="0"/>
                    <w:ind w:left="0" w:firstLine="0" w:firstLineChars="0"/>
                    <w:jc w:val="center"/>
                    <w:rPr>
                      <w:color w:val="000000"/>
                      <w:szCs w:val="21"/>
                    </w:rPr>
                  </w:pPr>
                </w:p>
              </w:tc>
              <w:tc>
                <w:tcPr>
                  <w:tcW w:w="738" w:type="pct"/>
                  <w:vMerge w:val="continue"/>
                  <w:vAlign w:val="center"/>
                </w:tcPr>
                <w:p w14:paraId="50739C85">
                  <w:pPr>
                    <w:pStyle w:val="19"/>
                    <w:adjustRightInd w:val="0"/>
                    <w:ind w:left="0" w:firstLine="0" w:firstLineChars="0"/>
                    <w:jc w:val="center"/>
                    <w:rPr>
                      <w:color w:val="000000"/>
                      <w:szCs w:val="21"/>
                    </w:rPr>
                  </w:pPr>
                </w:p>
              </w:tc>
              <w:tc>
                <w:tcPr>
                  <w:tcW w:w="480" w:type="pct"/>
                  <w:vAlign w:val="center"/>
                </w:tcPr>
                <w:p w14:paraId="39BC1AAC">
                  <w:pPr>
                    <w:pStyle w:val="19"/>
                    <w:adjustRightInd w:val="0"/>
                    <w:ind w:left="0" w:firstLine="0" w:firstLineChars="0"/>
                    <w:jc w:val="center"/>
                    <w:rPr>
                      <w:color w:val="000000"/>
                      <w:szCs w:val="21"/>
                    </w:rPr>
                  </w:pPr>
                  <w:r>
                    <w:rPr>
                      <w:color w:val="000000"/>
                      <w:szCs w:val="21"/>
                    </w:rPr>
                    <w:t>8％</w:t>
                  </w:r>
                </w:p>
              </w:tc>
              <w:tc>
                <w:tcPr>
                  <w:tcW w:w="577" w:type="pct"/>
                  <w:vAlign w:val="center"/>
                </w:tcPr>
                <w:p w14:paraId="764D20CA">
                  <w:pPr>
                    <w:pStyle w:val="19"/>
                    <w:adjustRightInd w:val="0"/>
                    <w:ind w:left="0" w:firstLine="0" w:firstLineChars="0"/>
                    <w:jc w:val="center"/>
                    <w:rPr>
                      <w:color w:val="000000"/>
                      <w:szCs w:val="21"/>
                    </w:rPr>
                  </w:pPr>
                  <w:r>
                    <w:rPr>
                      <w:color w:val="000000"/>
                      <w:szCs w:val="21"/>
                    </w:rPr>
                    <w:t>12000 t/a</w:t>
                  </w:r>
                </w:p>
              </w:tc>
              <w:tc>
                <w:tcPr>
                  <w:tcW w:w="344" w:type="pct"/>
                  <w:vMerge w:val="continue"/>
                  <w:vAlign w:val="center"/>
                </w:tcPr>
                <w:p w14:paraId="6496AC7C">
                  <w:pPr>
                    <w:widowControl/>
                    <w:adjustRightInd w:val="0"/>
                    <w:contextualSpacing/>
                    <w:jc w:val="center"/>
                    <w:rPr>
                      <w:color w:val="000000"/>
                      <w:szCs w:val="21"/>
                    </w:rPr>
                  </w:pPr>
                </w:p>
              </w:tc>
              <w:tc>
                <w:tcPr>
                  <w:tcW w:w="850" w:type="dxa"/>
                  <w:vAlign w:val="center"/>
                </w:tcPr>
                <w:p w14:paraId="002491A4">
                  <w:pPr>
                    <w:widowControl/>
                    <w:jc w:val="center"/>
                    <w:textAlignment w:val="center"/>
                    <w:rPr>
                      <w:rFonts w:eastAsia="等线"/>
                      <w:color w:val="000000"/>
                      <w:szCs w:val="21"/>
                    </w:rPr>
                  </w:pPr>
                  <w:r>
                    <w:rPr>
                      <w:color w:val="000000"/>
                      <w:kern w:val="0"/>
                      <w:sz w:val="20"/>
                      <w:szCs w:val="20"/>
                      <w:lang w:bidi="ar"/>
                    </w:rPr>
                    <w:t>/</w:t>
                  </w:r>
                </w:p>
              </w:tc>
              <w:tc>
                <w:tcPr>
                  <w:tcW w:w="903" w:type="dxa"/>
                  <w:vAlign w:val="center"/>
                </w:tcPr>
                <w:p w14:paraId="32924465">
                  <w:pPr>
                    <w:widowControl/>
                    <w:jc w:val="center"/>
                    <w:textAlignment w:val="center"/>
                    <w:rPr>
                      <w:rFonts w:eastAsia="等线"/>
                      <w:color w:val="000000"/>
                      <w:szCs w:val="21"/>
                    </w:rPr>
                  </w:pPr>
                  <w:r>
                    <w:rPr>
                      <w:color w:val="000000"/>
                      <w:kern w:val="0"/>
                      <w:sz w:val="20"/>
                      <w:szCs w:val="20"/>
                      <w:lang w:bidi="ar"/>
                    </w:rPr>
                    <w:t>/</w:t>
                  </w:r>
                </w:p>
              </w:tc>
              <w:tc>
                <w:tcPr>
                  <w:tcW w:w="897" w:type="dxa"/>
                  <w:vAlign w:val="center"/>
                </w:tcPr>
                <w:p w14:paraId="785AABE6">
                  <w:pPr>
                    <w:widowControl/>
                    <w:jc w:val="center"/>
                    <w:textAlignment w:val="center"/>
                    <w:rPr>
                      <w:rFonts w:eastAsia="等线"/>
                      <w:color w:val="000000"/>
                      <w:szCs w:val="21"/>
                    </w:rPr>
                  </w:pPr>
                  <w:r>
                    <w:rPr>
                      <w:color w:val="000000"/>
                      <w:kern w:val="0"/>
                      <w:sz w:val="20"/>
                      <w:szCs w:val="20"/>
                      <w:lang w:bidi="ar"/>
                    </w:rPr>
                    <w:t>/</w:t>
                  </w:r>
                </w:p>
              </w:tc>
              <w:tc>
                <w:tcPr>
                  <w:tcW w:w="850" w:type="dxa"/>
                  <w:vAlign w:val="center"/>
                </w:tcPr>
                <w:p w14:paraId="16EC2889">
                  <w:pPr>
                    <w:widowControl/>
                    <w:jc w:val="center"/>
                    <w:textAlignment w:val="center"/>
                    <w:rPr>
                      <w:rFonts w:eastAsia="等线"/>
                      <w:color w:val="000000"/>
                      <w:szCs w:val="21"/>
                    </w:rPr>
                  </w:pPr>
                  <w:r>
                    <w:rPr>
                      <w:color w:val="000000"/>
                      <w:kern w:val="0"/>
                      <w:sz w:val="20"/>
                      <w:szCs w:val="20"/>
                      <w:lang w:bidi="ar"/>
                    </w:rPr>
                    <w:t>2</w:t>
                  </w:r>
                </w:p>
              </w:tc>
              <w:tc>
                <w:tcPr>
                  <w:tcW w:w="850" w:type="dxa"/>
                  <w:vAlign w:val="center"/>
                </w:tcPr>
                <w:p w14:paraId="51B341A2">
                  <w:pPr>
                    <w:widowControl/>
                    <w:jc w:val="center"/>
                    <w:textAlignment w:val="center"/>
                    <w:rPr>
                      <w:rFonts w:eastAsia="等线"/>
                      <w:color w:val="000000"/>
                      <w:szCs w:val="21"/>
                    </w:rPr>
                  </w:pPr>
                  <w:r>
                    <w:rPr>
                      <w:color w:val="000000"/>
                      <w:kern w:val="0"/>
                      <w:sz w:val="20"/>
                      <w:szCs w:val="20"/>
                      <w:lang w:bidi="ar"/>
                    </w:rPr>
                    <w:t>600</w:t>
                  </w:r>
                </w:p>
              </w:tc>
            </w:tr>
            <w:tr w14:paraId="74D103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blHeader/>
                <w:jc w:val="center"/>
              </w:trPr>
              <w:tc>
                <w:tcPr>
                  <w:tcW w:w="317" w:type="pct"/>
                  <w:vMerge w:val="continue"/>
                  <w:vAlign w:val="center"/>
                </w:tcPr>
                <w:p w14:paraId="65C17B24">
                  <w:pPr>
                    <w:pStyle w:val="19"/>
                    <w:adjustRightInd w:val="0"/>
                    <w:ind w:left="0" w:firstLine="0" w:firstLineChars="0"/>
                    <w:jc w:val="center"/>
                    <w:rPr>
                      <w:color w:val="000000"/>
                      <w:szCs w:val="21"/>
                    </w:rPr>
                  </w:pPr>
                </w:p>
              </w:tc>
              <w:tc>
                <w:tcPr>
                  <w:tcW w:w="738" w:type="pct"/>
                  <w:vAlign w:val="center"/>
                </w:tcPr>
                <w:p w14:paraId="522F8ECE">
                  <w:pPr>
                    <w:pStyle w:val="19"/>
                    <w:adjustRightInd w:val="0"/>
                    <w:ind w:left="0" w:firstLine="0" w:firstLineChars="0"/>
                    <w:jc w:val="center"/>
                    <w:rPr>
                      <w:color w:val="000000"/>
                      <w:szCs w:val="21"/>
                    </w:rPr>
                  </w:pPr>
                  <w:r>
                    <w:rPr>
                      <w:color w:val="000000"/>
                      <w:szCs w:val="21"/>
                    </w:rPr>
                    <w:t>卤制用排水</w:t>
                  </w:r>
                </w:p>
              </w:tc>
              <w:tc>
                <w:tcPr>
                  <w:tcW w:w="480" w:type="pct"/>
                  <w:vAlign w:val="center"/>
                </w:tcPr>
                <w:p w14:paraId="2D772FA0">
                  <w:pPr>
                    <w:pStyle w:val="19"/>
                    <w:adjustRightInd w:val="0"/>
                    <w:ind w:left="0" w:firstLine="0" w:firstLineChars="0"/>
                    <w:jc w:val="center"/>
                    <w:rPr>
                      <w:color w:val="000000"/>
                      <w:szCs w:val="21"/>
                    </w:rPr>
                  </w:pPr>
                  <w:r>
                    <w:rPr>
                      <w:color w:val="000000"/>
                      <w:szCs w:val="21"/>
                    </w:rPr>
                    <w:t>/</w:t>
                  </w:r>
                </w:p>
              </w:tc>
              <w:tc>
                <w:tcPr>
                  <w:tcW w:w="577" w:type="pct"/>
                  <w:vAlign w:val="center"/>
                </w:tcPr>
                <w:p w14:paraId="1F43C43A">
                  <w:pPr>
                    <w:pStyle w:val="19"/>
                    <w:adjustRightInd w:val="0"/>
                    <w:ind w:left="0" w:firstLine="0" w:firstLineChars="0"/>
                    <w:jc w:val="center"/>
                    <w:rPr>
                      <w:color w:val="000000"/>
                      <w:szCs w:val="21"/>
                    </w:rPr>
                  </w:pPr>
                  <w:r>
                    <w:rPr>
                      <w:color w:val="000000"/>
                      <w:szCs w:val="21"/>
                    </w:rPr>
                    <w:t>/</w:t>
                  </w:r>
                </w:p>
              </w:tc>
              <w:tc>
                <w:tcPr>
                  <w:tcW w:w="344" w:type="pct"/>
                  <w:vAlign w:val="center"/>
                </w:tcPr>
                <w:p w14:paraId="3A2D1871">
                  <w:pPr>
                    <w:jc w:val="center"/>
                    <w:rPr>
                      <w:color w:val="000000"/>
                      <w:szCs w:val="21"/>
                    </w:rPr>
                  </w:pPr>
                  <w:r>
                    <w:rPr>
                      <w:color w:val="000000"/>
                      <w:szCs w:val="21"/>
                    </w:rPr>
                    <w:t>300</w:t>
                  </w:r>
                  <w:r>
                    <w:rPr>
                      <w:rFonts w:eastAsia="等线"/>
                      <w:color w:val="000000"/>
                      <w:szCs w:val="21"/>
                    </w:rPr>
                    <w:t>d/a</w:t>
                  </w:r>
                </w:p>
              </w:tc>
              <w:tc>
                <w:tcPr>
                  <w:tcW w:w="850" w:type="dxa"/>
                  <w:vAlign w:val="center"/>
                </w:tcPr>
                <w:p w14:paraId="105BB0F9">
                  <w:pPr>
                    <w:widowControl/>
                    <w:jc w:val="center"/>
                    <w:textAlignment w:val="center"/>
                    <w:rPr>
                      <w:rFonts w:eastAsia="等线"/>
                      <w:color w:val="000000"/>
                      <w:szCs w:val="21"/>
                    </w:rPr>
                  </w:pPr>
                  <w:r>
                    <w:rPr>
                      <w:rFonts w:hint="eastAsia" w:eastAsia="等线"/>
                      <w:color w:val="000000"/>
                      <w:kern w:val="0"/>
                      <w:sz w:val="20"/>
                      <w:szCs w:val="20"/>
                      <w:lang w:bidi="ar"/>
                    </w:rPr>
                    <w:t>1</w:t>
                  </w:r>
                </w:p>
              </w:tc>
              <w:tc>
                <w:tcPr>
                  <w:tcW w:w="903" w:type="dxa"/>
                  <w:vAlign w:val="center"/>
                </w:tcPr>
                <w:p w14:paraId="34D686A1">
                  <w:pPr>
                    <w:widowControl/>
                    <w:jc w:val="center"/>
                    <w:textAlignment w:val="center"/>
                    <w:rPr>
                      <w:rFonts w:eastAsia="等线"/>
                      <w:color w:val="000000"/>
                      <w:szCs w:val="21"/>
                    </w:rPr>
                  </w:pPr>
                  <w:r>
                    <w:rPr>
                      <w:rFonts w:hint="eastAsia" w:eastAsia="等线"/>
                      <w:color w:val="000000"/>
                      <w:kern w:val="0"/>
                      <w:sz w:val="20"/>
                      <w:szCs w:val="20"/>
                      <w:lang w:bidi="ar"/>
                    </w:rPr>
                    <w:t>300</w:t>
                  </w:r>
                </w:p>
              </w:tc>
              <w:tc>
                <w:tcPr>
                  <w:tcW w:w="897" w:type="dxa"/>
                  <w:vAlign w:val="center"/>
                </w:tcPr>
                <w:p w14:paraId="61116867">
                  <w:pPr>
                    <w:widowControl/>
                    <w:jc w:val="center"/>
                    <w:textAlignment w:val="center"/>
                    <w:rPr>
                      <w:rFonts w:eastAsia="等线"/>
                      <w:color w:val="000000"/>
                      <w:szCs w:val="21"/>
                    </w:rPr>
                  </w:pPr>
                  <w:r>
                    <w:rPr>
                      <w:rFonts w:hint="eastAsia" w:eastAsia="等线"/>
                      <w:color w:val="000000"/>
                      <w:kern w:val="0"/>
                      <w:sz w:val="20"/>
                      <w:szCs w:val="20"/>
                      <w:lang w:bidi="ar"/>
                    </w:rPr>
                    <w:t>1</w:t>
                  </w:r>
                </w:p>
              </w:tc>
              <w:tc>
                <w:tcPr>
                  <w:tcW w:w="850" w:type="dxa"/>
                  <w:vAlign w:val="center"/>
                </w:tcPr>
                <w:p w14:paraId="2FA5F912">
                  <w:pPr>
                    <w:widowControl/>
                    <w:jc w:val="center"/>
                    <w:textAlignment w:val="center"/>
                    <w:rPr>
                      <w:rFonts w:eastAsia="等线"/>
                      <w:color w:val="000000"/>
                      <w:szCs w:val="21"/>
                    </w:rPr>
                  </w:pPr>
                  <w:r>
                    <w:rPr>
                      <w:color w:val="000000"/>
                      <w:kern w:val="0"/>
                      <w:sz w:val="20"/>
                      <w:szCs w:val="20"/>
                      <w:lang w:bidi="ar"/>
                    </w:rPr>
                    <w:t>/</w:t>
                  </w:r>
                </w:p>
              </w:tc>
              <w:tc>
                <w:tcPr>
                  <w:tcW w:w="850" w:type="dxa"/>
                  <w:vAlign w:val="center"/>
                </w:tcPr>
                <w:p w14:paraId="7B1D5C84">
                  <w:pPr>
                    <w:widowControl/>
                    <w:jc w:val="center"/>
                    <w:textAlignment w:val="center"/>
                    <w:rPr>
                      <w:rFonts w:eastAsia="等线"/>
                      <w:color w:val="000000"/>
                      <w:szCs w:val="21"/>
                    </w:rPr>
                  </w:pPr>
                  <w:r>
                    <w:rPr>
                      <w:color w:val="000000"/>
                      <w:kern w:val="0"/>
                      <w:sz w:val="20"/>
                      <w:szCs w:val="20"/>
                      <w:lang w:bidi="ar"/>
                    </w:rPr>
                    <w:t>/</w:t>
                  </w:r>
                </w:p>
              </w:tc>
            </w:tr>
            <w:tr w14:paraId="0690E2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blHeader/>
                <w:jc w:val="center"/>
              </w:trPr>
              <w:tc>
                <w:tcPr>
                  <w:tcW w:w="317" w:type="pct"/>
                  <w:vMerge w:val="continue"/>
                  <w:vAlign w:val="center"/>
                </w:tcPr>
                <w:p w14:paraId="2DFF6532">
                  <w:pPr>
                    <w:pStyle w:val="19"/>
                    <w:adjustRightInd w:val="0"/>
                    <w:ind w:left="0" w:firstLine="0" w:firstLineChars="0"/>
                    <w:jc w:val="center"/>
                    <w:rPr>
                      <w:color w:val="000000"/>
                      <w:szCs w:val="21"/>
                    </w:rPr>
                  </w:pPr>
                </w:p>
              </w:tc>
              <w:tc>
                <w:tcPr>
                  <w:tcW w:w="738" w:type="pct"/>
                  <w:vAlign w:val="center"/>
                </w:tcPr>
                <w:p w14:paraId="0709C325">
                  <w:pPr>
                    <w:pStyle w:val="19"/>
                    <w:adjustRightInd w:val="0"/>
                    <w:ind w:left="0" w:firstLine="0" w:firstLineChars="0"/>
                    <w:jc w:val="center"/>
                    <w:rPr>
                      <w:color w:val="000000"/>
                      <w:szCs w:val="21"/>
                    </w:rPr>
                  </w:pPr>
                  <w:r>
                    <w:rPr>
                      <w:color w:val="000000"/>
                      <w:szCs w:val="21"/>
                    </w:rPr>
                    <w:t>配汤用排水</w:t>
                  </w:r>
                </w:p>
              </w:tc>
              <w:tc>
                <w:tcPr>
                  <w:tcW w:w="480" w:type="pct"/>
                  <w:vAlign w:val="center"/>
                </w:tcPr>
                <w:p w14:paraId="4620DEF5">
                  <w:pPr>
                    <w:pStyle w:val="19"/>
                    <w:adjustRightInd w:val="0"/>
                    <w:ind w:left="0" w:firstLine="0" w:firstLineChars="0"/>
                    <w:jc w:val="center"/>
                    <w:rPr>
                      <w:color w:val="000000"/>
                      <w:szCs w:val="21"/>
                    </w:rPr>
                  </w:pPr>
                  <w:r>
                    <w:rPr>
                      <w:color w:val="000000"/>
                      <w:szCs w:val="21"/>
                    </w:rPr>
                    <w:t>1:50</w:t>
                  </w:r>
                </w:p>
              </w:tc>
              <w:tc>
                <w:tcPr>
                  <w:tcW w:w="577" w:type="pct"/>
                  <w:vAlign w:val="center"/>
                </w:tcPr>
                <w:p w14:paraId="2A2A1CA9">
                  <w:pPr>
                    <w:pStyle w:val="19"/>
                    <w:adjustRightInd w:val="0"/>
                    <w:ind w:left="0" w:firstLine="0" w:firstLineChars="0"/>
                    <w:jc w:val="center"/>
                    <w:rPr>
                      <w:color w:val="000000"/>
                      <w:szCs w:val="21"/>
                    </w:rPr>
                  </w:pPr>
                  <w:r>
                    <w:rPr>
                      <w:color w:val="000000"/>
                      <w:szCs w:val="21"/>
                    </w:rPr>
                    <w:t>182t/a</w:t>
                  </w:r>
                </w:p>
              </w:tc>
              <w:tc>
                <w:tcPr>
                  <w:tcW w:w="344" w:type="pct"/>
                  <w:vAlign w:val="center"/>
                </w:tcPr>
                <w:p w14:paraId="417EC058">
                  <w:pPr>
                    <w:jc w:val="center"/>
                    <w:rPr>
                      <w:color w:val="000000"/>
                      <w:szCs w:val="21"/>
                    </w:rPr>
                  </w:pPr>
                  <w:r>
                    <w:rPr>
                      <w:color w:val="000000"/>
                      <w:szCs w:val="21"/>
                    </w:rPr>
                    <w:t>300</w:t>
                  </w:r>
                  <w:r>
                    <w:rPr>
                      <w:rFonts w:eastAsia="等线"/>
                      <w:color w:val="000000"/>
                      <w:szCs w:val="21"/>
                    </w:rPr>
                    <w:t>d/a</w:t>
                  </w:r>
                </w:p>
              </w:tc>
              <w:tc>
                <w:tcPr>
                  <w:tcW w:w="850" w:type="dxa"/>
                  <w:vAlign w:val="center"/>
                </w:tcPr>
                <w:p w14:paraId="4EECD668">
                  <w:pPr>
                    <w:widowControl/>
                    <w:jc w:val="center"/>
                    <w:textAlignment w:val="center"/>
                    <w:rPr>
                      <w:rFonts w:eastAsia="等线"/>
                      <w:color w:val="000000"/>
                      <w:szCs w:val="21"/>
                    </w:rPr>
                  </w:pPr>
                  <w:r>
                    <w:rPr>
                      <w:color w:val="000000"/>
                      <w:kern w:val="0"/>
                      <w:sz w:val="20"/>
                      <w:szCs w:val="20"/>
                      <w:lang w:bidi="ar"/>
                    </w:rPr>
                    <w:t>30.33</w:t>
                  </w:r>
                </w:p>
              </w:tc>
              <w:tc>
                <w:tcPr>
                  <w:tcW w:w="903" w:type="dxa"/>
                  <w:vAlign w:val="center"/>
                </w:tcPr>
                <w:p w14:paraId="48AE70D7">
                  <w:pPr>
                    <w:widowControl/>
                    <w:jc w:val="center"/>
                    <w:textAlignment w:val="center"/>
                    <w:rPr>
                      <w:rFonts w:eastAsia="等线"/>
                      <w:color w:val="000000"/>
                      <w:szCs w:val="21"/>
                    </w:rPr>
                  </w:pPr>
                  <w:r>
                    <w:rPr>
                      <w:color w:val="000000"/>
                      <w:kern w:val="0"/>
                      <w:sz w:val="20"/>
                      <w:szCs w:val="20"/>
                      <w:lang w:bidi="ar"/>
                    </w:rPr>
                    <w:t>9100</w:t>
                  </w:r>
                </w:p>
              </w:tc>
              <w:tc>
                <w:tcPr>
                  <w:tcW w:w="897" w:type="dxa"/>
                  <w:vAlign w:val="center"/>
                </w:tcPr>
                <w:p w14:paraId="40308203">
                  <w:pPr>
                    <w:widowControl/>
                    <w:jc w:val="center"/>
                    <w:textAlignment w:val="center"/>
                    <w:rPr>
                      <w:rFonts w:eastAsia="等线"/>
                      <w:color w:val="000000"/>
                      <w:szCs w:val="21"/>
                    </w:rPr>
                  </w:pPr>
                  <w:r>
                    <w:rPr>
                      <w:color w:val="000000"/>
                      <w:kern w:val="0"/>
                      <w:sz w:val="20"/>
                      <w:szCs w:val="20"/>
                      <w:lang w:bidi="ar"/>
                    </w:rPr>
                    <w:t>6.07</w:t>
                  </w:r>
                </w:p>
              </w:tc>
              <w:tc>
                <w:tcPr>
                  <w:tcW w:w="850" w:type="dxa"/>
                  <w:vAlign w:val="center"/>
                </w:tcPr>
                <w:p w14:paraId="05A65184">
                  <w:pPr>
                    <w:widowControl/>
                    <w:jc w:val="center"/>
                    <w:textAlignment w:val="center"/>
                    <w:rPr>
                      <w:rFonts w:eastAsia="等线"/>
                      <w:color w:val="000000"/>
                      <w:szCs w:val="21"/>
                    </w:rPr>
                  </w:pPr>
                  <w:r>
                    <w:rPr>
                      <w:color w:val="000000"/>
                      <w:kern w:val="0"/>
                      <w:sz w:val="20"/>
                      <w:szCs w:val="20"/>
                      <w:lang w:bidi="ar"/>
                    </w:rPr>
                    <w:t>/</w:t>
                  </w:r>
                </w:p>
              </w:tc>
              <w:tc>
                <w:tcPr>
                  <w:tcW w:w="850" w:type="dxa"/>
                  <w:vAlign w:val="center"/>
                </w:tcPr>
                <w:p w14:paraId="6A6A8470">
                  <w:pPr>
                    <w:widowControl/>
                    <w:jc w:val="center"/>
                    <w:textAlignment w:val="center"/>
                    <w:rPr>
                      <w:rFonts w:eastAsia="等线"/>
                      <w:color w:val="000000"/>
                      <w:szCs w:val="21"/>
                    </w:rPr>
                  </w:pPr>
                  <w:r>
                    <w:rPr>
                      <w:color w:val="000000"/>
                      <w:kern w:val="0"/>
                      <w:sz w:val="20"/>
                      <w:szCs w:val="20"/>
                      <w:lang w:bidi="ar"/>
                    </w:rPr>
                    <w:t>/</w:t>
                  </w:r>
                </w:p>
              </w:tc>
            </w:tr>
            <w:tr w14:paraId="3D082C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blHeader/>
                <w:jc w:val="center"/>
              </w:trPr>
              <w:tc>
                <w:tcPr>
                  <w:tcW w:w="317" w:type="pct"/>
                  <w:vMerge w:val="continue"/>
                  <w:vAlign w:val="center"/>
                </w:tcPr>
                <w:p w14:paraId="5CE56217">
                  <w:pPr>
                    <w:pStyle w:val="19"/>
                    <w:adjustRightInd w:val="0"/>
                    <w:ind w:left="0" w:firstLine="0" w:firstLineChars="0"/>
                    <w:jc w:val="center"/>
                    <w:rPr>
                      <w:color w:val="000000"/>
                      <w:szCs w:val="21"/>
                    </w:rPr>
                  </w:pPr>
                </w:p>
              </w:tc>
              <w:tc>
                <w:tcPr>
                  <w:tcW w:w="738" w:type="pct"/>
                  <w:vMerge w:val="restart"/>
                  <w:vAlign w:val="center"/>
                </w:tcPr>
                <w:p w14:paraId="5AD57E2D">
                  <w:pPr>
                    <w:pStyle w:val="19"/>
                    <w:adjustRightInd w:val="0"/>
                    <w:ind w:left="0" w:firstLine="0" w:firstLineChars="0"/>
                    <w:jc w:val="center"/>
                    <w:rPr>
                      <w:color w:val="000000"/>
                      <w:szCs w:val="21"/>
                    </w:rPr>
                  </w:pPr>
                  <w:r>
                    <w:rPr>
                      <w:color w:val="000000"/>
                      <w:szCs w:val="21"/>
                    </w:rPr>
                    <w:t>非即食性生制食品预处理用排水</w:t>
                  </w:r>
                </w:p>
              </w:tc>
              <w:tc>
                <w:tcPr>
                  <w:tcW w:w="480" w:type="pct"/>
                  <w:vAlign w:val="center"/>
                </w:tcPr>
                <w:p w14:paraId="69428358">
                  <w:pPr>
                    <w:pStyle w:val="19"/>
                    <w:adjustRightInd w:val="0"/>
                    <w:ind w:left="0" w:firstLine="0" w:firstLineChars="0"/>
                    <w:jc w:val="center"/>
                    <w:rPr>
                      <w:color w:val="000000"/>
                      <w:szCs w:val="21"/>
                    </w:rPr>
                  </w:pPr>
                  <w:r>
                    <w:rPr>
                      <w:color w:val="000000"/>
                      <w:szCs w:val="21"/>
                    </w:rPr>
                    <w:t>2m</w:t>
                  </w:r>
                  <w:r>
                    <w:rPr>
                      <w:color w:val="000000"/>
                      <w:szCs w:val="21"/>
                      <w:vertAlign w:val="superscript"/>
                    </w:rPr>
                    <w:t>3</w:t>
                  </w:r>
                  <w:r>
                    <w:rPr>
                      <w:color w:val="000000"/>
                      <w:szCs w:val="21"/>
                    </w:rPr>
                    <w:t>/t</w:t>
                  </w:r>
                </w:p>
              </w:tc>
              <w:tc>
                <w:tcPr>
                  <w:tcW w:w="577" w:type="pct"/>
                  <w:vAlign w:val="center"/>
                </w:tcPr>
                <w:p w14:paraId="192F8AD2">
                  <w:pPr>
                    <w:pStyle w:val="19"/>
                    <w:adjustRightInd w:val="0"/>
                    <w:ind w:left="0" w:firstLine="0" w:firstLineChars="0"/>
                    <w:jc w:val="center"/>
                    <w:rPr>
                      <w:color w:val="000000"/>
                      <w:szCs w:val="21"/>
                    </w:rPr>
                  </w:pPr>
                  <w:r>
                    <w:rPr>
                      <w:color w:val="000000"/>
                      <w:szCs w:val="21"/>
                    </w:rPr>
                    <w:t>3500 t/a</w:t>
                  </w:r>
                </w:p>
              </w:tc>
              <w:tc>
                <w:tcPr>
                  <w:tcW w:w="344" w:type="pct"/>
                  <w:vMerge w:val="restart"/>
                  <w:vAlign w:val="center"/>
                </w:tcPr>
                <w:p w14:paraId="4010A623">
                  <w:pPr>
                    <w:jc w:val="center"/>
                    <w:rPr>
                      <w:color w:val="000000"/>
                      <w:szCs w:val="21"/>
                    </w:rPr>
                  </w:pPr>
                  <w:r>
                    <w:rPr>
                      <w:color w:val="000000"/>
                      <w:szCs w:val="21"/>
                    </w:rPr>
                    <w:t>300</w:t>
                  </w:r>
                  <w:r>
                    <w:rPr>
                      <w:rFonts w:eastAsia="等线"/>
                      <w:color w:val="000000"/>
                      <w:szCs w:val="21"/>
                    </w:rPr>
                    <w:t>d/a</w:t>
                  </w:r>
                </w:p>
              </w:tc>
              <w:tc>
                <w:tcPr>
                  <w:tcW w:w="850" w:type="dxa"/>
                  <w:vAlign w:val="center"/>
                </w:tcPr>
                <w:p w14:paraId="5962BB73">
                  <w:pPr>
                    <w:widowControl/>
                    <w:jc w:val="center"/>
                    <w:textAlignment w:val="center"/>
                    <w:rPr>
                      <w:rFonts w:eastAsia="等线"/>
                      <w:color w:val="000000"/>
                      <w:szCs w:val="21"/>
                    </w:rPr>
                  </w:pPr>
                  <w:r>
                    <w:rPr>
                      <w:color w:val="000000"/>
                      <w:kern w:val="0"/>
                      <w:sz w:val="20"/>
                      <w:szCs w:val="20"/>
                      <w:lang w:bidi="ar"/>
                    </w:rPr>
                    <w:t>23.33</w:t>
                  </w:r>
                </w:p>
              </w:tc>
              <w:tc>
                <w:tcPr>
                  <w:tcW w:w="903" w:type="dxa"/>
                  <w:vAlign w:val="center"/>
                </w:tcPr>
                <w:p w14:paraId="76538F22">
                  <w:pPr>
                    <w:widowControl/>
                    <w:jc w:val="center"/>
                    <w:textAlignment w:val="center"/>
                    <w:rPr>
                      <w:rFonts w:eastAsia="等线"/>
                      <w:color w:val="000000"/>
                      <w:szCs w:val="21"/>
                    </w:rPr>
                  </w:pPr>
                  <w:r>
                    <w:rPr>
                      <w:color w:val="000000"/>
                      <w:kern w:val="0"/>
                      <w:sz w:val="20"/>
                      <w:szCs w:val="20"/>
                      <w:lang w:bidi="ar"/>
                    </w:rPr>
                    <w:t>7000</w:t>
                  </w:r>
                </w:p>
              </w:tc>
              <w:tc>
                <w:tcPr>
                  <w:tcW w:w="897" w:type="dxa"/>
                  <w:vAlign w:val="center"/>
                </w:tcPr>
                <w:p w14:paraId="7DA67711">
                  <w:pPr>
                    <w:widowControl/>
                    <w:jc w:val="center"/>
                    <w:textAlignment w:val="center"/>
                    <w:rPr>
                      <w:rFonts w:eastAsia="等线"/>
                      <w:color w:val="000000"/>
                      <w:szCs w:val="21"/>
                    </w:rPr>
                  </w:pPr>
                  <w:r>
                    <w:rPr>
                      <w:color w:val="000000"/>
                      <w:kern w:val="0"/>
                      <w:sz w:val="20"/>
                      <w:szCs w:val="20"/>
                      <w:lang w:bidi="ar"/>
                    </w:rPr>
                    <w:t>2.33</w:t>
                  </w:r>
                </w:p>
              </w:tc>
              <w:tc>
                <w:tcPr>
                  <w:tcW w:w="850" w:type="dxa"/>
                  <w:vAlign w:val="center"/>
                </w:tcPr>
                <w:p w14:paraId="26487FE0">
                  <w:pPr>
                    <w:widowControl/>
                    <w:jc w:val="center"/>
                    <w:textAlignment w:val="center"/>
                    <w:rPr>
                      <w:rFonts w:eastAsia="等线"/>
                      <w:color w:val="000000"/>
                      <w:szCs w:val="21"/>
                    </w:rPr>
                  </w:pPr>
                  <w:r>
                    <w:rPr>
                      <w:color w:val="000000"/>
                      <w:kern w:val="0"/>
                      <w:sz w:val="20"/>
                      <w:szCs w:val="20"/>
                      <w:lang w:bidi="ar"/>
                    </w:rPr>
                    <w:t>21</w:t>
                  </w:r>
                </w:p>
              </w:tc>
              <w:tc>
                <w:tcPr>
                  <w:tcW w:w="850" w:type="dxa"/>
                  <w:vAlign w:val="center"/>
                </w:tcPr>
                <w:p w14:paraId="60503B14">
                  <w:pPr>
                    <w:widowControl/>
                    <w:jc w:val="center"/>
                    <w:textAlignment w:val="center"/>
                    <w:rPr>
                      <w:rFonts w:eastAsia="等线"/>
                      <w:color w:val="000000"/>
                      <w:szCs w:val="21"/>
                    </w:rPr>
                  </w:pPr>
                  <w:r>
                    <w:rPr>
                      <w:color w:val="000000"/>
                      <w:kern w:val="0"/>
                      <w:sz w:val="20"/>
                      <w:szCs w:val="20"/>
                      <w:lang w:bidi="ar"/>
                    </w:rPr>
                    <w:t>6300</w:t>
                  </w:r>
                </w:p>
              </w:tc>
            </w:tr>
            <w:tr w14:paraId="1ED6C8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blHeader/>
                <w:jc w:val="center"/>
              </w:trPr>
              <w:tc>
                <w:tcPr>
                  <w:tcW w:w="317" w:type="pct"/>
                  <w:vMerge w:val="continue"/>
                  <w:vAlign w:val="center"/>
                </w:tcPr>
                <w:p w14:paraId="6FE34C52">
                  <w:pPr>
                    <w:pStyle w:val="19"/>
                    <w:adjustRightInd w:val="0"/>
                    <w:ind w:left="0" w:firstLine="0" w:firstLineChars="0"/>
                    <w:jc w:val="center"/>
                    <w:rPr>
                      <w:color w:val="000000"/>
                      <w:szCs w:val="21"/>
                    </w:rPr>
                  </w:pPr>
                </w:p>
              </w:tc>
              <w:tc>
                <w:tcPr>
                  <w:tcW w:w="738" w:type="pct"/>
                  <w:vMerge w:val="continue"/>
                  <w:vAlign w:val="center"/>
                </w:tcPr>
                <w:p w14:paraId="53F46BD6">
                  <w:pPr>
                    <w:pStyle w:val="19"/>
                    <w:adjustRightInd w:val="0"/>
                    <w:ind w:left="0" w:firstLine="0" w:firstLineChars="0"/>
                    <w:jc w:val="center"/>
                    <w:rPr>
                      <w:color w:val="000000"/>
                      <w:szCs w:val="21"/>
                    </w:rPr>
                  </w:pPr>
                </w:p>
              </w:tc>
              <w:tc>
                <w:tcPr>
                  <w:tcW w:w="480" w:type="pct"/>
                  <w:vAlign w:val="center"/>
                </w:tcPr>
                <w:p w14:paraId="56A79708">
                  <w:pPr>
                    <w:pStyle w:val="19"/>
                    <w:adjustRightInd w:val="0"/>
                    <w:ind w:left="0" w:firstLine="0" w:firstLineChars="0"/>
                    <w:jc w:val="center"/>
                    <w:rPr>
                      <w:color w:val="000000"/>
                      <w:szCs w:val="21"/>
                    </w:rPr>
                  </w:pPr>
                  <w:r>
                    <w:rPr>
                      <w:color w:val="000000"/>
                      <w:szCs w:val="21"/>
                    </w:rPr>
                    <w:t>8％</w:t>
                  </w:r>
                </w:p>
              </w:tc>
              <w:tc>
                <w:tcPr>
                  <w:tcW w:w="577" w:type="pct"/>
                  <w:vAlign w:val="center"/>
                </w:tcPr>
                <w:p w14:paraId="362AAD8D">
                  <w:pPr>
                    <w:pStyle w:val="19"/>
                    <w:adjustRightInd w:val="0"/>
                    <w:ind w:left="0" w:firstLine="0" w:firstLineChars="0"/>
                    <w:jc w:val="center"/>
                    <w:rPr>
                      <w:color w:val="000000"/>
                      <w:szCs w:val="21"/>
                    </w:rPr>
                  </w:pPr>
                  <w:r>
                    <w:rPr>
                      <w:color w:val="000000"/>
                      <w:szCs w:val="21"/>
                    </w:rPr>
                    <w:t>3500 t/a</w:t>
                  </w:r>
                </w:p>
              </w:tc>
              <w:tc>
                <w:tcPr>
                  <w:tcW w:w="344" w:type="pct"/>
                  <w:vMerge w:val="continue"/>
                  <w:vAlign w:val="center"/>
                </w:tcPr>
                <w:p w14:paraId="48DD4E36">
                  <w:pPr>
                    <w:jc w:val="center"/>
                    <w:rPr>
                      <w:color w:val="000000"/>
                      <w:szCs w:val="21"/>
                    </w:rPr>
                  </w:pPr>
                </w:p>
              </w:tc>
              <w:tc>
                <w:tcPr>
                  <w:tcW w:w="850" w:type="dxa"/>
                  <w:vAlign w:val="center"/>
                </w:tcPr>
                <w:p w14:paraId="3EA004A5">
                  <w:pPr>
                    <w:widowControl/>
                    <w:jc w:val="center"/>
                    <w:textAlignment w:val="center"/>
                    <w:rPr>
                      <w:rFonts w:eastAsia="等线"/>
                      <w:color w:val="000000"/>
                      <w:szCs w:val="21"/>
                    </w:rPr>
                  </w:pPr>
                  <w:r>
                    <w:rPr>
                      <w:color w:val="000000"/>
                      <w:kern w:val="0"/>
                      <w:sz w:val="20"/>
                      <w:szCs w:val="20"/>
                      <w:lang w:bidi="ar"/>
                    </w:rPr>
                    <w:t>/</w:t>
                  </w:r>
                </w:p>
              </w:tc>
              <w:tc>
                <w:tcPr>
                  <w:tcW w:w="903" w:type="dxa"/>
                  <w:vAlign w:val="center"/>
                </w:tcPr>
                <w:p w14:paraId="410523B0">
                  <w:pPr>
                    <w:widowControl/>
                    <w:jc w:val="center"/>
                    <w:textAlignment w:val="center"/>
                    <w:rPr>
                      <w:rFonts w:eastAsia="等线"/>
                      <w:color w:val="000000"/>
                      <w:szCs w:val="21"/>
                    </w:rPr>
                  </w:pPr>
                  <w:r>
                    <w:rPr>
                      <w:color w:val="000000"/>
                      <w:kern w:val="0"/>
                      <w:sz w:val="20"/>
                      <w:szCs w:val="20"/>
                      <w:lang w:bidi="ar"/>
                    </w:rPr>
                    <w:t>/</w:t>
                  </w:r>
                </w:p>
              </w:tc>
              <w:tc>
                <w:tcPr>
                  <w:tcW w:w="897" w:type="dxa"/>
                  <w:vAlign w:val="center"/>
                </w:tcPr>
                <w:p w14:paraId="21FF6E06">
                  <w:pPr>
                    <w:widowControl/>
                    <w:jc w:val="center"/>
                    <w:textAlignment w:val="center"/>
                    <w:rPr>
                      <w:rFonts w:eastAsia="等线"/>
                      <w:color w:val="000000"/>
                      <w:szCs w:val="21"/>
                    </w:rPr>
                  </w:pPr>
                  <w:r>
                    <w:rPr>
                      <w:color w:val="000000"/>
                      <w:kern w:val="0"/>
                      <w:sz w:val="20"/>
                      <w:szCs w:val="20"/>
                      <w:lang w:bidi="ar"/>
                    </w:rPr>
                    <w:t>/</w:t>
                  </w:r>
                </w:p>
              </w:tc>
              <w:tc>
                <w:tcPr>
                  <w:tcW w:w="850" w:type="dxa"/>
                  <w:vAlign w:val="center"/>
                </w:tcPr>
                <w:p w14:paraId="79B3C34B">
                  <w:pPr>
                    <w:widowControl/>
                    <w:jc w:val="center"/>
                    <w:textAlignment w:val="center"/>
                    <w:rPr>
                      <w:rFonts w:eastAsia="等线"/>
                      <w:color w:val="000000"/>
                      <w:szCs w:val="21"/>
                    </w:rPr>
                  </w:pPr>
                  <w:r>
                    <w:rPr>
                      <w:color w:val="000000"/>
                      <w:kern w:val="0"/>
                      <w:sz w:val="20"/>
                      <w:szCs w:val="20"/>
                      <w:lang w:bidi="ar"/>
                    </w:rPr>
                    <w:t>0.58</w:t>
                  </w:r>
                </w:p>
              </w:tc>
              <w:tc>
                <w:tcPr>
                  <w:tcW w:w="850" w:type="dxa"/>
                  <w:vAlign w:val="center"/>
                </w:tcPr>
                <w:p w14:paraId="490A6286">
                  <w:pPr>
                    <w:widowControl/>
                    <w:jc w:val="center"/>
                    <w:textAlignment w:val="center"/>
                    <w:rPr>
                      <w:rFonts w:eastAsia="等线"/>
                      <w:color w:val="000000"/>
                      <w:szCs w:val="21"/>
                    </w:rPr>
                  </w:pPr>
                  <w:r>
                    <w:rPr>
                      <w:color w:val="000000"/>
                      <w:kern w:val="0"/>
                      <w:sz w:val="20"/>
                      <w:szCs w:val="20"/>
                      <w:lang w:bidi="ar"/>
                    </w:rPr>
                    <w:t>175</w:t>
                  </w:r>
                </w:p>
              </w:tc>
            </w:tr>
            <w:tr w14:paraId="51E550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blHeader/>
                <w:jc w:val="center"/>
              </w:trPr>
              <w:tc>
                <w:tcPr>
                  <w:tcW w:w="317" w:type="pct"/>
                  <w:vMerge w:val="continue"/>
                  <w:vAlign w:val="center"/>
                </w:tcPr>
                <w:p w14:paraId="12364F58">
                  <w:pPr>
                    <w:pStyle w:val="19"/>
                    <w:adjustRightInd w:val="0"/>
                    <w:ind w:left="0" w:firstLine="0" w:firstLineChars="0"/>
                    <w:jc w:val="center"/>
                    <w:rPr>
                      <w:color w:val="000000"/>
                      <w:szCs w:val="21"/>
                    </w:rPr>
                  </w:pPr>
                </w:p>
              </w:tc>
              <w:tc>
                <w:tcPr>
                  <w:tcW w:w="738" w:type="pct"/>
                  <w:vAlign w:val="center"/>
                </w:tcPr>
                <w:p w14:paraId="5BD2D460">
                  <w:pPr>
                    <w:pStyle w:val="19"/>
                    <w:adjustRightInd w:val="0"/>
                    <w:ind w:left="0" w:firstLine="0" w:firstLineChars="0"/>
                    <w:jc w:val="center"/>
                    <w:rPr>
                      <w:color w:val="000000"/>
                      <w:szCs w:val="21"/>
                    </w:rPr>
                  </w:pPr>
                  <w:r>
                    <w:rPr>
                      <w:color w:val="000000"/>
                      <w:szCs w:val="21"/>
                    </w:rPr>
                    <w:t>黄豆浸泡用排水</w:t>
                  </w:r>
                </w:p>
              </w:tc>
              <w:tc>
                <w:tcPr>
                  <w:tcW w:w="480" w:type="pct"/>
                  <w:vAlign w:val="center"/>
                </w:tcPr>
                <w:p w14:paraId="0A170826">
                  <w:pPr>
                    <w:pStyle w:val="19"/>
                    <w:adjustRightInd w:val="0"/>
                    <w:ind w:left="0" w:firstLine="0" w:firstLineChars="0"/>
                    <w:jc w:val="center"/>
                    <w:rPr>
                      <w:color w:val="000000"/>
                      <w:szCs w:val="21"/>
                    </w:rPr>
                  </w:pPr>
                  <w:r>
                    <w:rPr>
                      <w:color w:val="000000"/>
                      <w:szCs w:val="21"/>
                    </w:rPr>
                    <w:t>2m</w:t>
                  </w:r>
                  <w:r>
                    <w:rPr>
                      <w:color w:val="000000"/>
                      <w:szCs w:val="21"/>
                      <w:vertAlign w:val="superscript"/>
                    </w:rPr>
                    <w:t>3</w:t>
                  </w:r>
                  <w:r>
                    <w:rPr>
                      <w:color w:val="000000"/>
                      <w:szCs w:val="21"/>
                    </w:rPr>
                    <w:t>/t</w:t>
                  </w:r>
                </w:p>
              </w:tc>
              <w:tc>
                <w:tcPr>
                  <w:tcW w:w="577" w:type="pct"/>
                  <w:vAlign w:val="center"/>
                </w:tcPr>
                <w:p w14:paraId="1E91D481">
                  <w:pPr>
                    <w:pStyle w:val="19"/>
                    <w:adjustRightInd w:val="0"/>
                    <w:ind w:left="0" w:firstLine="0" w:firstLineChars="0"/>
                    <w:jc w:val="center"/>
                    <w:rPr>
                      <w:color w:val="000000"/>
                      <w:szCs w:val="21"/>
                    </w:rPr>
                  </w:pPr>
                  <w:r>
                    <w:rPr>
                      <w:color w:val="000000"/>
                      <w:szCs w:val="21"/>
                    </w:rPr>
                    <w:t>300 t/a</w:t>
                  </w:r>
                </w:p>
              </w:tc>
              <w:tc>
                <w:tcPr>
                  <w:tcW w:w="344" w:type="pct"/>
                  <w:vAlign w:val="center"/>
                </w:tcPr>
                <w:p w14:paraId="1471085C">
                  <w:pPr>
                    <w:jc w:val="center"/>
                    <w:rPr>
                      <w:color w:val="000000"/>
                      <w:szCs w:val="21"/>
                    </w:rPr>
                  </w:pPr>
                  <w:r>
                    <w:rPr>
                      <w:color w:val="000000"/>
                      <w:szCs w:val="21"/>
                    </w:rPr>
                    <w:t>300</w:t>
                  </w:r>
                  <w:r>
                    <w:rPr>
                      <w:rFonts w:eastAsia="等线"/>
                      <w:color w:val="000000"/>
                      <w:szCs w:val="21"/>
                    </w:rPr>
                    <w:t>d/a</w:t>
                  </w:r>
                </w:p>
              </w:tc>
              <w:tc>
                <w:tcPr>
                  <w:tcW w:w="850" w:type="dxa"/>
                  <w:vAlign w:val="center"/>
                </w:tcPr>
                <w:p w14:paraId="1B346BD2">
                  <w:pPr>
                    <w:widowControl/>
                    <w:jc w:val="center"/>
                    <w:textAlignment w:val="center"/>
                    <w:rPr>
                      <w:rFonts w:eastAsia="等线"/>
                      <w:color w:val="000000"/>
                      <w:szCs w:val="21"/>
                    </w:rPr>
                  </w:pPr>
                  <w:r>
                    <w:rPr>
                      <w:color w:val="000000"/>
                      <w:kern w:val="0"/>
                      <w:sz w:val="20"/>
                      <w:szCs w:val="20"/>
                      <w:lang w:bidi="ar"/>
                    </w:rPr>
                    <w:t>2</w:t>
                  </w:r>
                </w:p>
              </w:tc>
              <w:tc>
                <w:tcPr>
                  <w:tcW w:w="903" w:type="dxa"/>
                  <w:vAlign w:val="center"/>
                </w:tcPr>
                <w:p w14:paraId="5C508574">
                  <w:pPr>
                    <w:widowControl/>
                    <w:jc w:val="center"/>
                    <w:textAlignment w:val="center"/>
                    <w:rPr>
                      <w:rFonts w:eastAsia="等线"/>
                      <w:color w:val="000000"/>
                      <w:szCs w:val="21"/>
                    </w:rPr>
                  </w:pPr>
                  <w:r>
                    <w:rPr>
                      <w:color w:val="000000"/>
                      <w:kern w:val="0"/>
                      <w:sz w:val="20"/>
                      <w:szCs w:val="20"/>
                      <w:lang w:bidi="ar"/>
                    </w:rPr>
                    <w:t>600</w:t>
                  </w:r>
                </w:p>
              </w:tc>
              <w:tc>
                <w:tcPr>
                  <w:tcW w:w="897" w:type="dxa"/>
                  <w:vAlign w:val="center"/>
                </w:tcPr>
                <w:p w14:paraId="4F922FB4">
                  <w:pPr>
                    <w:widowControl/>
                    <w:jc w:val="center"/>
                    <w:textAlignment w:val="center"/>
                    <w:rPr>
                      <w:rFonts w:eastAsia="等线"/>
                      <w:color w:val="000000"/>
                      <w:szCs w:val="21"/>
                    </w:rPr>
                  </w:pPr>
                  <w:r>
                    <w:rPr>
                      <w:color w:val="000000"/>
                      <w:kern w:val="0"/>
                      <w:sz w:val="20"/>
                      <w:szCs w:val="20"/>
                      <w:lang w:bidi="ar"/>
                    </w:rPr>
                    <w:t>0.2</w:t>
                  </w:r>
                </w:p>
              </w:tc>
              <w:tc>
                <w:tcPr>
                  <w:tcW w:w="850" w:type="dxa"/>
                  <w:vAlign w:val="center"/>
                </w:tcPr>
                <w:p w14:paraId="4D31DEB1">
                  <w:pPr>
                    <w:widowControl/>
                    <w:jc w:val="center"/>
                    <w:textAlignment w:val="center"/>
                    <w:rPr>
                      <w:rFonts w:eastAsia="等线"/>
                      <w:color w:val="000000"/>
                      <w:szCs w:val="21"/>
                    </w:rPr>
                  </w:pPr>
                  <w:r>
                    <w:rPr>
                      <w:color w:val="000000"/>
                      <w:kern w:val="0"/>
                      <w:sz w:val="20"/>
                      <w:szCs w:val="20"/>
                      <w:lang w:bidi="ar"/>
                    </w:rPr>
                    <w:t>1.8</w:t>
                  </w:r>
                </w:p>
              </w:tc>
              <w:tc>
                <w:tcPr>
                  <w:tcW w:w="850" w:type="dxa"/>
                  <w:vAlign w:val="center"/>
                </w:tcPr>
                <w:p w14:paraId="4F912A43">
                  <w:pPr>
                    <w:widowControl/>
                    <w:jc w:val="center"/>
                    <w:textAlignment w:val="center"/>
                    <w:rPr>
                      <w:rFonts w:eastAsia="等线"/>
                      <w:color w:val="000000"/>
                      <w:szCs w:val="21"/>
                    </w:rPr>
                  </w:pPr>
                  <w:r>
                    <w:rPr>
                      <w:color w:val="000000"/>
                      <w:kern w:val="0"/>
                      <w:sz w:val="20"/>
                      <w:szCs w:val="20"/>
                      <w:lang w:bidi="ar"/>
                    </w:rPr>
                    <w:t>540</w:t>
                  </w:r>
                </w:p>
              </w:tc>
            </w:tr>
            <w:tr w14:paraId="75F04E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blHeader/>
                <w:jc w:val="center"/>
              </w:trPr>
              <w:tc>
                <w:tcPr>
                  <w:tcW w:w="317" w:type="pct"/>
                  <w:vMerge w:val="continue"/>
                  <w:vAlign w:val="center"/>
                </w:tcPr>
                <w:p w14:paraId="6A03451D">
                  <w:pPr>
                    <w:pStyle w:val="19"/>
                    <w:adjustRightInd w:val="0"/>
                    <w:ind w:left="0" w:firstLine="0" w:firstLineChars="0"/>
                    <w:jc w:val="center"/>
                    <w:rPr>
                      <w:color w:val="000000"/>
                      <w:szCs w:val="21"/>
                    </w:rPr>
                  </w:pPr>
                </w:p>
              </w:tc>
              <w:tc>
                <w:tcPr>
                  <w:tcW w:w="738" w:type="pct"/>
                  <w:vAlign w:val="center"/>
                </w:tcPr>
                <w:p w14:paraId="0FF98D8C">
                  <w:pPr>
                    <w:pStyle w:val="19"/>
                    <w:adjustRightInd w:val="0"/>
                    <w:ind w:left="0" w:firstLine="0" w:firstLineChars="0"/>
                    <w:jc w:val="center"/>
                    <w:rPr>
                      <w:color w:val="000000"/>
                      <w:szCs w:val="21"/>
                    </w:rPr>
                  </w:pPr>
                  <w:r>
                    <w:rPr>
                      <w:color w:val="000000"/>
                      <w:szCs w:val="21"/>
                    </w:rPr>
                    <w:t>卤料原料清洗用排水</w:t>
                  </w:r>
                </w:p>
              </w:tc>
              <w:tc>
                <w:tcPr>
                  <w:tcW w:w="812" w:type="dxa"/>
                  <w:vAlign w:val="center"/>
                </w:tcPr>
                <w:p w14:paraId="219D22D2">
                  <w:pPr>
                    <w:widowControl/>
                    <w:jc w:val="center"/>
                    <w:textAlignment w:val="center"/>
                    <w:rPr>
                      <w:color w:val="000000"/>
                      <w:szCs w:val="21"/>
                    </w:rPr>
                  </w:pPr>
                  <w:r>
                    <w:rPr>
                      <w:color w:val="000000"/>
                      <w:kern w:val="0"/>
                      <w:szCs w:val="21"/>
                      <w:lang w:bidi="ar"/>
                    </w:rPr>
                    <w:t>1:1</w:t>
                  </w:r>
                </w:p>
              </w:tc>
              <w:tc>
                <w:tcPr>
                  <w:tcW w:w="976" w:type="dxa"/>
                  <w:vAlign w:val="center"/>
                </w:tcPr>
                <w:p w14:paraId="1DF6E23C">
                  <w:pPr>
                    <w:widowControl/>
                    <w:jc w:val="center"/>
                    <w:textAlignment w:val="center"/>
                    <w:rPr>
                      <w:color w:val="000000"/>
                      <w:szCs w:val="21"/>
                    </w:rPr>
                  </w:pPr>
                  <w:r>
                    <w:rPr>
                      <w:color w:val="000000"/>
                      <w:kern w:val="0"/>
                      <w:szCs w:val="21"/>
                      <w:lang w:bidi="ar"/>
                    </w:rPr>
                    <w:t>39</w:t>
                  </w:r>
                  <w:r>
                    <w:rPr>
                      <w:color w:val="000000"/>
                      <w:szCs w:val="21"/>
                    </w:rPr>
                    <w:t xml:space="preserve"> t/a</w:t>
                  </w:r>
                </w:p>
              </w:tc>
              <w:tc>
                <w:tcPr>
                  <w:tcW w:w="582" w:type="dxa"/>
                  <w:vAlign w:val="center"/>
                </w:tcPr>
                <w:p w14:paraId="1DA340C7">
                  <w:pPr>
                    <w:widowControl/>
                    <w:jc w:val="center"/>
                    <w:textAlignment w:val="center"/>
                    <w:rPr>
                      <w:color w:val="000000"/>
                      <w:szCs w:val="21"/>
                    </w:rPr>
                  </w:pPr>
                  <w:r>
                    <w:rPr>
                      <w:color w:val="000000"/>
                      <w:kern w:val="0"/>
                      <w:szCs w:val="21"/>
                      <w:lang w:bidi="ar"/>
                    </w:rPr>
                    <w:t>300d/a</w:t>
                  </w:r>
                </w:p>
              </w:tc>
              <w:tc>
                <w:tcPr>
                  <w:tcW w:w="850" w:type="dxa"/>
                  <w:vAlign w:val="center"/>
                </w:tcPr>
                <w:p w14:paraId="7F9EDF84">
                  <w:pPr>
                    <w:widowControl/>
                    <w:jc w:val="center"/>
                    <w:textAlignment w:val="center"/>
                    <w:rPr>
                      <w:color w:val="000000"/>
                      <w:kern w:val="0"/>
                      <w:sz w:val="20"/>
                      <w:szCs w:val="20"/>
                      <w:lang w:bidi="ar"/>
                    </w:rPr>
                  </w:pPr>
                  <w:r>
                    <w:rPr>
                      <w:color w:val="000000"/>
                      <w:kern w:val="0"/>
                      <w:sz w:val="20"/>
                      <w:szCs w:val="20"/>
                      <w:lang w:bidi="ar"/>
                    </w:rPr>
                    <w:t>0.13</w:t>
                  </w:r>
                </w:p>
              </w:tc>
              <w:tc>
                <w:tcPr>
                  <w:tcW w:w="903" w:type="dxa"/>
                  <w:vAlign w:val="center"/>
                </w:tcPr>
                <w:p w14:paraId="696BD471">
                  <w:pPr>
                    <w:widowControl/>
                    <w:jc w:val="center"/>
                    <w:textAlignment w:val="center"/>
                    <w:rPr>
                      <w:color w:val="000000"/>
                      <w:kern w:val="0"/>
                      <w:sz w:val="20"/>
                      <w:szCs w:val="20"/>
                      <w:lang w:bidi="ar"/>
                    </w:rPr>
                  </w:pPr>
                  <w:r>
                    <w:rPr>
                      <w:color w:val="000000"/>
                      <w:kern w:val="0"/>
                      <w:sz w:val="20"/>
                      <w:szCs w:val="20"/>
                      <w:lang w:bidi="ar"/>
                    </w:rPr>
                    <w:t>39</w:t>
                  </w:r>
                </w:p>
              </w:tc>
              <w:tc>
                <w:tcPr>
                  <w:tcW w:w="897" w:type="dxa"/>
                  <w:vAlign w:val="center"/>
                </w:tcPr>
                <w:p w14:paraId="5E843513">
                  <w:pPr>
                    <w:widowControl/>
                    <w:jc w:val="center"/>
                    <w:textAlignment w:val="center"/>
                    <w:rPr>
                      <w:color w:val="000000"/>
                      <w:kern w:val="0"/>
                      <w:sz w:val="20"/>
                      <w:szCs w:val="20"/>
                      <w:lang w:bidi="ar"/>
                    </w:rPr>
                  </w:pPr>
                  <w:r>
                    <w:rPr>
                      <w:color w:val="000000"/>
                      <w:kern w:val="0"/>
                      <w:sz w:val="20"/>
                      <w:szCs w:val="20"/>
                      <w:lang w:bidi="ar"/>
                    </w:rPr>
                    <w:t>0.013</w:t>
                  </w:r>
                </w:p>
              </w:tc>
              <w:tc>
                <w:tcPr>
                  <w:tcW w:w="850" w:type="dxa"/>
                  <w:vAlign w:val="center"/>
                </w:tcPr>
                <w:p w14:paraId="5046411F">
                  <w:pPr>
                    <w:widowControl/>
                    <w:jc w:val="center"/>
                    <w:textAlignment w:val="center"/>
                    <w:rPr>
                      <w:color w:val="000000"/>
                      <w:kern w:val="0"/>
                      <w:sz w:val="20"/>
                      <w:szCs w:val="20"/>
                      <w:lang w:bidi="ar"/>
                    </w:rPr>
                  </w:pPr>
                  <w:r>
                    <w:rPr>
                      <w:color w:val="000000"/>
                      <w:kern w:val="0"/>
                      <w:sz w:val="20"/>
                      <w:szCs w:val="20"/>
                      <w:lang w:bidi="ar"/>
                    </w:rPr>
                    <w:t>0.117</w:t>
                  </w:r>
                </w:p>
              </w:tc>
              <w:tc>
                <w:tcPr>
                  <w:tcW w:w="850" w:type="dxa"/>
                  <w:vAlign w:val="center"/>
                </w:tcPr>
                <w:p w14:paraId="16B5161B">
                  <w:pPr>
                    <w:widowControl/>
                    <w:jc w:val="center"/>
                    <w:textAlignment w:val="center"/>
                    <w:rPr>
                      <w:color w:val="000000"/>
                      <w:kern w:val="0"/>
                      <w:sz w:val="20"/>
                      <w:szCs w:val="20"/>
                      <w:lang w:bidi="ar"/>
                    </w:rPr>
                  </w:pPr>
                  <w:r>
                    <w:rPr>
                      <w:color w:val="000000"/>
                      <w:kern w:val="0"/>
                      <w:sz w:val="20"/>
                      <w:szCs w:val="20"/>
                      <w:lang w:bidi="ar"/>
                    </w:rPr>
                    <w:t>35.1</w:t>
                  </w:r>
                </w:p>
              </w:tc>
            </w:tr>
            <w:tr w14:paraId="642485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blHeader/>
                <w:jc w:val="center"/>
              </w:trPr>
              <w:tc>
                <w:tcPr>
                  <w:tcW w:w="317" w:type="pct"/>
                  <w:vMerge w:val="continue"/>
                  <w:vAlign w:val="center"/>
                </w:tcPr>
                <w:p w14:paraId="6C3CD508">
                  <w:pPr>
                    <w:pStyle w:val="19"/>
                    <w:adjustRightInd w:val="0"/>
                    <w:ind w:left="0" w:firstLine="0" w:firstLineChars="0"/>
                    <w:jc w:val="center"/>
                    <w:rPr>
                      <w:color w:val="000000"/>
                      <w:szCs w:val="21"/>
                    </w:rPr>
                  </w:pPr>
                </w:p>
              </w:tc>
              <w:tc>
                <w:tcPr>
                  <w:tcW w:w="738" w:type="pct"/>
                  <w:vAlign w:val="center"/>
                </w:tcPr>
                <w:p w14:paraId="6E409B64">
                  <w:pPr>
                    <w:pStyle w:val="19"/>
                    <w:adjustRightInd w:val="0"/>
                    <w:ind w:left="0" w:firstLine="0" w:firstLineChars="0"/>
                    <w:jc w:val="center"/>
                    <w:rPr>
                      <w:color w:val="000000"/>
                      <w:szCs w:val="21"/>
                    </w:rPr>
                  </w:pPr>
                  <w:r>
                    <w:rPr>
                      <w:color w:val="000000"/>
                      <w:szCs w:val="21"/>
                    </w:rPr>
                    <w:t>洗袋用排水</w:t>
                  </w:r>
                </w:p>
              </w:tc>
              <w:tc>
                <w:tcPr>
                  <w:tcW w:w="480" w:type="pct"/>
                  <w:vAlign w:val="center"/>
                </w:tcPr>
                <w:p w14:paraId="49B06EF6">
                  <w:pPr>
                    <w:pStyle w:val="19"/>
                    <w:adjustRightInd w:val="0"/>
                    <w:ind w:left="0" w:firstLine="0" w:firstLineChars="0"/>
                    <w:jc w:val="center"/>
                    <w:rPr>
                      <w:color w:val="000000"/>
                      <w:szCs w:val="21"/>
                    </w:rPr>
                  </w:pPr>
                  <w:r>
                    <w:rPr>
                      <w:color w:val="000000"/>
                      <w:szCs w:val="21"/>
                    </w:rPr>
                    <w:t>1m</w:t>
                  </w:r>
                  <w:r>
                    <w:rPr>
                      <w:color w:val="000000"/>
                      <w:szCs w:val="21"/>
                      <w:vertAlign w:val="superscript"/>
                    </w:rPr>
                    <w:t>3</w:t>
                  </w:r>
                  <w:r>
                    <w:rPr>
                      <w:color w:val="000000"/>
                      <w:szCs w:val="21"/>
                    </w:rPr>
                    <w:t>/t</w:t>
                  </w:r>
                </w:p>
              </w:tc>
              <w:tc>
                <w:tcPr>
                  <w:tcW w:w="577" w:type="pct"/>
                  <w:vAlign w:val="center"/>
                </w:tcPr>
                <w:p w14:paraId="4C1FBFC3">
                  <w:pPr>
                    <w:pStyle w:val="19"/>
                    <w:adjustRightInd w:val="0"/>
                    <w:ind w:left="0" w:firstLine="0" w:firstLineChars="0"/>
                    <w:jc w:val="center"/>
                    <w:rPr>
                      <w:color w:val="000000"/>
                      <w:szCs w:val="21"/>
                    </w:rPr>
                  </w:pPr>
                  <w:r>
                    <w:rPr>
                      <w:color w:val="000000"/>
                      <w:szCs w:val="21"/>
                    </w:rPr>
                    <w:t>15500 t/a</w:t>
                  </w:r>
                </w:p>
              </w:tc>
              <w:tc>
                <w:tcPr>
                  <w:tcW w:w="344" w:type="pct"/>
                  <w:vAlign w:val="center"/>
                </w:tcPr>
                <w:p w14:paraId="38DBB5C4">
                  <w:pPr>
                    <w:jc w:val="center"/>
                    <w:rPr>
                      <w:color w:val="000000"/>
                      <w:szCs w:val="21"/>
                    </w:rPr>
                  </w:pPr>
                  <w:r>
                    <w:rPr>
                      <w:color w:val="000000"/>
                      <w:szCs w:val="21"/>
                    </w:rPr>
                    <w:t>300</w:t>
                  </w:r>
                  <w:r>
                    <w:rPr>
                      <w:rFonts w:eastAsia="等线"/>
                      <w:color w:val="000000"/>
                      <w:szCs w:val="21"/>
                    </w:rPr>
                    <w:t>d/a</w:t>
                  </w:r>
                </w:p>
              </w:tc>
              <w:tc>
                <w:tcPr>
                  <w:tcW w:w="850" w:type="dxa"/>
                  <w:vAlign w:val="center"/>
                </w:tcPr>
                <w:p w14:paraId="6604C1BD">
                  <w:pPr>
                    <w:widowControl/>
                    <w:jc w:val="center"/>
                    <w:textAlignment w:val="center"/>
                    <w:rPr>
                      <w:color w:val="000000"/>
                      <w:kern w:val="0"/>
                      <w:szCs w:val="21"/>
                    </w:rPr>
                  </w:pPr>
                  <w:r>
                    <w:rPr>
                      <w:color w:val="000000"/>
                      <w:kern w:val="0"/>
                      <w:sz w:val="20"/>
                      <w:szCs w:val="20"/>
                      <w:lang w:bidi="ar"/>
                    </w:rPr>
                    <w:t>51.67</w:t>
                  </w:r>
                </w:p>
              </w:tc>
              <w:tc>
                <w:tcPr>
                  <w:tcW w:w="903" w:type="dxa"/>
                  <w:vAlign w:val="center"/>
                </w:tcPr>
                <w:p w14:paraId="15253C3A">
                  <w:pPr>
                    <w:widowControl/>
                    <w:jc w:val="center"/>
                    <w:textAlignment w:val="center"/>
                    <w:rPr>
                      <w:color w:val="000000"/>
                      <w:szCs w:val="21"/>
                    </w:rPr>
                  </w:pPr>
                  <w:r>
                    <w:rPr>
                      <w:color w:val="000000"/>
                      <w:kern w:val="0"/>
                      <w:sz w:val="20"/>
                      <w:szCs w:val="20"/>
                      <w:lang w:bidi="ar"/>
                    </w:rPr>
                    <w:t>15500</w:t>
                  </w:r>
                </w:p>
              </w:tc>
              <w:tc>
                <w:tcPr>
                  <w:tcW w:w="897" w:type="dxa"/>
                  <w:vAlign w:val="center"/>
                </w:tcPr>
                <w:p w14:paraId="1E97CBC9">
                  <w:pPr>
                    <w:widowControl/>
                    <w:jc w:val="center"/>
                    <w:textAlignment w:val="center"/>
                    <w:rPr>
                      <w:color w:val="000000"/>
                      <w:szCs w:val="21"/>
                    </w:rPr>
                  </w:pPr>
                  <w:r>
                    <w:rPr>
                      <w:color w:val="000000"/>
                      <w:kern w:val="0"/>
                      <w:sz w:val="20"/>
                      <w:szCs w:val="20"/>
                      <w:lang w:bidi="ar"/>
                    </w:rPr>
                    <w:t>5.17</w:t>
                  </w:r>
                </w:p>
              </w:tc>
              <w:tc>
                <w:tcPr>
                  <w:tcW w:w="850" w:type="dxa"/>
                  <w:vAlign w:val="center"/>
                </w:tcPr>
                <w:p w14:paraId="5105F1EA">
                  <w:pPr>
                    <w:widowControl/>
                    <w:jc w:val="center"/>
                    <w:textAlignment w:val="center"/>
                    <w:rPr>
                      <w:color w:val="000000"/>
                      <w:szCs w:val="21"/>
                    </w:rPr>
                  </w:pPr>
                  <w:r>
                    <w:rPr>
                      <w:color w:val="000000"/>
                      <w:kern w:val="0"/>
                      <w:sz w:val="20"/>
                      <w:szCs w:val="20"/>
                      <w:lang w:bidi="ar"/>
                    </w:rPr>
                    <w:t>46.5</w:t>
                  </w:r>
                </w:p>
              </w:tc>
              <w:tc>
                <w:tcPr>
                  <w:tcW w:w="850" w:type="dxa"/>
                  <w:vAlign w:val="center"/>
                </w:tcPr>
                <w:p w14:paraId="05631137">
                  <w:pPr>
                    <w:widowControl/>
                    <w:jc w:val="center"/>
                    <w:textAlignment w:val="center"/>
                    <w:rPr>
                      <w:color w:val="000000"/>
                      <w:szCs w:val="21"/>
                    </w:rPr>
                  </w:pPr>
                  <w:r>
                    <w:rPr>
                      <w:color w:val="000000"/>
                      <w:kern w:val="0"/>
                      <w:sz w:val="20"/>
                      <w:szCs w:val="20"/>
                      <w:lang w:bidi="ar"/>
                    </w:rPr>
                    <w:t>13950</w:t>
                  </w:r>
                </w:p>
              </w:tc>
            </w:tr>
            <w:tr w14:paraId="670C72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blHeader/>
                <w:jc w:val="center"/>
              </w:trPr>
              <w:tc>
                <w:tcPr>
                  <w:tcW w:w="317" w:type="pct"/>
                  <w:vMerge w:val="continue"/>
                  <w:vAlign w:val="center"/>
                </w:tcPr>
                <w:p w14:paraId="56903B0A">
                  <w:pPr>
                    <w:pStyle w:val="19"/>
                    <w:adjustRightInd w:val="0"/>
                    <w:ind w:left="0" w:firstLine="0" w:firstLineChars="0"/>
                    <w:jc w:val="center"/>
                    <w:rPr>
                      <w:color w:val="000000"/>
                      <w:szCs w:val="21"/>
                    </w:rPr>
                  </w:pPr>
                </w:p>
              </w:tc>
              <w:tc>
                <w:tcPr>
                  <w:tcW w:w="738" w:type="pct"/>
                  <w:vAlign w:val="center"/>
                </w:tcPr>
                <w:p w14:paraId="0E008C5A">
                  <w:pPr>
                    <w:pStyle w:val="19"/>
                    <w:adjustRightInd w:val="0"/>
                    <w:ind w:left="0" w:firstLine="0" w:firstLineChars="0"/>
                    <w:jc w:val="center"/>
                    <w:rPr>
                      <w:color w:val="000000"/>
                      <w:szCs w:val="21"/>
                    </w:rPr>
                  </w:pPr>
                  <w:r>
                    <w:rPr>
                      <w:color w:val="000000"/>
                      <w:szCs w:val="21"/>
                    </w:rPr>
                    <w:t>设备清洗用排水</w:t>
                  </w:r>
                </w:p>
              </w:tc>
              <w:tc>
                <w:tcPr>
                  <w:tcW w:w="480" w:type="pct"/>
                  <w:vAlign w:val="center"/>
                </w:tcPr>
                <w:p w14:paraId="1B393CEA">
                  <w:pPr>
                    <w:pStyle w:val="19"/>
                    <w:adjustRightInd w:val="0"/>
                    <w:ind w:left="0" w:firstLine="0" w:firstLineChars="0"/>
                    <w:jc w:val="center"/>
                    <w:rPr>
                      <w:color w:val="000000"/>
                      <w:szCs w:val="21"/>
                    </w:rPr>
                  </w:pPr>
                  <w:r>
                    <w:rPr>
                      <w:color w:val="000000"/>
                      <w:szCs w:val="21"/>
                    </w:rPr>
                    <w:t>/</w:t>
                  </w:r>
                </w:p>
              </w:tc>
              <w:tc>
                <w:tcPr>
                  <w:tcW w:w="577" w:type="pct"/>
                  <w:vAlign w:val="center"/>
                </w:tcPr>
                <w:p w14:paraId="79CFBC3E">
                  <w:pPr>
                    <w:pStyle w:val="19"/>
                    <w:adjustRightInd w:val="0"/>
                    <w:ind w:left="0" w:firstLine="0" w:firstLineChars="0"/>
                    <w:jc w:val="center"/>
                    <w:rPr>
                      <w:color w:val="000000"/>
                      <w:szCs w:val="21"/>
                    </w:rPr>
                  </w:pPr>
                  <w:r>
                    <w:rPr>
                      <w:color w:val="000000"/>
                      <w:szCs w:val="21"/>
                    </w:rPr>
                    <w:t>/</w:t>
                  </w:r>
                </w:p>
              </w:tc>
              <w:tc>
                <w:tcPr>
                  <w:tcW w:w="344" w:type="pct"/>
                  <w:vAlign w:val="center"/>
                </w:tcPr>
                <w:p w14:paraId="1E3A6DDC">
                  <w:pPr>
                    <w:jc w:val="center"/>
                    <w:rPr>
                      <w:color w:val="000000"/>
                      <w:szCs w:val="21"/>
                    </w:rPr>
                  </w:pPr>
                  <w:r>
                    <w:rPr>
                      <w:color w:val="000000"/>
                      <w:szCs w:val="21"/>
                    </w:rPr>
                    <w:t>300</w:t>
                  </w:r>
                  <w:r>
                    <w:rPr>
                      <w:rFonts w:eastAsia="等线"/>
                      <w:color w:val="000000"/>
                      <w:szCs w:val="21"/>
                    </w:rPr>
                    <w:t>d/a</w:t>
                  </w:r>
                </w:p>
              </w:tc>
              <w:tc>
                <w:tcPr>
                  <w:tcW w:w="850" w:type="dxa"/>
                  <w:vAlign w:val="center"/>
                </w:tcPr>
                <w:p w14:paraId="7448068F">
                  <w:pPr>
                    <w:widowControl/>
                    <w:jc w:val="center"/>
                    <w:textAlignment w:val="center"/>
                    <w:rPr>
                      <w:rFonts w:eastAsia="等线"/>
                      <w:color w:val="000000"/>
                      <w:szCs w:val="21"/>
                    </w:rPr>
                  </w:pPr>
                  <w:r>
                    <w:rPr>
                      <w:color w:val="000000"/>
                      <w:kern w:val="0"/>
                      <w:sz w:val="20"/>
                      <w:szCs w:val="20"/>
                      <w:lang w:bidi="ar"/>
                    </w:rPr>
                    <w:t>10</w:t>
                  </w:r>
                </w:p>
              </w:tc>
              <w:tc>
                <w:tcPr>
                  <w:tcW w:w="903" w:type="dxa"/>
                  <w:vAlign w:val="center"/>
                </w:tcPr>
                <w:p w14:paraId="5456A781">
                  <w:pPr>
                    <w:widowControl/>
                    <w:jc w:val="center"/>
                    <w:textAlignment w:val="center"/>
                    <w:rPr>
                      <w:rFonts w:eastAsia="等线"/>
                      <w:color w:val="000000"/>
                      <w:szCs w:val="21"/>
                    </w:rPr>
                  </w:pPr>
                  <w:r>
                    <w:rPr>
                      <w:color w:val="000000"/>
                      <w:kern w:val="0"/>
                      <w:sz w:val="20"/>
                      <w:szCs w:val="20"/>
                      <w:lang w:bidi="ar"/>
                    </w:rPr>
                    <w:t>3000</w:t>
                  </w:r>
                </w:p>
              </w:tc>
              <w:tc>
                <w:tcPr>
                  <w:tcW w:w="897" w:type="dxa"/>
                  <w:vAlign w:val="center"/>
                </w:tcPr>
                <w:p w14:paraId="1A82F22C">
                  <w:pPr>
                    <w:widowControl/>
                    <w:jc w:val="center"/>
                    <w:textAlignment w:val="center"/>
                    <w:rPr>
                      <w:rFonts w:eastAsia="等线"/>
                      <w:color w:val="000000"/>
                      <w:szCs w:val="21"/>
                    </w:rPr>
                  </w:pPr>
                  <w:r>
                    <w:rPr>
                      <w:color w:val="000000"/>
                      <w:kern w:val="0"/>
                      <w:sz w:val="20"/>
                      <w:szCs w:val="20"/>
                      <w:lang w:bidi="ar"/>
                    </w:rPr>
                    <w:t>1</w:t>
                  </w:r>
                </w:p>
              </w:tc>
              <w:tc>
                <w:tcPr>
                  <w:tcW w:w="850" w:type="dxa"/>
                  <w:vAlign w:val="center"/>
                </w:tcPr>
                <w:p w14:paraId="5888B43A">
                  <w:pPr>
                    <w:widowControl/>
                    <w:jc w:val="center"/>
                    <w:textAlignment w:val="center"/>
                    <w:rPr>
                      <w:rFonts w:eastAsia="等线"/>
                      <w:color w:val="000000"/>
                      <w:szCs w:val="21"/>
                    </w:rPr>
                  </w:pPr>
                  <w:r>
                    <w:rPr>
                      <w:color w:val="000000"/>
                      <w:kern w:val="0"/>
                      <w:sz w:val="20"/>
                      <w:szCs w:val="20"/>
                      <w:lang w:bidi="ar"/>
                    </w:rPr>
                    <w:t>9</w:t>
                  </w:r>
                </w:p>
              </w:tc>
              <w:tc>
                <w:tcPr>
                  <w:tcW w:w="850" w:type="dxa"/>
                  <w:vAlign w:val="center"/>
                </w:tcPr>
                <w:p w14:paraId="39055322">
                  <w:pPr>
                    <w:widowControl/>
                    <w:jc w:val="center"/>
                    <w:textAlignment w:val="center"/>
                    <w:rPr>
                      <w:rFonts w:eastAsia="等线"/>
                      <w:color w:val="000000"/>
                      <w:szCs w:val="21"/>
                    </w:rPr>
                  </w:pPr>
                  <w:r>
                    <w:rPr>
                      <w:color w:val="000000"/>
                      <w:kern w:val="0"/>
                      <w:sz w:val="20"/>
                      <w:szCs w:val="20"/>
                      <w:lang w:bidi="ar"/>
                    </w:rPr>
                    <w:t>2700</w:t>
                  </w:r>
                </w:p>
              </w:tc>
            </w:tr>
            <w:tr w14:paraId="316AE8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blHeader/>
                <w:jc w:val="center"/>
              </w:trPr>
              <w:tc>
                <w:tcPr>
                  <w:tcW w:w="317" w:type="pct"/>
                  <w:vMerge w:val="continue"/>
                  <w:vAlign w:val="center"/>
                </w:tcPr>
                <w:p w14:paraId="6394734F">
                  <w:pPr>
                    <w:pStyle w:val="19"/>
                    <w:adjustRightInd w:val="0"/>
                    <w:ind w:left="0" w:firstLine="0" w:firstLineChars="0"/>
                    <w:jc w:val="center"/>
                    <w:rPr>
                      <w:color w:val="000000"/>
                      <w:szCs w:val="21"/>
                    </w:rPr>
                  </w:pPr>
                </w:p>
              </w:tc>
              <w:tc>
                <w:tcPr>
                  <w:tcW w:w="738" w:type="pct"/>
                  <w:vAlign w:val="center"/>
                </w:tcPr>
                <w:p w14:paraId="254883BB">
                  <w:pPr>
                    <w:pStyle w:val="19"/>
                    <w:adjustRightInd w:val="0"/>
                    <w:ind w:left="0" w:firstLine="0" w:firstLineChars="0"/>
                    <w:jc w:val="center"/>
                    <w:rPr>
                      <w:color w:val="000000"/>
                      <w:szCs w:val="21"/>
                    </w:rPr>
                  </w:pPr>
                  <w:r>
                    <w:rPr>
                      <w:color w:val="000000"/>
                      <w:szCs w:val="21"/>
                    </w:rPr>
                    <w:t>地面清洗用排水</w:t>
                  </w:r>
                </w:p>
              </w:tc>
              <w:tc>
                <w:tcPr>
                  <w:tcW w:w="480" w:type="pct"/>
                  <w:vAlign w:val="center"/>
                </w:tcPr>
                <w:p w14:paraId="3058DCED">
                  <w:pPr>
                    <w:pStyle w:val="19"/>
                    <w:adjustRightInd w:val="0"/>
                    <w:ind w:left="0" w:firstLine="0" w:firstLineChars="0"/>
                    <w:jc w:val="center"/>
                    <w:rPr>
                      <w:color w:val="000000"/>
                      <w:szCs w:val="21"/>
                    </w:rPr>
                  </w:pPr>
                  <w:r>
                    <w:rPr>
                      <w:bCs/>
                      <w:color w:val="000000"/>
                      <w:szCs w:val="21"/>
                    </w:rPr>
                    <w:t>5L/m</w:t>
                  </w:r>
                  <w:r>
                    <w:rPr>
                      <w:bCs/>
                      <w:color w:val="000000"/>
                      <w:szCs w:val="21"/>
                      <w:vertAlign w:val="superscript"/>
                    </w:rPr>
                    <w:t>2</w:t>
                  </w:r>
                </w:p>
              </w:tc>
              <w:tc>
                <w:tcPr>
                  <w:tcW w:w="577" w:type="pct"/>
                  <w:vAlign w:val="center"/>
                </w:tcPr>
                <w:p w14:paraId="1329E201">
                  <w:pPr>
                    <w:pStyle w:val="19"/>
                    <w:adjustRightInd w:val="0"/>
                    <w:ind w:left="0" w:firstLine="0" w:firstLineChars="0"/>
                    <w:jc w:val="center"/>
                    <w:rPr>
                      <w:color w:val="000000"/>
                      <w:szCs w:val="21"/>
                    </w:rPr>
                  </w:pPr>
                  <w:r>
                    <w:rPr>
                      <w:color w:val="000000"/>
                      <w:szCs w:val="21"/>
                    </w:rPr>
                    <w:t>10000</w:t>
                  </w:r>
                  <w:r>
                    <w:rPr>
                      <w:bCs/>
                      <w:color w:val="000000"/>
                      <w:szCs w:val="21"/>
                    </w:rPr>
                    <w:t xml:space="preserve"> m</w:t>
                  </w:r>
                  <w:r>
                    <w:rPr>
                      <w:bCs/>
                      <w:color w:val="000000"/>
                      <w:szCs w:val="21"/>
                      <w:vertAlign w:val="superscript"/>
                    </w:rPr>
                    <w:t>2</w:t>
                  </w:r>
                </w:p>
              </w:tc>
              <w:tc>
                <w:tcPr>
                  <w:tcW w:w="344" w:type="pct"/>
                  <w:vAlign w:val="center"/>
                </w:tcPr>
                <w:p w14:paraId="71FE1304">
                  <w:pPr>
                    <w:jc w:val="center"/>
                    <w:rPr>
                      <w:color w:val="000000"/>
                      <w:szCs w:val="21"/>
                    </w:rPr>
                  </w:pPr>
                  <w:r>
                    <w:rPr>
                      <w:color w:val="000000"/>
                      <w:szCs w:val="21"/>
                    </w:rPr>
                    <w:t>300</w:t>
                  </w:r>
                  <w:r>
                    <w:rPr>
                      <w:rFonts w:eastAsia="等线"/>
                      <w:color w:val="000000"/>
                      <w:szCs w:val="21"/>
                    </w:rPr>
                    <w:t>d/a</w:t>
                  </w:r>
                </w:p>
              </w:tc>
              <w:tc>
                <w:tcPr>
                  <w:tcW w:w="850" w:type="dxa"/>
                  <w:vAlign w:val="center"/>
                </w:tcPr>
                <w:p w14:paraId="51AA477B">
                  <w:pPr>
                    <w:widowControl/>
                    <w:jc w:val="center"/>
                    <w:textAlignment w:val="center"/>
                    <w:rPr>
                      <w:color w:val="000000"/>
                      <w:kern w:val="0"/>
                      <w:szCs w:val="21"/>
                    </w:rPr>
                  </w:pPr>
                  <w:r>
                    <w:rPr>
                      <w:color w:val="000000"/>
                      <w:kern w:val="0"/>
                      <w:sz w:val="20"/>
                      <w:szCs w:val="20"/>
                      <w:lang w:bidi="ar"/>
                    </w:rPr>
                    <w:t>45</w:t>
                  </w:r>
                </w:p>
              </w:tc>
              <w:tc>
                <w:tcPr>
                  <w:tcW w:w="903" w:type="dxa"/>
                  <w:vAlign w:val="center"/>
                </w:tcPr>
                <w:p w14:paraId="676C1EE8">
                  <w:pPr>
                    <w:widowControl/>
                    <w:jc w:val="center"/>
                    <w:textAlignment w:val="center"/>
                    <w:rPr>
                      <w:color w:val="000000"/>
                      <w:szCs w:val="21"/>
                    </w:rPr>
                  </w:pPr>
                  <w:r>
                    <w:rPr>
                      <w:color w:val="000000"/>
                      <w:kern w:val="0"/>
                      <w:sz w:val="20"/>
                      <w:szCs w:val="20"/>
                      <w:lang w:bidi="ar"/>
                    </w:rPr>
                    <w:t>13500</w:t>
                  </w:r>
                </w:p>
              </w:tc>
              <w:tc>
                <w:tcPr>
                  <w:tcW w:w="897" w:type="dxa"/>
                  <w:vAlign w:val="center"/>
                </w:tcPr>
                <w:p w14:paraId="021CCFD3">
                  <w:pPr>
                    <w:widowControl/>
                    <w:jc w:val="center"/>
                    <w:textAlignment w:val="center"/>
                    <w:rPr>
                      <w:color w:val="000000"/>
                      <w:szCs w:val="21"/>
                    </w:rPr>
                  </w:pPr>
                  <w:r>
                    <w:rPr>
                      <w:color w:val="000000"/>
                      <w:kern w:val="0"/>
                      <w:sz w:val="20"/>
                      <w:szCs w:val="20"/>
                      <w:lang w:bidi="ar"/>
                    </w:rPr>
                    <w:t>4.5</w:t>
                  </w:r>
                </w:p>
              </w:tc>
              <w:tc>
                <w:tcPr>
                  <w:tcW w:w="850" w:type="dxa"/>
                  <w:vAlign w:val="center"/>
                </w:tcPr>
                <w:p w14:paraId="1B544FC1">
                  <w:pPr>
                    <w:widowControl/>
                    <w:jc w:val="center"/>
                    <w:textAlignment w:val="center"/>
                    <w:rPr>
                      <w:color w:val="000000"/>
                      <w:szCs w:val="21"/>
                    </w:rPr>
                  </w:pPr>
                  <w:r>
                    <w:rPr>
                      <w:color w:val="000000"/>
                      <w:kern w:val="0"/>
                      <w:sz w:val="20"/>
                      <w:szCs w:val="20"/>
                      <w:lang w:bidi="ar"/>
                    </w:rPr>
                    <w:t>40.5</w:t>
                  </w:r>
                </w:p>
              </w:tc>
              <w:tc>
                <w:tcPr>
                  <w:tcW w:w="850" w:type="dxa"/>
                  <w:vAlign w:val="center"/>
                </w:tcPr>
                <w:p w14:paraId="18D53260">
                  <w:pPr>
                    <w:widowControl/>
                    <w:jc w:val="center"/>
                    <w:textAlignment w:val="center"/>
                    <w:rPr>
                      <w:color w:val="000000"/>
                      <w:szCs w:val="21"/>
                    </w:rPr>
                  </w:pPr>
                  <w:r>
                    <w:rPr>
                      <w:color w:val="000000"/>
                      <w:kern w:val="0"/>
                      <w:sz w:val="20"/>
                      <w:szCs w:val="20"/>
                      <w:lang w:bidi="ar"/>
                    </w:rPr>
                    <w:t>12150</w:t>
                  </w:r>
                </w:p>
              </w:tc>
            </w:tr>
            <w:tr w14:paraId="3F6D71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blHeader/>
                <w:jc w:val="center"/>
              </w:trPr>
              <w:tc>
                <w:tcPr>
                  <w:tcW w:w="317" w:type="pct"/>
                  <w:vAlign w:val="center"/>
                </w:tcPr>
                <w:p w14:paraId="30D3B7C3">
                  <w:pPr>
                    <w:pStyle w:val="19"/>
                    <w:adjustRightInd w:val="0"/>
                    <w:ind w:left="0" w:firstLine="0" w:firstLineChars="0"/>
                    <w:jc w:val="center"/>
                    <w:rPr>
                      <w:color w:val="000000"/>
                      <w:szCs w:val="21"/>
                    </w:rPr>
                  </w:pPr>
                </w:p>
              </w:tc>
              <w:tc>
                <w:tcPr>
                  <w:tcW w:w="738" w:type="pct"/>
                  <w:vAlign w:val="center"/>
                </w:tcPr>
                <w:p w14:paraId="77C39C6D">
                  <w:pPr>
                    <w:pStyle w:val="19"/>
                    <w:adjustRightInd w:val="0"/>
                    <w:ind w:left="0" w:firstLine="0" w:firstLineChars="0"/>
                    <w:jc w:val="center"/>
                    <w:rPr>
                      <w:color w:val="000000"/>
                      <w:szCs w:val="21"/>
                    </w:rPr>
                  </w:pPr>
                  <w:r>
                    <w:rPr>
                      <w:color w:val="000000"/>
                      <w:szCs w:val="21"/>
                    </w:rPr>
                    <w:t>检验用水及排水</w:t>
                  </w:r>
                </w:p>
              </w:tc>
              <w:tc>
                <w:tcPr>
                  <w:tcW w:w="480" w:type="pct"/>
                  <w:vAlign w:val="center"/>
                </w:tcPr>
                <w:p w14:paraId="358471A8">
                  <w:pPr>
                    <w:pStyle w:val="19"/>
                    <w:adjustRightInd w:val="0"/>
                    <w:ind w:left="0" w:firstLine="0" w:firstLineChars="0"/>
                    <w:jc w:val="center"/>
                    <w:rPr>
                      <w:bCs/>
                      <w:color w:val="000000"/>
                      <w:szCs w:val="21"/>
                    </w:rPr>
                  </w:pPr>
                  <w:r>
                    <w:rPr>
                      <w:rFonts w:hint="eastAsia"/>
                      <w:bCs/>
                      <w:color w:val="000000"/>
                      <w:szCs w:val="21"/>
                    </w:rPr>
                    <w:t>/</w:t>
                  </w:r>
                </w:p>
              </w:tc>
              <w:tc>
                <w:tcPr>
                  <w:tcW w:w="577" w:type="pct"/>
                  <w:vAlign w:val="center"/>
                </w:tcPr>
                <w:p w14:paraId="7E591F71">
                  <w:pPr>
                    <w:pStyle w:val="19"/>
                    <w:adjustRightInd w:val="0"/>
                    <w:ind w:left="0" w:firstLine="0" w:firstLineChars="0"/>
                    <w:jc w:val="center"/>
                    <w:rPr>
                      <w:color w:val="000000"/>
                      <w:szCs w:val="21"/>
                    </w:rPr>
                  </w:pPr>
                  <w:r>
                    <w:rPr>
                      <w:rFonts w:hint="eastAsia"/>
                      <w:color w:val="000000"/>
                      <w:szCs w:val="21"/>
                    </w:rPr>
                    <w:t>/</w:t>
                  </w:r>
                </w:p>
              </w:tc>
              <w:tc>
                <w:tcPr>
                  <w:tcW w:w="344" w:type="pct"/>
                  <w:vAlign w:val="center"/>
                </w:tcPr>
                <w:p w14:paraId="67D944C0">
                  <w:pPr>
                    <w:jc w:val="center"/>
                    <w:rPr>
                      <w:color w:val="000000"/>
                      <w:szCs w:val="21"/>
                    </w:rPr>
                  </w:pPr>
                  <w:r>
                    <w:rPr>
                      <w:color w:val="000000"/>
                      <w:szCs w:val="21"/>
                    </w:rPr>
                    <w:t>300</w:t>
                  </w:r>
                  <w:r>
                    <w:rPr>
                      <w:rFonts w:eastAsia="等线"/>
                      <w:color w:val="000000"/>
                      <w:szCs w:val="21"/>
                    </w:rPr>
                    <w:t>d/a</w:t>
                  </w:r>
                </w:p>
              </w:tc>
              <w:tc>
                <w:tcPr>
                  <w:tcW w:w="850" w:type="dxa"/>
                  <w:vAlign w:val="center"/>
                </w:tcPr>
                <w:p w14:paraId="671EE3FC">
                  <w:pPr>
                    <w:widowControl/>
                    <w:jc w:val="center"/>
                    <w:textAlignment w:val="center"/>
                    <w:rPr>
                      <w:color w:val="000000"/>
                      <w:kern w:val="0"/>
                      <w:sz w:val="20"/>
                      <w:szCs w:val="20"/>
                      <w:lang w:bidi="ar"/>
                    </w:rPr>
                  </w:pPr>
                  <w:r>
                    <w:rPr>
                      <w:rFonts w:hint="eastAsia"/>
                      <w:color w:val="000000"/>
                      <w:kern w:val="0"/>
                      <w:sz w:val="20"/>
                      <w:szCs w:val="20"/>
                      <w:lang w:bidi="ar"/>
                    </w:rPr>
                    <w:t>0.0017</w:t>
                  </w:r>
                </w:p>
              </w:tc>
              <w:tc>
                <w:tcPr>
                  <w:tcW w:w="903" w:type="dxa"/>
                  <w:vAlign w:val="center"/>
                </w:tcPr>
                <w:p w14:paraId="052E1A2C">
                  <w:pPr>
                    <w:widowControl/>
                    <w:jc w:val="center"/>
                    <w:textAlignment w:val="center"/>
                    <w:rPr>
                      <w:color w:val="000000"/>
                      <w:kern w:val="0"/>
                      <w:sz w:val="20"/>
                      <w:szCs w:val="20"/>
                      <w:lang w:bidi="ar"/>
                    </w:rPr>
                  </w:pPr>
                  <w:r>
                    <w:rPr>
                      <w:rFonts w:hint="eastAsia"/>
                      <w:color w:val="000000"/>
                      <w:kern w:val="0"/>
                      <w:sz w:val="20"/>
                      <w:szCs w:val="20"/>
                      <w:lang w:bidi="ar"/>
                    </w:rPr>
                    <w:t>0.5</w:t>
                  </w:r>
                </w:p>
              </w:tc>
              <w:tc>
                <w:tcPr>
                  <w:tcW w:w="897" w:type="dxa"/>
                  <w:vAlign w:val="center"/>
                </w:tcPr>
                <w:p w14:paraId="4DC8C020">
                  <w:pPr>
                    <w:widowControl/>
                    <w:jc w:val="center"/>
                    <w:textAlignment w:val="center"/>
                    <w:rPr>
                      <w:color w:val="000000"/>
                      <w:kern w:val="0"/>
                      <w:sz w:val="20"/>
                      <w:szCs w:val="20"/>
                      <w:lang w:bidi="ar"/>
                    </w:rPr>
                  </w:pPr>
                  <w:r>
                    <w:rPr>
                      <w:rFonts w:hint="eastAsia"/>
                      <w:color w:val="000000"/>
                      <w:kern w:val="0"/>
                      <w:sz w:val="20"/>
                      <w:szCs w:val="20"/>
                      <w:lang w:bidi="ar"/>
                    </w:rPr>
                    <w:t>0.0004</w:t>
                  </w:r>
                </w:p>
              </w:tc>
              <w:tc>
                <w:tcPr>
                  <w:tcW w:w="850" w:type="dxa"/>
                  <w:vAlign w:val="center"/>
                </w:tcPr>
                <w:p w14:paraId="06C7C28D">
                  <w:pPr>
                    <w:widowControl/>
                    <w:jc w:val="center"/>
                    <w:textAlignment w:val="center"/>
                    <w:rPr>
                      <w:color w:val="000000"/>
                      <w:kern w:val="0"/>
                      <w:sz w:val="20"/>
                      <w:szCs w:val="20"/>
                      <w:lang w:bidi="ar"/>
                    </w:rPr>
                  </w:pPr>
                  <w:r>
                    <w:rPr>
                      <w:rFonts w:hint="eastAsia"/>
                      <w:color w:val="000000"/>
                      <w:kern w:val="0"/>
                      <w:sz w:val="20"/>
                      <w:szCs w:val="20"/>
                      <w:lang w:bidi="ar"/>
                    </w:rPr>
                    <w:t>0.0013</w:t>
                  </w:r>
                </w:p>
              </w:tc>
              <w:tc>
                <w:tcPr>
                  <w:tcW w:w="850" w:type="dxa"/>
                  <w:vAlign w:val="center"/>
                </w:tcPr>
                <w:p w14:paraId="7437E243">
                  <w:pPr>
                    <w:widowControl/>
                    <w:jc w:val="center"/>
                    <w:textAlignment w:val="center"/>
                    <w:rPr>
                      <w:color w:val="000000"/>
                      <w:kern w:val="0"/>
                      <w:sz w:val="20"/>
                      <w:szCs w:val="20"/>
                      <w:lang w:bidi="ar"/>
                    </w:rPr>
                  </w:pPr>
                  <w:r>
                    <w:rPr>
                      <w:rFonts w:hint="eastAsia"/>
                      <w:color w:val="000000"/>
                      <w:kern w:val="0"/>
                      <w:sz w:val="20"/>
                      <w:szCs w:val="20"/>
                      <w:lang w:bidi="ar"/>
                    </w:rPr>
                    <w:t>0.4</w:t>
                  </w:r>
                </w:p>
              </w:tc>
            </w:tr>
            <w:tr w14:paraId="51EF71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blHeader/>
                <w:jc w:val="center"/>
              </w:trPr>
              <w:tc>
                <w:tcPr>
                  <w:tcW w:w="1055" w:type="pct"/>
                  <w:gridSpan w:val="2"/>
                  <w:vAlign w:val="center"/>
                </w:tcPr>
                <w:p w14:paraId="17CAD975">
                  <w:pPr>
                    <w:pStyle w:val="19"/>
                    <w:adjustRightInd w:val="0"/>
                    <w:ind w:left="0" w:firstLine="0" w:firstLineChars="0"/>
                    <w:jc w:val="center"/>
                    <w:rPr>
                      <w:rFonts w:eastAsia="等线"/>
                      <w:color w:val="000000"/>
                      <w:szCs w:val="21"/>
                    </w:rPr>
                  </w:pPr>
                  <w:r>
                    <w:rPr>
                      <w:color w:val="000000"/>
                      <w:szCs w:val="21"/>
                    </w:rPr>
                    <w:t>合计</w:t>
                  </w:r>
                </w:p>
              </w:tc>
              <w:tc>
                <w:tcPr>
                  <w:tcW w:w="480" w:type="pct"/>
                  <w:vAlign w:val="center"/>
                </w:tcPr>
                <w:p w14:paraId="5097C579">
                  <w:pPr>
                    <w:adjustRightInd w:val="0"/>
                    <w:contextualSpacing/>
                    <w:jc w:val="center"/>
                    <w:rPr>
                      <w:rFonts w:eastAsia="等线"/>
                      <w:color w:val="000000"/>
                      <w:szCs w:val="21"/>
                    </w:rPr>
                  </w:pPr>
                  <w:r>
                    <w:rPr>
                      <w:rFonts w:eastAsia="等线"/>
                      <w:color w:val="000000"/>
                      <w:szCs w:val="21"/>
                    </w:rPr>
                    <w:t>/</w:t>
                  </w:r>
                </w:p>
              </w:tc>
              <w:tc>
                <w:tcPr>
                  <w:tcW w:w="577" w:type="pct"/>
                  <w:vAlign w:val="center"/>
                </w:tcPr>
                <w:p w14:paraId="0294CD87">
                  <w:pPr>
                    <w:adjustRightInd w:val="0"/>
                    <w:contextualSpacing/>
                    <w:jc w:val="center"/>
                    <w:rPr>
                      <w:rFonts w:eastAsia="等线"/>
                      <w:color w:val="000000"/>
                      <w:szCs w:val="21"/>
                    </w:rPr>
                  </w:pPr>
                  <w:r>
                    <w:rPr>
                      <w:rFonts w:eastAsia="等线"/>
                      <w:color w:val="000000"/>
                      <w:szCs w:val="21"/>
                    </w:rPr>
                    <w:t>/</w:t>
                  </w:r>
                </w:p>
              </w:tc>
              <w:tc>
                <w:tcPr>
                  <w:tcW w:w="344" w:type="pct"/>
                  <w:vAlign w:val="center"/>
                </w:tcPr>
                <w:p w14:paraId="19F1784A">
                  <w:pPr>
                    <w:adjustRightInd w:val="0"/>
                    <w:contextualSpacing/>
                    <w:jc w:val="center"/>
                    <w:rPr>
                      <w:rFonts w:eastAsia="等线"/>
                      <w:color w:val="000000"/>
                      <w:szCs w:val="21"/>
                    </w:rPr>
                  </w:pPr>
                  <w:r>
                    <w:rPr>
                      <w:rFonts w:eastAsia="等线"/>
                      <w:color w:val="000000"/>
                      <w:szCs w:val="21"/>
                    </w:rPr>
                    <w:t>/</w:t>
                  </w:r>
                </w:p>
              </w:tc>
              <w:tc>
                <w:tcPr>
                  <w:tcW w:w="850" w:type="dxa"/>
                  <w:vAlign w:val="center"/>
                </w:tcPr>
                <w:p w14:paraId="21B58E13">
                  <w:pPr>
                    <w:widowControl/>
                    <w:jc w:val="center"/>
                    <w:textAlignment w:val="center"/>
                    <w:rPr>
                      <w:color w:val="000000"/>
                      <w:kern w:val="0"/>
                      <w:szCs w:val="21"/>
                    </w:rPr>
                  </w:pPr>
                  <w:r>
                    <w:rPr>
                      <w:color w:val="000000"/>
                      <w:kern w:val="0"/>
                      <w:sz w:val="20"/>
                      <w:szCs w:val="20"/>
                      <w:lang w:bidi="ar"/>
                    </w:rPr>
                    <w:t xml:space="preserve">333.022 </w:t>
                  </w:r>
                </w:p>
              </w:tc>
              <w:tc>
                <w:tcPr>
                  <w:tcW w:w="903" w:type="dxa"/>
                  <w:vAlign w:val="center"/>
                </w:tcPr>
                <w:p w14:paraId="137B0AD1">
                  <w:pPr>
                    <w:widowControl/>
                    <w:jc w:val="center"/>
                    <w:textAlignment w:val="center"/>
                    <w:rPr>
                      <w:color w:val="000000"/>
                      <w:szCs w:val="21"/>
                    </w:rPr>
                  </w:pPr>
                  <w:r>
                    <w:rPr>
                      <w:color w:val="000000"/>
                      <w:kern w:val="0"/>
                      <w:sz w:val="20"/>
                      <w:szCs w:val="20"/>
                      <w:lang w:bidi="ar"/>
                    </w:rPr>
                    <w:t>99868.5</w:t>
                  </w:r>
                </w:p>
              </w:tc>
              <w:tc>
                <w:tcPr>
                  <w:tcW w:w="897" w:type="dxa"/>
                  <w:vAlign w:val="center"/>
                </w:tcPr>
                <w:p w14:paraId="3839EA38">
                  <w:pPr>
                    <w:widowControl/>
                    <w:jc w:val="center"/>
                    <w:textAlignment w:val="center"/>
                    <w:rPr>
                      <w:color w:val="000000"/>
                      <w:szCs w:val="21"/>
                    </w:rPr>
                  </w:pPr>
                  <w:r>
                    <w:rPr>
                      <w:color w:val="000000"/>
                      <w:kern w:val="0"/>
                      <w:sz w:val="20"/>
                      <w:szCs w:val="20"/>
                      <w:lang w:bidi="ar"/>
                    </w:rPr>
                    <w:t xml:space="preserve">45.383 </w:t>
                  </w:r>
                </w:p>
              </w:tc>
              <w:tc>
                <w:tcPr>
                  <w:tcW w:w="850" w:type="dxa"/>
                  <w:vAlign w:val="center"/>
                </w:tcPr>
                <w:p w14:paraId="28EC6FDA">
                  <w:pPr>
                    <w:widowControl/>
                    <w:jc w:val="center"/>
                    <w:textAlignment w:val="center"/>
                    <w:rPr>
                      <w:color w:val="000000"/>
                      <w:szCs w:val="21"/>
                    </w:rPr>
                  </w:pPr>
                  <w:r>
                    <w:rPr>
                      <w:color w:val="000000"/>
                      <w:kern w:val="0"/>
                      <w:sz w:val="20"/>
                      <w:szCs w:val="20"/>
                      <w:lang w:bidi="ar"/>
                    </w:rPr>
                    <w:t xml:space="preserve">265.958 </w:t>
                  </w:r>
                </w:p>
              </w:tc>
              <w:tc>
                <w:tcPr>
                  <w:tcW w:w="850" w:type="dxa"/>
                  <w:vAlign w:val="center"/>
                </w:tcPr>
                <w:p w14:paraId="661E010C">
                  <w:pPr>
                    <w:widowControl/>
                    <w:jc w:val="center"/>
                    <w:textAlignment w:val="center"/>
                    <w:rPr>
                      <w:color w:val="000000"/>
                      <w:szCs w:val="21"/>
                    </w:rPr>
                  </w:pPr>
                  <w:r>
                    <w:rPr>
                      <w:color w:val="000000"/>
                      <w:kern w:val="0"/>
                      <w:sz w:val="20"/>
                      <w:szCs w:val="20"/>
                      <w:lang w:bidi="ar"/>
                    </w:rPr>
                    <w:t>79788.5</w:t>
                  </w:r>
                </w:p>
              </w:tc>
            </w:tr>
            <w:bookmarkEnd w:id="25"/>
            <w:bookmarkEnd w:id="26"/>
          </w:tbl>
          <w:p w14:paraId="07A1BC84">
            <w:pPr>
              <w:snapToGrid w:val="0"/>
              <w:spacing w:line="360" w:lineRule="auto"/>
              <w:jc w:val="center"/>
              <w:rPr>
                <w:b/>
                <w:sz w:val="24"/>
              </w:rPr>
            </w:pPr>
          </w:p>
          <w:p w14:paraId="43CFF3F7">
            <w:pPr>
              <w:snapToGrid w:val="0"/>
              <w:spacing w:line="360" w:lineRule="auto"/>
              <w:jc w:val="center"/>
              <w:rPr>
                <w:b/>
                <w:sz w:val="24"/>
              </w:rPr>
            </w:pPr>
          </w:p>
          <w:p w14:paraId="064DF17B">
            <w:pPr>
              <w:snapToGrid w:val="0"/>
              <w:spacing w:line="360" w:lineRule="auto"/>
              <w:jc w:val="center"/>
              <w:rPr>
                <w:b/>
                <w:sz w:val="24"/>
              </w:rPr>
            </w:pPr>
          </w:p>
          <w:p w14:paraId="758B81EA">
            <w:pPr>
              <w:snapToGrid w:val="0"/>
              <w:spacing w:line="360" w:lineRule="auto"/>
              <w:jc w:val="center"/>
              <w:rPr>
                <w:b/>
                <w:sz w:val="24"/>
              </w:rPr>
            </w:pPr>
          </w:p>
          <w:p w14:paraId="2FEB339A">
            <w:pPr>
              <w:snapToGrid w:val="0"/>
              <w:spacing w:line="360" w:lineRule="auto"/>
              <w:jc w:val="center"/>
              <w:rPr>
                <w:b/>
                <w:sz w:val="24"/>
              </w:rPr>
            </w:pPr>
          </w:p>
          <w:p w14:paraId="0360FDC7">
            <w:pPr>
              <w:snapToGrid w:val="0"/>
              <w:spacing w:line="360" w:lineRule="auto"/>
              <w:jc w:val="center"/>
              <w:rPr>
                <w:b/>
                <w:sz w:val="24"/>
              </w:rPr>
            </w:pPr>
          </w:p>
          <w:p w14:paraId="48230C8E">
            <w:pPr>
              <w:snapToGrid w:val="0"/>
              <w:spacing w:line="360" w:lineRule="auto"/>
              <w:jc w:val="center"/>
              <w:rPr>
                <w:b/>
                <w:sz w:val="24"/>
              </w:rPr>
            </w:pPr>
          </w:p>
          <w:p w14:paraId="7DE7265A">
            <w:pPr>
              <w:snapToGrid w:val="0"/>
              <w:spacing w:line="360" w:lineRule="auto"/>
              <w:jc w:val="center"/>
              <w:rPr>
                <w:b/>
                <w:sz w:val="24"/>
              </w:rPr>
            </w:pPr>
          </w:p>
          <w:p w14:paraId="48CF2E05">
            <w:pPr>
              <w:snapToGrid w:val="0"/>
              <w:spacing w:line="360" w:lineRule="auto"/>
              <w:jc w:val="center"/>
              <w:rPr>
                <w:b/>
                <w:sz w:val="24"/>
              </w:rPr>
            </w:pPr>
          </w:p>
          <w:p w14:paraId="6313D887">
            <w:pPr>
              <w:snapToGrid w:val="0"/>
              <w:spacing w:line="360" w:lineRule="auto"/>
              <w:jc w:val="center"/>
              <w:rPr>
                <w:b/>
                <w:sz w:val="24"/>
              </w:rPr>
            </w:pPr>
          </w:p>
          <w:p w14:paraId="3ED9BB2D">
            <w:pPr>
              <w:snapToGrid w:val="0"/>
              <w:spacing w:line="360" w:lineRule="auto"/>
              <w:jc w:val="center"/>
              <w:rPr>
                <w:b/>
                <w:sz w:val="24"/>
                <w:szCs w:val="24"/>
              </w:rPr>
            </w:pPr>
            <w:r>
              <w:rPr>
                <w:b/>
                <w:sz w:val="24"/>
                <w:szCs w:val="24"/>
              </w:rPr>
              <w:object>
                <v:shape id="_x0000_i1025" o:spt="75" type="#_x0000_t75" style="height:426.4pt;width:433.85pt;" o:ole="t" filled="f" o:preferrelative="t" stroked="f" coordsize="21600,21600">
                  <v:path/>
                  <v:fill on="f" focussize="0,0"/>
                  <v:stroke on="f" joinstyle="miter"/>
                  <v:imagedata r:id="rId8" o:title=""/>
                  <o:lock v:ext="edit" aspectratio="f"/>
                  <w10:wrap type="none"/>
                  <w10:anchorlock/>
                </v:shape>
                <o:OLEObject Type="Embed" ProgID="Visio.Drawing.15" ShapeID="_x0000_i1025" DrawAspect="Content" ObjectID="_1468075725" r:id="rId7">
                  <o:LockedField>false</o:LockedField>
                </o:OLEObject>
              </w:object>
            </w:r>
            <w:r>
              <w:rPr>
                <w:b/>
                <w:sz w:val="24"/>
                <w:szCs w:val="24"/>
              </w:rPr>
              <w:t>图2-1  水平衡分析图（m</w:t>
            </w:r>
            <w:r>
              <w:rPr>
                <w:b/>
                <w:sz w:val="24"/>
                <w:szCs w:val="24"/>
                <w:vertAlign w:val="superscript"/>
              </w:rPr>
              <w:t>3</w:t>
            </w:r>
            <w:r>
              <w:rPr>
                <w:b/>
                <w:sz w:val="24"/>
                <w:szCs w:val="24"/>
              </w:rPr>
              <w:t>/d）</w:t>
            </w:r>
          </w:p>
          <w:bookmarkEnd w:id="17"/>
          <w:p w14:paraId="3962BDD1">
            <w:pPr>
              <w:adjustRightInd w:val="0"/>
              <w:snapToGrid w:val="0"/>
              <w:spacing w:line="360" w:lineRule="auto"/>
              <w:rPr>
                <w:b/>
                <w:bCs/>
                <w:sz w:val="24"/>
                <w:szCs w:val="24"/>
              </w:rPr>
            </w:pPr>
            <w:r>
              <w:rPr>
                <w:b/>
                <w:bCs/>
                <w:sz w:val="24"/>
                <w:szCs w:val="24"/>
              </w:rPr>
              <w:t>6 劳动定员及工作制度</w:t>
            </w:r>
          </w:p>
          <w:p w14:paraId="26315EC8">
            <w:pPr>
              <w:tabs>
                <w:tab w:val="left" w:pos="2160"/>
              </w:tabs>
              <w:spacing w:line="360" w:lineRule="auto"/>
              <w:ind w:firstLine="480" w:firstLineChars="200"/>
              <w:rPr>
                <w:sz w:val="24"/>
              </w:rPr>
            </w:pPr>
            <w:r>
              <w:rPr>
                <w:sz w:val="24"/>
                <w:szCs w:val="24"/>
              </w:rPr>
              <w:t>本项目劳动定员</w:t>
            </w:r>
            <w:r>
              <w:rPr>
                <w:rFonts w:hint="eastAsia"/>
                <w:sz w:val="24"/>
                <w:szCs w:val="24"/>
              </w:rPr>
              <w:t>8</w:t>
            </w:r>
            <w:r>
              <w:rPr>
                <w:sz w:val="24"/>
                <w:szCs w:val="24"/>
              </w:rPr>
              <w:t>0人，年工作时间300天，每天工作</w:t>
            </w:r>
            <w:r>
              <w:rPr>
                <w:sz w:val="24"/>
              </w:rPr>
              <w:t>8小时，一班制。</w:t>
            </w:r>
          </w:p>
          <w:p w14:paraId="1D3AFA42">
            <w:pPr>
              <w:adjustRightInd w:val="0"/>
              <w:snapToGrid w:val="0"/>
              <w:spacing w:line="360" w:lineRule="auto"/>
              <w:rPr>
                <w:b/>
                <w:bCs/>
                <w:sz w:val="24"/>
                <w:szCs w:val="24"/>
              </w:rPr>
            </w:pPr>
            <w:r>
              <w:rPr>
                <w:b/>
                <w:bCs/>
                <w:sz w:val="24"/>
                <w:szCs w:val="24"/>
              </w:rPr>
              <w:t>7 厂区平面布置</w:t>
            </w:r>
          </w:p>
          <w:p w14:paraId="13956AC5">
            <w:pPr>
              <w:spacing w:line="360" w:lineRule="auto"/>
              <w:ind w:firstLine="456" w:firstLineChars="200"/>
              <w:rPr>
                <w:bCs/>
                <w:spacing w:val="-6"/>
                <w:sz w:val="24"/>
                <w:szCs w:val="24"/>
              </w:rPr>
            </w:pPr>
            <w:r>
              <w:rPr>
                <w:spacing w:val="-6"/>
                <w:sz w:val="24"/>
                <w:szCs w:val="24"/>
              </w:rPr>
              <w:t>本项目位于湖南省益阳市安化县东坪镇茶家村茶语路南茶西路北B-02栋标准化厂房，利用生产厂房1层约</w:t>
            </w:r>
            <w:r>
              <w:rPr>
                <w:rFonts w:hint="eastAsia"/>
                <w:spacing w:val="-6"/>
                <w:sz w:val="24"/>
                <w:szCs w:val="24"/>
              </w:rPr>
              <w:t>10</w:t>
            </w:r>
            <w:r>
              <w:rPr>
                <w:spacing w:val="-6"/>
                <w:sz w:val="24"/>
                <w:szCs w:val="24"/>
              </w:rPr>
              <w:t>0m</w:t>
            </w:r>
            <w:r>
              <w:rPr>
                <w:spacing w:val="-6"/>
                <w:sz w:val="24"/>
                <w:szCs w:val="24"/>
                <w:vertAlign w:val="superscript"/>
              </w:rPr>
              <w:t>2</w:t>
            </w:r>
            <w:r>
              <w:rPr>
                <w:spacing w:val="-6"/>
                <w:sz w:val="24"/>
                <w:szCs w:val="24"/>
              </w:rPr>
              <w:t>的空置车间安装一台 6t/h 的生物质气化锅炉，并配套一套锅炉软水制备设备。本项目功能分区明确，生产区集中设置又互不干扰；生产车间内设备均按照生产工序进行布置，生产工序线路明确分工，使得生产井然有序。项目厂房总体布置及设备配置遵循安全紧凑、简捷顺畅的技术原则</w:t>
            </w:r>
            <w:r>
              <w:rPr>
                <w:bCs/>
                <w:spacing w:val="-6"/>
                <w:sz w:val="24"/>
                <w:szCs w:val="24"/>
              </w:rPr>
              <w:t>，平面布置基本合理，具体平面布局详见厂区平面布置图。</w:t>
            </w:r>
          </w:p>
        </w:tc>
      </w:tr>
      <w:tr w14:paraId="7292AA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23" w:hRule="atLeast"/>
          <w:jc w:val="center"/>
        </w:trPr>
        <w:tc>
          <w:tcPr>
            <w:tcW w:w="288" w:type="pct"/>
            <w:vAlign w:val="center"/>
          </w:tcPr>
          <w:p w14:paraId="3FE5D862">
            <w:pPr>
              <w:pStyle w:val="21"/>
              <w:adjustRightInd w:val="0"/>
              <w:snapToGrid w:val="0"/>
              <w:spacing w:before="0" w:beforeAutospacing="0" w:after="0" w:afterAutospacing="0" w:line="360" w:lineRule="auto"/>
              <w:jc w:val="center"/>
              <w:rPr>
                <w:rFonts w:ascii="Times New Roman" w:hAnsi="Times New Roman"/>
                <w:szCs w:val="24"/>
              </w:rPr>
            </w:pPr>
            <w:r>
              <w:rPr>
                <w:rFonts w:ascii="Times New Roman" w:hAnsi="Times New Roman"/>
                <w:szCs w:val="24"/>
              </w:rPr>
              <w:t>工艺流程和产排污环节</w:t>
            </w:r>
          </w:p>
        </w:tc>
        <w:tc>
          <w:tcPr>
            <w:tcW w:w="4711" w:type="pct"/>
            <w:vAlign w:val="center"/>
          </w:tcPr>
          <w:p w14:paraId="53C1188A">
            <w:pPr>
              <w:spacing w:line="360" w:lineRule="auto"/>
              <w:jc w:val="center"/>
              <w:rPr>
                <w:spacing w:val="-6"/>
                <w:sz w:val="24"/>
                <w:szCs w:val="24"/>
              </w:rPr>
            </w:pPr>
            <w:r>
              <mc:AlternateContent>
                <mc:Choice Requires="wpc">
                  <w:drawing>
                    <wp:inline distT="0" distB="0" distL="114300" distR="114300">
                      <wp:extent cx="5247640" cy="2780030"/>
                      <wp:effectExtent l="0" t="0" r="28575" b="20955"/>
                      <wp:docPr id="20" name="画布 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矩形 17"/>
                              <wps:cNvSpPr/>
                              <wps:spPr>
                                <a:xfrm>
                                  <a:off x="1220193" y="-194"/>
                                  <a:ext cx="1181241" cy="361975"/>
                                </a:xfrm>
                                <a:prstGeom prst="rect">
                                  <a:avLst/>
                                </a:prstGeom>
                                <a:noFill/>
                                <a:ln w="19050">
                                  <a:noFill/>
                                </a:ln>
                              </wps:spPr>
                              <wps:txbx>
                                <w:txbxContent>
                                  <w:p w14:paraId="6374A955">
                                    <w:pPr>
                                      <w:jc w:val="center"/>
                                      <w:rPr>
                                        <w:kern w:val="0"/>
                                        <w:sz w:val="24"/>
                                        <w:szCs w:val="24"/>
                                      </w:rPr>
                                    </w:pPr>
                                    <w:r>
                                      <w:rPr>
                                        <w:rFonts w:hint="eastAsia"/>
                                        <w:color w:val="000000"/>
                                        <w:szCs w:val="21"/>
                                      </w:rPr>
                                      <w:t>生物质</w:t>
                                    </w:r>
                                  </w:p>
                                </w:txbxContent>
                              </wps:txbx>
                              <wps:bodyPr vert="horz" wrap="square" anchor="ctr" anchorCtr="0" upright="1"/>
                            </wps:wsp>
                            <wps:wsp>
                              <wps:cNvPr id="2" name="矩形 18"/>
                              <wps:cNvSpPr/>
                              <wps:spPr>
                                <a:xfrm>
                                  <a:off x="1220194" y="700829"/>
                                  <a:ext cx="1181241" cy="361975"/>
                                </a:xfrm>
                                <a:prstGeom prst="rect">
                                  <a:avLst/>
                                </a:prstGeom>
                                <a:noFill/>
                                <a:ln w="19050" cap="flat" cmpd="sng">
                                  <a:solidFill>
                                    <a:srgbClr val="000000"/>
                                  </a:solidFill>
                                  <a:prstDash val="solid"/>
                                  <a:miter/>
                                  <a:headEnd type="none" w="med" len="med"/>
                                  <a:tailEnd type="none" w="med" len="med"/>
                                </a:ln>
                              </wps:spPr>
                              <wps:txbx>
                                <w:txbxContent>
                                  <w:p w14:paraId="5FC1C499">
                                    <w:pPr>
                                      <w:jc w:val="center"/>
                                      <w:rPr>
                                        <w:kern w:val="0"/>
                                        <w:sz w:val="24"/>
                                        <w:szCs w:val="24"/>
                                      </w:rPr>
                                    </w:pPr>
                                    <w:r>
                                      <w:rPr>
                                        <w:rFonts w:hint="eastAsia"/>
                                        <w:color w:val="000000"/>
                                        <w:szCs w:val="21"/>
                                      </w:rPr>
                                      <w:t>生物质气化</w:t>
                                    </w:r>
                                  </w:p>
                                </w:txbxContent>
                              </wps:txbx>
                              <wps:bodyPr vert="horz" wrap="square" anchor="ctr" anchorCtr="0" upright="1"/>
                            </wps:wsp>
                            <wps:wsp>
                              <wps:cNvPr id="3" name="矩形 19"/>
                              <wps:cNvSpPr/>
                              <wps:spPr>
                                <a:xfrm>
                                  <a:off x="1220194" y="1611391"/>
                                  <a:ext cx="1181242" cy="361975"/>
                                </a:xfrm>
                                <a:prstGeom prst="rect">
                                  <a:avLst/>
                                </a:prstGeom>
                                <a:noFill/>
                                <a:ln w="19050" cap="flat" cmpd="sng">
                                  <a:solidFill>
                                    <a:srgbClr val="000000"/>
                                  </a:solidFill>
                                  <a:prstDash val="solid"/>
                                  <a:miter/>
                                  <a:headEnd type="none" w="med" len="med"/>
                                  <a:tailEnd type="none" w="med" len="med"/>
                                </a:ln>
                              </wps:spPr>
                              <wps:txbx>
                                <w:txbxContent>
                                  <w:p w14:paraId="35598072">
                                    <w:pPr>
                                      <w:jc w:val="center"/>
                                      <w:rPr>
                                        <w:color w:val="000000"/>
                                        <w:kern w:val="0"/>
                                        <w:sz w:val="24"/>
                                        <w:szCs w:val="24"/>
                                      </w:rPr>
                                    </w:pPr>
                                    <w:r>
                                      <w:rPr>
                                        <w:rFonts w:hint="eastAsia"/>
                                        <w:color w:val="000000"/>
                                        <w:szCs w:val="21"/>
                                      </w:rPr>
                                      <w:t>锅炉</w:t>
                                    </w:r>
                                  </w:p>
                                </w:txbxContent>
                              </wps:txbx>
                              <wps:bodyPr vert="horz" wrap="square" anchor="ctr" anchorCtr="0" upright="1"/>
                            </wps:wsp>
                            <wps:wsp>
                              <wps:cNvPr id="4" name="矩形 22"/>
                              <wps:cNvSpPr/>
                              <wps:spPr>
                                <a:xfrm>
                                  <a:off x="2716775" y="700829"/>
                                  <a:ext cx="904984" cy="361975"/>
                                </a:xfrm>
                                <a:prstGeom prst="rect">
                                  <a:avLst/>
                                </a:prstGeom>
                                <a:noFill/>
                                <a:ln w="19050" cap="flat" cmpd="sng">
                                  <a:solidFill>
                                    <a:srgbClr val="000000"/>
                                  </a:solidFill>
                                  <a:prstDash val="solid"/>
                                  <a:miter/>
                                  <a:headEnd type="none" w="med" len="med"/>
                                  <a:tailEnd type="none" w="med" len="med"/>
                                </a:ln>
                              </wps:spPr>
                              <wps:txbx>
                                <w:txbxContent>
                                  <w:p w14:paraId="0F667258">
                                    <w:pPr>
                                      <w:jc w:val="center"/>
                                      <w:rPr>
                                        <w:kern w:val="0"/>
                                        <w:sz w:val="24"/>
                                        <w:szCs w:val="24"/>
                                      </w:rPr>
                                    </w:pPr>
                                    <w:r>
                                      <w:rPr>
                                        <w:rFonts w:hint="eastAsia"/>
                                        <w:color w:val="000000"/>
                                        <w:szCs w:val="21"/>
                                      </w:rPr>
                                      <w:t>软水制备</w:t>
                                    </w:r>
                                  </w:p>
                                </w:txbxContent>
                              </wps:txbx>
                              <wps:bodyPr vert="horz" wrap="square" anchor="ctr" anchorCtr="0" upright="1"/>
                            </wps:wsp>
                            <wps:wsp>
                              <wps:cNvPr id="5" name="矩形 23"/>
                              <wps:cNvSpPr/>
                              <wps:spPr>
                                <a:xfrm>
                                  <a:off x="2716775" y="166418"/>
                                  <a:ext cx="904984" cy="361975"/>
                                </a:xfrm>
                                <a:prstGeom prst="rect">
                                  <a:avLst/>
                                </a:prstGeom>
                                <a:noFill/>
                                <a:ln w="19050">
                                  <a:noFill/>
                                </a:ln>
                              </wps:spPr>
                              <wps:txbx>
                                <w:txbxContent>
                                  <w:p w14:paraId="0DD770B7">
                                    <w:pPr>
                                      <w:jc w:val="center"/>
                                      <w:rPr>
                                        <w:kern w:val="0"/>
                                        <w:sz w:val="24"/>
                                        <w:szCs w:val="24"/>
                                      </w:rPr>
                                    </w:pPr>
                                    <w:r>
                                      <w:rPr>
                                        <w:rFonts w:hint="eastAsia"/>
                                        <w:color w:val="000000"/>
                                        <w:szCs w:val="21"/>
                                      </w:rPr>
                                      <w:t>水</w:t>
                                    </w:r>
                                  </w:p>
                                </w:txbxContent>
                              </wps:txbx>
                              <wps:bodyPr vert="horz" wrap="square" anchor="ctr" anchorCtr="0" upright="1"/>
                            </wps:wsp>
                            <wps:wsp>
                              <wps:cNvPr id="6" name="直接箭头连接符 24"/>
                              <wps:cNvCnPr/>
                              <wps:spPr>
                                <a:xfrm>
                                  <a:off x="3169267" y="528393"/>
                                  <a:ext cx="0" cy="172437"/>
                                </a:xfrm>
                                <a:prstGeom prst="straightConnector1">
                                  <a:avLst/>
                                </a:prstGeom>
                                <a:ln w="6350" cap="flat" cmpd="sng">
                                  <a:solidFill>
                                    <a:srgbClr val="000000"/>
                                  </a:solidFill>
                                  <a:prstDash val="solid"/>
                                  <a:miter/>
                                  <a:headEnd type="none" w="med" len="med"/>
                                  <a:tailEnd type="triangle" w="med" len="med"/>
                                </a:ln>
                              </wps:spPr>
                              <wps:bodyPr/>
                            </wps:wsp>
                            <wps:wsp>
                              <wps:cNvPr id="7" name="连接符: 肘形 25"/>
                              <wps:cNvCnPr/>
                              <wps:spPr>
                                <a:xfrm rot="5400000">
                                  <a:off x="2420546" y="1043696"/>
                                  <a:ext cx="729612" cy="767791"/>
                                </a:xfrm>
                                <a:prstGeom prst="bentConnector2">
                                  <a:avLst/>
                                </a:prstGeom>
                                <a:ln w="6350" cap="flat" cmpd="sng">
                                  <a:solidFill>
                                    <a:srgbClr val="000000"/>
                                  </a:solidFill>
                                  <a:prstDash val="solid"/>
                                  <a:miter/>
                                  <a:headEnd type="none" w="med" len="med"/>
                                  <a:tailEnd type="triangle" w="med" len="med"/>
                                </a:ln>
                              </wps:spPr>
                              <wps:bodyPr/>
                            </wps:wsp>
                            <wps:wsp>
                              <wps:cNvPr id="8" name="直接箭头连接符 29"/>
                              <wps:cNvCnPr/>
                              <wps:spPr>
                                <a:xfrm flipH="1">
                                  <a:off x="1810815" y="363906"/>
                                  <a:ext cx="14" cy="336882"/>
                                </a:xfrm>
                                <a:prstGeom prst="straightConnector1">
                                  <a:avLst/>
                                </a:prstGeom>
                                <a:ln w="6350" cap="flat" cmpd="sng">
                                  <a:solidFill>
                                    <a:srgbClr val="000000"/>
                                  </a:solidFill>
                                  <a:prstDash val="solid"/>
                                  <a:miter/>
                                  <a:headEnd type="none" w="med" len="med"/>
                                  <a:tailEnd type="triangle" w="med" len="med"/>
                                </a:ln>
                              </wps:spPr>
                              <wps:bodyPr/>
                            </wps:wsp>
                            <wps:wsp>
                              <wps:cNvPr id="9" name="直接箭头连接符 30"/>
                              <wps:cNvCnPr/>
                              <wps:spPr>
                                <a:xfrm flipH="1">
                                  <a:off x="1810815" y="1062804"/>
                                  <a:ext cx="1" cy="548587"/>
                                </a:xfrm>
                                <a:prstGeom prst="straightConnector1">
                                  <a:avLst/>
                                </a:prstGeom>
                                <a:ln w="6350" cap="flat" cmpd="sng">
                                  <a:solidFill>
                                    <a:srgbClr val="000000"/>
                                  </a:solidFill>
                                  <a:prstDash val="solid"/>
                                  <a:miter/>
                                  <a:headEnd type="none" w="med" len="med"/>
                                  <a:tailEnd type="triangle" w="med" len="med"/>
                                </a:ln>
                              </wps:spPr>
                              <wps:bodyPr/>
                            </wps:wsp>
                            <wps:wsp>
                              <wps:cNvPr id="10" name="矩形 224"/>
                              <wps:cNvSpPr/>
                              <wps:spPr>
                                <a:xfrm>
                                  <a:off x="1221105" y="2494280"/>
                                  <a:ext cx="1181099" cy="284480"/>
                                </a:xfrm>
                                <a:prstGeom prst="rect">
                                  <a:avLst/>
                                </a:prstGeom>
                                <a:noFill/>
                                <a:ln w="19050" cap="flat" cmpd="sng">
                                  <a:solidFill>
                                    <a:srgbClr val="000000"/>
                                  </a:solidFill>
                                  <a:prstDash val="solid"/>
                                  <a:miter/>
                                  <a:headEnd type="none" w="med" len="med"/>
                                  <a:tailEnd type="none" w="med" len="med"/>
                                </a:ln>
                              </wps:spPr>
                              <wps:txbx>
                                <w:txbxContent>
                                  <w:p w14:paraId="7DCF878A">
                                    <w:pPr>
                                      <w:jc w:val="center"/>
                                      <w:rPr>
                                        <w:kern w:val="0"/>
                                        <w:sz w:val="24"/>
                                        <w:szCs w:val="24"/>
                                      </w:rPr>
                                    </w:pPr>
                                    <w:r>
                                      <w:rPr>
                                        <w:rFonts w:hint="eastAsia"/>
                                        <w:color w:val="000000"/>
                                        <w:szCs w:val="21"/>
                                      </w:rPr>
                                      <w:t>用热工序</w:t>
                                    </w:r>
                                  </w:p>
                                </w:txbxContent>
                              </wps:txbx>
                              <wps:bodyPr vert="horz" wrap="square" anchor="ctr" anchorCtr="0" upright="1"/>
                            </wps:wsp>
                            <wps:wsp>
                              <wps:cNvPr id="11" name="矩形 227"/>
                              <wps:cNvSpPr/>
                              <wps:spPr>
                                <a:xfrm>
                                  <a:off x="1862873" y="2147328"/>
                                  <a:ext cx="904984" cy="361975"/>
                                </a:xfrm>
                                <a:prstGeom prst="rect">
                                  <a:avLst/>
                                </a:prstGeom>
                                <a:noFill/>
                                <a:ln w="19050">
                                  <a:noFill/>
                                </a:ln>
                              </wps:spPr>
                              <wps:txbx>
                                <w:txbxContent>
                                  <w:p w14:paraId="38D62B8C">
                                    <w:pPr>
                                      <w:jc w:val="center"/>
                                      <w:rPr>
                                        <w:kern w:val="0"/>
                                        <w:sz w:val="24"/>
                                        <w:szCs w:val="24"/>
                                      </w:rPr>
                                    </w:pPr>
                                    <w:r>
                                      <w:rPr>
                                        <w:color w:val="000000"/>
                                        <w:szCs w:val="21"/>
                                      </w:rPr>
                                      <w:t>蒸汽</w:t>
                                    </w:r>
                                  </w:p>
                                </w:txbxContent>
                              </wps:txbx>
                              <wps:bodyPr vert="horz" wrap="square" anchor="ctr" anchorCtr="0" upright="1"/>
                            </wps:wsp>
                            <wps:wsp>
                              <wps:cNvPr id="12" name="矩形 229"/>
                              <wps:cNvSpPr/>
                              <wps:spPr>
                                <a:xfrm>
                                  <a:off x="3717649" y="101825"/>
                                  <a:ext cx="971033" cy="360705"/>
                                </a:xfrm>
                                <a:prstGeom prst="rect">
                                  <a:avLst/>
                                </a:prstGeom>
                                <a:noFill/>
                                <a:ln w="19050">
                                  <a:noFill/>
                                </a:ln>
                              </wps:spPr>
                              <wps:txbx>
                                <w:txbxContent>
                                  <w:p w14:paraId="0EA47BAD">
                                    <w:pPr>
                                      <w:jc w:val="center"/>
                                      <w:rPr>
                                        <w:kern w:val="0"/>
                                        <w:sz w:val="24"/>
                                        <w:szCs w:val="24"/>
                                      </w:rPr>
                                    </w:pPr>
                                    <w:r>
                                      <w:rPr>
                                        <w:color w:val="000000"/>
                                        <w:szCs w:val="21"/>
                                      </w:rPr>
                                      <w:t>W1</w:t>
                                    </w:r>
                                    <w:r>
                                      <w:rPr>
                                        <w:rFonts w:hint="eastAsia"/>
                                        <w:color w:val="000000"/>
                                        <w:szCs w:val="21"/>
                                      </w:rPr>
                                      <w:t>、S1、</w:t>
                                    </w:r>
                                    <w:r>
                                      <w:rPr>
                                        <w:color w:val="000000"/>
                                        <w:szCs w:val="21"/>
                                      </w:rPr>
                                      <w:t>N</w:t>
                                    </w:r>
                                  </w:p>
                                </w:txbxContent>
                              </wps:txbx>
                              <wps:bodyPr vert="horz" wrap="square" anchor="ctr" anchorCtr="0" upright="1"/>
                            </wps:wsp>
                            <wps:wsp>
                              <wps:cNvPr id="13" name="矩形 231"/>
                              <wps:cNvSpPr/>
                              <wps:spPr>
                                <a:xfrm>
                                  <a:off x="163767" y="2127037"/>
                                  <a:ext cx="1190769" cy="522006"/>
                                </a:xfrm>
                                <a:prstGeom prst="rect">
                                  <a:avLst/>
                                </a:prstGeom>
                                <a:noFill/>
                                <a:ln w="19050">
                                  <a:noFill/>
                                </a:ln>
                              </wps:spPr>
                              <wps:txbx>
                                <w:txbxContent>
                                  <w:p w14:paraId="664A604B">
                                    <w:pPr>
                                      <w:jc w:val="center"/>
                                      <w:rPr>
                                        <w:kern w:val="0"/>
                                        <w:sz w:val="24"/>
                                        <w:szCs w:val="24"/>
                                      </w:rPr>
                                    </w:pPr>
                                    <w:r>
                                      <w:rPr>
                                        <w:color w:val="000000"/>
                                        <w:szCs w:val="21"/>
                                      </w:rPr>
                                      <w:t>G1</w:t>
                                    </w:r>
                                    <w:r>
                                      <w:rPr>
                                        <w:rFonts w:hint="eastAsia"/>
                                        <w:color w:val="000000"/>
                                        <w:szCs w:val="21"/>
                                      </w:rPr>
                                      <w:t>、</w:t>
                                    </w:r>
                                    <w:r>
                                      <w:rPr>
                                        <w:color w:val="000000"/>
                                        <w:szCs w:val="21"/>
                                      </w:rPr>
                                      <w:t>W1</w:t>
                                    </w:r>
                                    <w:r>
                                      <w:rPr>
                                        <w:rFonts w:hint="eastAsia"/>
                                        <w:color w:val="000000"/>
                                        <w:szCs w:val="21"/>
                                      </w:rPr>
                                      <w:t>、</w:t>
                                    </w:r>
                                    <w:r>
                                      <w:rPr>
                                        <w:color w:val="000000"/>
                                        <w:szCs w:val="21"/>
                                      </w:rPr>
                                      <w:t>N</w:t>
                                    </w:r>
                                  </w:p>
                                </w:txbxContent>
                              </wps:txbx>
                              <wps:bodyPr vert="horz" wrap="square" anchor="ctr" anchorCtr="0" upright="1"/>
                            </wps:wsp>
                            <wps:wsp>
                              <wps:cNvPr id="14" name="连接符: 肘形 232"/>
                              <wps:cNvCnPr/>
                              <wps:spPr>
                                <a:xfrm rot="-10800000" flipV="1">
                                  <a:off x="759152" y="1782730"/>
                                  <a:ext cx="461042" cy="344143"/>
                                </a:xfrm>
                                <a:prstGeom prst="bentConnector2">
                                  <a:avLst/>
                                </a:prstGeom>
                                <a:ln w="6350" cap="flat" cmpd="sng">
                                  <a:solidFill>
                                    <a:srgbClr val="000000"/>
                                  </a:solidFill>
                                  <a:prstDash val="dash"/>
                                  <a:miter/>
                                  <a:headEnd type="none" w="med" len="med"/>
                                  <a:tailEnd type="triangle" w="med" len="med"/>
                                </a:ln>
                              </wps:spPr>
                              <wps:bodyPr/>
                            </wps:wsp>
                            <wps:wsp>
                              <wps:cNvPr id="15" name="连接符: 肘形 235"/>
                              <wps:cNvCnPr/>
                              <wps:spPr>
                                <a:xfrm rot="5400000" flipH="1" flipV="1">
                                  <a:off x="3403239" y="386312"/>
                                  <a:ext cx="418607" cy="210191"/>
                                </a:xfrm>
                                <a:prstGeom prst="bentConnector2">
                                  <a:avLst/>
                                </a:prstGeom>
                                <a:ln w="6350" cap="flat" cmpd="sng">
                                  <a:solidFill>
                                    <a:srgbClr val="000000"/>
                                  </a:solidFill>
                                  <a:prstDash val="dash"/>
                                  <a:miter/>
                                  <a:headEnd type="none" w="med" len="med"/>
                                  <a:tailEnd type="triangle" w="med" len="med"/>
                                </a:ln>
                              </wps:spPr>
                              <wps:bodyPr/>
                            </wps:wsp>
                            <wps:wsp>
                              <wps:cNvPr id="16" name="矩形 236"/>
                              <wps:cNvSpPr/>
                              <wps:spPr>
                                <a:xfrm>
                                  <a:off x="4549775" y="1831340"/>
                                  <a:ext cx="714375" cy="860425"/>
                                </a:xfrm>
                                <a:prstGeom prst="rect">
                                  <a:avLst/>
                                </a:prstGeom>
                                <a:noFill/>
                                <a:ln w="19050" cap="flat" cmpd="sng">
                                  <a:solidFill>
                                    <a:srgbClr val="000000"/>
                                  </a:solidFill>
                                  <a:prstDash val="solid"/>
                                  <a:miter/>
                                  <a:headEnd type="none" w="med" len="med"/>
                                  <a:tailEnd type="none" w="med" len="med"/>
                                </a:ln>
                              </wps:spPr>
                              <wps:txbx>
                                <w:txbxContent>
                                  <w:p w14:paraId="379E6C0B">
                                    <w:pPr>
                                      <w:rPr>
                                        <w:color w:val="000000"/>
                                        <w:szCs w:val="21"/>
                                      </w:rPr>
                                    </w:pPr>
                                    <w:r>
                                      <w:rPr>
                                        <w:color w:val="000000"/>
                                        <w:szCs w:val="21"/>
                                      </w:rPr>
                                      <w:t>G</w:t>
                                    </w:r>
                                    <w:r>
                                      <w:rPr>
                                        <w:rFonts w:hint="eastAsia"/>
                                        <w:color w:val="000000"/>
                                        <w:szCs w:val="21"/>
                                      </w:rPr>
                                      <w:t>：废气</w:t>
                                    </w:r>
                                  </w:p>
                                  <w:p w14:paraId="5AE9F265">
                                    <w:pPr>
                                      <w:rPr>
                                        <w:color w:val="000000"/>
                                        <w:szCs w:val="21"/>
                                      </w:rPr>
                                    </w:pPr>
                                    <w:r>
                                      <w:rPr>
                                        <w:color w:val="000000"/>
                                        <w:szCs w:val="21"/>
                                      </w:rPr>
                                      <w:t>W</w:t>
                                    </w:r>
                                    <w:r>
                                      <w:rPr>
                                        <w:rFonts w:hint="eastAsia"/>
                                        <w:color w:val="000000"/>
                                        <w:szCs w:val="21"/>
                                      </w:rPr>
                                      <w:t>：废水</w:t>
                                    </w:r>
                                  </w:p>
                                  <w:p w14:paraId="645F36D0">
                                    <w:pPr>
                                      <w:rPr>
                                        <w:color w:val="000000"/>
                                        <w:szCs w:val="21"/>
                                      </w:rPr>
                                    </w:pPr>
                                    <w:r>
                                      <w:rPr>
                                        <w:color w:val="000000"/>
                                        <w:szCs w:val="21"/>
                                      </w:rPr>
                                      <w:t>S</w:t>
                                    </w:r>
                                    <w:r>
                                      <w:rPr>
                                        <w:rFonts w:hint="eastAsia"/>
                                        <w:color w:val="000000"/>
                                        <w:szCs w:val="21"/>
                                      </w:rPr>
                                      <w:t>：固废</w:t>
                                    </w:r>
                                  </w:p>
                                  <w:p w14:paraId="2CCE84A7">
                                    <w:pPr>
                                      <w:rPr>
                                        <w:kern w:val="0"/>
                                        <w:sz w:val="24"/>
                                        <w:szCs w:val="24"/>
                                      </w:rPr>
                                    </w:pPr>
                                    <w:r>
                                      <w:rPr>
                                        <w:color w:val="000000"/>
                                        <w:szCs w:val="21"/>
                                      </w:rPr>
                                      <w:t>N</w:t>
                                    </w:r>
                                    <w:r>
                                      <w:rPr>
                                        <w:rFonts w:hint="eastAsia"/>
                                        <w:color w:val="000000"/>
                                        <w:szCs w:val="21"/>
                                      </w:rPr>
                                      <w:t>：噪声</w:t>
                                    </w:r>
                                  </w:p>
                                </w:txbxContent>
                              </wps:txbx>
                              <wps:bodyPr vert="horz" wrap="square" anchor="ctr" anchorCtr="0" upright="1"/>
                            </wps:wsp>
                            <wps:wsp>
                              <wps:cNvPr id="17" name="矩形 237"/>
                              <wps:cNvSpPr/>
                              <wps:spPr>
                                <a:xfrm>
                                  <a:off x="0" y="700667"/>
                                  <a:ext cx="887661" cy="361893"/>
                                </a:xfrm>
                                <a:prstGeom prst="rect">
                                  <a:avLst/>
                                </a:prstGeom>
                                <a:noFill/>
                                <a:ln w="19050">
                                  <a:noFill/>
                                </a:ln>
                              </wps:spPr>
                              <wps:txbx>
                                <w:txbxContent>
                                  <w:p w14:paraId="75B3D360">
                                    <w:pPr>
                                      <w:jc w:val="center"/>
                                      <w:rPr>
                                        <w:kern w:val="0"/>
                                        <w:sz w:val="24"/>
                                        <w:szCs w:val="24"/>
                                      </w:rPr>
                                    </w:pPr>
                                    <w:r>
                                      <w:rPr>
                                        <w:color w:val="000000"/>
                                        <w:szCs w:val="21"/>
                                      </w:rPr>
                                      <w:t>S2</w:t>
                                    </w:r>
                                    <w:r>
                                      <w:rPr>
                                        <w:rFonts w:hint="eastAsia"/>
                                        <w:color w:val="000000"/>
                                        <w:szCs w:val="21"/>
                                      </w:rPr>
                                      <w:t>、N</w:t>
                                    </w:r>
                                  </w:p>
                                </w:txbxContent>
                              </wps:txbx>
                              <wps:bodyPr vert="horz" wrap="square" anchor="ctr" anchorCtr="0" upright="1"/>
                            </wps:wsp>
                            <wps:wsp>
                              <wps:cNvPr id="18" name="直接箭头连接符 238"/>
                              <wps:cNvCnPr/>
                              <wps:spPr>
                                <a:xfrm flipH="1" flipV="1">
                                  <a:off x="887754" y="881604"/>
                                  <a:ext cx="332440" cy="213"/>
                                </a:xfrm>
                                <a:prstGeom prst="straightConnector1">
                                  <a:avLst/>
                                </a:prstGeom>
                                <a:ln w="6350" cap="flat" cmpd="sng">
                                  <a:solidFill>
                                    <a:srgbClr val="000000"/>
                                  </a:solidFill>
                                  <a:prstDash val="dash"/>
                                  <a:miter/>
                                  <a:headEnd type="none" w="med" len="med"/>
                                  <a:tailEnd type="triangle" w="med" len="med"/>
                                </a:ln>
                              </wps:spPr>
                              <wps:bodyPr/>
                            </wps:wsp>
                            <wps:wsp>
                              <wps:cNvPr id="19" name="AutoShape 25"/>
                              <wps:cNvCnPr/>
                              <wps:spPr>
                                <a:xfrm>
                                  <a:off x="1811020" y="1983105"/>
                                  <a:ext cx="634" cy="501651"/>
                                </a:xfrm>
                                <a:prstGeom prst="straightConnector1">
                                  <a:avLst/>
                                </a:prstGeom>
                                <a:ln w="12700" cap="flat" cmpd="sng">
                                  <a:solidFill>
                                    <a:srgbClr val="000000"/>
                                  </a:solidFill>
                                  <a:prstDash val="solid"/>
                                  <a:headEnd type="none" w="med" len="med"/>
                                  <a:tailEnd type="triangle" w="med" len="med"/>
                                </a:ln>
                              </wps:spPr>
                              <wps:bodyPr/>
                            </wps:wsp>
                          </wpc:wpc>
                        </a:graphicData>
                      </a:graphic>
                    </wp:inline>
                  </w:drawing>
                </mc:Choice>
                <mc:Fallback>
                  <w:pict>
                    <v:group id="画布 87" o:spid="_x0000_s1026" o:spt="203" style="height:218.9pt;width:413.2pt;" coordsize="5247640,2780030" editas="canvas" o:gfxdata="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">
                      <o:lock v:ext="edit" aspectratio="f"/>
                      <v:shape id="画布 87" o:spid="_x0000_s1026" style="position:absolute;left:0;top:0;height:2780030;width:5247640;" filled="f" stroked="f" coordsize="21600,21600" o:gfxdata="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">
                        <v:fill on="f" focussize="0,0"/>
                        <v:stroke on="f"/>
                        <v:imagedata o:title=""/>
                        <o:lock v:ext="edit" aspectratio="t"/>
                      </v:shape>
                      <v:rect id="矩形 17" o:spid="_x0000_s1026" o:spt="1" style="position:absolute;left:1220193;top:-194;height:361975;width:1181241;v-text-anchor:middle;" filled="f" stroked="f" coordsize="21600,21600" o:gfxdata="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HlaEXLYAAAABQEAAA8AAAAAAAAAAQAg&#10;AAAAIgAAAGRycy9kb3ducmV2LnhtbFBLAQIUABQAAAAIAIdO4kBUqQJV1QEAAIoDAAAOAAAAAAAA&#10;AAEAIAAAACcBAABkcnMvZTJvRG9jLnhtbFBLBQYAAAAABgAGAFkBAABuBQAAAAA=&#10;">
                        <v:fill on="f" focussize="0,0"/>
                        <v:stroke on="f" weight="1.5pt"/>
                        <v:imagedata o:title=""/>
                        <o:lock v:ext="edit" aspectratio="f"/>
                        <v:textbox>
                          <w:txbxContent>
                            <w:p w14:paraId="6374A955">
                              <w:pPr>
                                <w:jc w:val="center"/>
                                <w:rPr>
                                  <w:kern w:val="0"/>
                                  <w:sz w:val="24"/>
                                  <w:szCs w:val="24"/>
                                </w:rPr>
                              </w:pPr>
                              <w:r>
                                <w:rPr>
                                  <w:rFonts w:hint="eastAsia"/>
                                  <w:color w:val="000000"/>
                                  <w:szCs w:val="21"/>
                                </w:rPr>
                                <w:t>生物质</w:t>
                              </w:r>
                            </w:p>
                          </w:txbxContent>
                        </v:textbox>
                      </v:rect>
                      <v:rect id="矩形 18" o:spid="_x0000_s1026" o:spt="1" style="position:absolute;left:1220194;top:700829;height:361975;width:1181241;v-text-anchor:middle;" filled="f" stroked="t" coordsize="21600,21600" o:gfxdata="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9&#10;PigO1gAAAAUBAAAPAAAAAAAAAAEAIAAAACIAAABkcnMvZG93bnJldi54bWxQSwECFAAUAAAACACH&#10;TuJABj2RzyYCAABCBAAADgAAAAAAAAABACAAAAAlAQAAZHJzL2Uyb0RvYy54bWxQSwUGAAAAAAYA&#10;BgBZAQAAvQUAAAAA&#10;">
                        <v:fill on="f" focussize="0,0"/>
                        <v:stroke weight="1.5pt" color="#000000" joinstyle="miter"/>
                        <v:imagedata o:title=""/>
                        <o:lock v:ext="edit" aspectratio="f"/>
                        <v:textbox>
                          <w:txbxContent>
                            <w:p w14:paraId="5FC1C499">
                              <w:pPr>
                                <w:jc w:val="center"/>
                                <w:rPr>
                                  <w:kern w:val="0"/>
                                  <w:sz w:val="24"/>
                                  <w:szCs w:val="24"/>
                                </w:rPr>
                              </w:pPr>
                              <w:r>
                                <w:rPr>
                                  <w:rFonts w:hint="eastAsia"/>
                                  <w:color w:val="000000"/>
                                  <w:szCs w:val="21"/>
                                </w:rPr>
                                <w:t>生物质气化</w:t>
                              </w:r>
                            </w:p>
                          </w:txbxContent>
                        </v:textbox>
                      </v:rect>
                      <v:rect id="矩形 19" o:spid="_x0000_s1026" o:spt="1" style="position:absolute;left:1220194;top:1611391;height:361975;width:1181242;v-text-anchor:middle;" filled="f" stroked="t" coordsize="21600,21600" o:gfxdata="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9&#10;PigO1gAAAAUBAAAPAAAAAAAAAAEAIAAAACIAAABkcnMvZG93bnJldi54bWxQSwECFAAUAAAACACH&#10;TuJAIYckQyYCAABDBAAADgAAAAAAAAABACAAAAAlAQAAZHJzL2Uyb0RvYy54bWxQSwUGAAAAAAYA&#10;BgBZAQAAvQUAAAAA&#10;">
                        <v:fill on="f" focussize="0,0"/>
                        <v:stroke weight="1.5pt" color="#000000" joinstyle="miter"/>
                        <v:imagedata o:title=""/>
                        <o:lock v:ext="edit" aspectratio="f"/>
                        <v:textbox>
                          <w:txbxContent>
                            <w:p w14:paraId="35598072">
                              <w:pPr>
                                <w:jc w:val="center"/>
                                <w:rPr>
                                  <w:color w:val="000000"/>
                                  <w:kern w:val="0"/>
                                  <w:sz w:val="24"/>
                                  <w:szCs w:val="24"/>
                                </w:rPr>
                              </w:pPr>
                              <w:r>
                                <w:rPr>
                                  <w:rFonts w:hint="eastAsia"/>
                                  <w:color w:val="000000"/>
                                  <w:szCs w:val="21"/>
                                </w:rPr>
                                <w:t>锅炉</w:t>
                              </w:r>
                            </w:p>
                          </w:txbxContent>
                        </v:textbox>
                      </v:rect>
                      <v:rect id="矩形 22" o:spid="_x0000_s1026" o:spt="1" style="position:absolute;left:2716775;top:700829;height:361975;width:904984;v-text-anchor:middle;" filled="f" stroked="t" coordsize="21600,21600" o:gfxdata="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vT4oDtYAAAAFAQAADwAAAAAAAAABACAAAAAiAAAAZHJzL2Rvd25yZXYueG1sUEsBAhQAFAAAAAgA&#10;h07iQCqFqqQnAgAAQQQAAA4AAAAAAAAAAQAgAAAAJQEAAGRycy9lMm9Eb2MueG1sUEsFBgAAAAAG&#10;AAYAWQEAAL4FAAAAAA==&#10;">
                        <v:fill on="f" focussize="0,0"/>
                        <v:stroke weight="1.5pt" color="#000000" joinstyle="miter"/>
                        <v:imagedata o:title=""/>
                        <o:lock v:ext="edit" aspectratio="f"/>
                        <v:textbox>
                          <w:txbxContent>
                            <w:p w14:paraId="0F667258">
                              <w:pPr>
                                <w:jc w:val="center"/>
                                <w:rPr>
                                  <w:kern w:val="0"/>
                                  <w:sz w:val="24"/>
                                  <w:szCs w:val="24"/>
                                </w:rPr>
                              </w:pPr>
                              <w:r>
                                <w:rPr>
                                  <w:rFonts w:hint="eastAsia"/>
                                  <w:color w:val="000000"/>
                                  <w:szCs w:val="21"/>
                                </w:rPr>
                                <w:t>软水制备</w:t>
                              </w:r>
                            </w:p>
                          </w:txbxContent>
                        </v:textbox>
                      </v:rect>
                      <v:rect id="矩形 23" o:spid="_x0000_s1026" o:spt="1" style="position:absolute;left:2716775;top:166418;height:361975;width:904984;v-text-anchor:middle;" filled="f" stroked="f" coordsize="21600,21600" o:gfxdata="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HlaEXLYAAAABQEAAA8AAAAAAAAA&#10;AQAgAAAAIgAAAGRycy9kb3ducmV2LnhtbFBLAQIUABQAAAAIAIdO4kC3ORro2AEAAIsDAAAOAAAA&#10;AAAAAAEAIAAAACcBAABkcnMvZTJvRG9jLnhtbFBLBQYAAAAABgAGAFkBAABxBQAAAAA=&#10;">
                        <v:fill on="f" focussize="0,0"/>
                        <v:stroke on="f" weight="1.5pt"/>
                        <v:imagedata o:title=""/>
                        <o:lock v:ext="edit" aspectratio="f"/>
                        <v:textbox>
                          <w:txbxContent>
                            <w:p w14:paraId="0DD770B7">
                              <w:pPr>
                                <w:jc w:val="center"/>
                                <w:rPr>
                                  <w:kern w:val="0"/>
                                  <w:sz w:val="24"/>
                                  <w:szCs w:val="24"/>
                                </w:rPr>
                              </w:pPr>
                              <w:r>
                                <w:rPr>
                                  <w:rFonts w:hint="eastAsia"/>
                                  <w:color w:val="000000"/>
                                  <w:szCs w:val="21"/>
                                </w:rPr>
                                <w:t>水</w:t>
                              </w:r>
                            </w:p>
                          </w:txbxContent>
                        </v:textbox>
                      </v:rect>
                      <v:shape id="直接箭头连接符 24" o:spid="_x0000_s1026" o:spt="32" type="#_x0000_t32" style="position:absolute;left:3169267;top:528393;height:172437;width:0;" filled="f" stroked="t" coordsize="21600,21600" o:gfxdata="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du3ivNUAAAAFAQAADwAAAAAA&#10;AAABACAAAAAiAAAAZHJzL2Rvd25yZXYueG1sUEsBAhQAFAAAAAgAh07iQPf5BJgWAgAABQQAAA4A&#10;AAAAAAAAAQAgAAAAJAEAAGRycy9lMm9Eb2MueG1sUEsFBgAAAAAGAAYAWQEAAKwFAAAAAA==&#10;">
                        <v:fill on="f" focussize="0,0"/>
                        <v:stroke weight="0.5pt" color="#000000" joinstyle="miter" endarrow="block"/>
                        <v:imagedata o:title=""/>
                        <o:lock v:ext="edit" aspectratio="f"/>
                      </v:shape>
                      <v:shape id="连接符: 肘形 25" o:spid="_x0000_s1026" o:spt="33" type="#_x0000_t33" style="position:absolute;left:2420546;top:1043696;height:767791;width:729612;rotation:5898240f;" filled="f" stroked="t" coordsize="21600,21600" o:gfxdata="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JTB9q&#10;2AAAAAUBAAAPAAAAAAAAAAEAIAAAACIAAABkcnMvZG93bnJldi54bWxQSwECFAAUAAAACACHTuJA&#10;nAFJkSECAAARBAAADgAAAAAAAAABACAAAAAnAQAAZHJzL2Uyb0RvYy54bWxQSwUGAAAAAAYABgBZ&#10;AQAAugUAAAAA&#10;">
                        <v:fill on="f" focussize="0,0"/>
                        <v:stroke weight="0.5pt" color="#000000" joinstyle="miter" endarrow="block"/>
                        <v:imagedata o:title=""/>
                        <o:lock v:ext="edit" aspectratio="f"/>
                      </v:shape>
                      <v:shape id="直接箭头连接符 29" o:spid="_x0000_s1026" o:spt="32" type="#_x0000_t32" style="position:absolute;left:1810815;top:363906;flip:x;height:336882;width:14;" filled="f" stroked="t" coordsize="21600,21600" o:gfxdata="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Ak7p9cAAAAF&#10;AQAADwAAAAAAAAABACAAAAAiAAAAZHJzL2Rvd25yZXYueG1sUEsBAhQAFAAAAAgAh07iQNVJOFwd&#10;AgAAEAQAAA4AAAAAAAAAAQAgAAAAJgEAAGRycy9lMm9Eb2MueG1sUEsFBgAAAAAGAAYAWQEAALUF&#10;AAAAAA==&#10;">
                        <v:fill on="f" focussize="0,0"/>
                        <v:stroke weight="0.5pt" color="#000000" joinstyle="miter" endarrow="block"/>
                        <v:imagedata o:title=""/>
                        <o:lock v:ext="edit" aspectratio="f"/>
                      </v:shape>
                      <v:shape id="直接箭头连接符 30" o:spid="_x0000_s1026" o:spt="32" type="#_x0000_t32" style="position:absolute;left:1810815;top:1062804;flip:x;height:548587;width:1;" filled="f" stroked="t" coordsize="21600,21600" o:gfxdata="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AJO6fXAAAABQEA&#10;AA8AAAAAAAAAAQAgAAAAIgAAAGRycy9kb3ducmV2LnhtbFBLAQIUABQAAAAIAIdO4kB3tyh9GwIA&#10;ABAEAAAOAAAAAAAAAAEAIAAAACYBAABkcnMvZTJvRG9jLnhtbFBLBQYAAAAABgAGAFkBAACzBQAA&#10;AAA=&#10;">
                        <v:fill on="f" focussize="0,0"/>
                        <v:stroke weight="0.5pt" color="#000000" joinstyle="miter" endarrow="block"/>
                        <v:imagedata o:title=""/>
                        <o:lock v:ext="edit" aspectratio="f"/>
                      </v:shape>
                      <v:rect id="矩形 224" o:spid="_x0000_s1026" o:spt="1" style="position:absolute;left:1221105;top:2494280;height:284480;width:1181099;v-text-anchor:middle;" filled="f" stroked="t" coordsize="21600,21600" o:gfxdata="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vT4oDtYAAAAFAQAADwAAAAAAAAABACAAAAAiAAAAZHJzL2Rvd25yZXYueG1sUEsBAhQAFAAAAAgA&#10;h07iQAufPywnAgAARQQAAA4AAAAAAAAAAQAgAAAAJQEAAGRycy9lMm9Eb2MueG1sUEsFBgAAAAAG&#10;AAYAWQEAAL4FAAAAAA==&#10;">
                        <v:fill on="f" focussize="0,0"/>
                        <v:stroke weight="1.5pt" color="#000000" joinstyle="miter"/>
                        <v:imagedata o:title=""/>
                        <o:lock v:ext="edit" aspectratio="f"/>
                        <v:textbox>
                          <w:txbxContent>
                            <w:p w14:paraId="7DCF878A">
                              <w:pPr>
                                <w:jc w:val="center"/>
                                <w:rPr>
                                  <w:kern w:val="0"/>
                                  <w:sz w:val="24"/>
                                  <w:szCs w:val="24"/>
                                </w:rPr>
                              </w:pPr>
                              <w:r>
                                <w:rPr>
                                  <w:rFonts w:hint="eastAsia"/>
                                  <w:color w:val="000000"/>
                                  <w:szCs w:val="21"/>
                                </w:rPr>
                                <w:t>用热工序</w:t>
                              </w:r>
                            </w:p>
                          </w:txbxContent>
                        </v:textbox>
                      </v:rect>
                      <v:rect id="矩形 227" o:spid="_x0000_s1026" o:spt="1" style="position:absolute;left:1862873;top:2147328;height:361975;width:904984;v-text-anchor:middle;" filled="f" stroked="f" coordsize="21600,21600" o:gfxdata="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HlaEXLYAAAABQEAAA8AAAAA&#10;AAAAAQAgAAAAIgAAAGRycy9kb3ducmV2LnhtbFBLAQIUABQAAAAIAIdO4kAbYYsI2wEAAI4DAAAO&#10;AAAAAAAAAAEAIAAAACcBAABkcnMvZTJvRG9jLnhtbFBLBQYAAAAABgAGAFkBAAB0BQAAAAA=&#10;">
                        <v:fill on="f" focussize="0,0"/>
                        <v:stroke on="f" weight="1.5pt"/>
                        <v:imagedata o:title=""/>
                        <o:lock v:ext="edit" aspectratio="f"/>
                        <v:textbox>
                          <w:txbxContent>
                            <w:p w14:paraId="38D62B8C">
                              <w:pPr>
                                <w:jc w:val="center"/>
                                <w:rPr>
                                  <w:kern w:val="0"/>
                                  <w:sz w:val="24"/>
                                  <w:szCs w:val="24"/>
                                </w:rPr>
                              </w:pPr>
                              <w:r>
                                <w:rPr>
                                  <w:color w:val="000000"/>
                                  <w:szCs w:val="21"/>
                                </w:rPr>
                                <w:t>蒸汽</w:t>
                              </w:r>
                            </w:p>
                          </w:txbxContent>
                        </v:textbox>
                      </v:rect>
                      <v:rect id="矩形 229" o:spid="_x0000_s1026" o:spt="1" style="position:absolute;left:3717649;top:101825;height:360705;width:971033;v-text-anchor:middle;" filled="f" stroked="f" coordsize="21600,21600" o:gfxdata="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5WhFy2AAAAAUBAAAPAAAAAAAA&#10;AAEAIAAAACIAAABkcnMvZG93bnJldi54bWxQSwECFAAUAAAACACHTuJAy+rsg9kBAACNAwAADgAA&#10;AAAAAAABACAAAAAnAQAAZHJzL2Uyb0RvYy54bWxQSwUGAAAAAAYABgBZAQAAcgUAAAAA&#10;">
                        <v:fill on="f" focussize="0,0"/>
                        <v:stroke on="f" weight="1.5pt"/>
                        <v:imagedata o:title=""/>
                        <o:lock v:ext="edit" aspectratio="f"/>
                        <v:textbox>
                          <w:txbxContent>
                            <w:p w14:paraId="0EA47BAD">
                              <w:pPr>
                                <w:jc w:val="center"/>
                                <w:rPr>
                                  <w:kern w:val="0"/>
                                  <w:sz w:val="24"/>
                                  <w:szCs w:val="24"/>
                                </w:rPr>
                              </w:pPr>
                              <w:r>
                                <w:rPr>
                                  <w:color w:val="000000"/>
                                  <w:szCs w:val="21"/>
                                </w:rPr>
                                <w:t>W1</w:t>
                              </w:r>
                              <w:r>
                                <w:rPr>
                                  <w:rFonts w:hint="eastAsia"/>
                                  <w:color w:val="000000"/>
                                  <w:szCs w:val="21"/>
                                </w:rPr>
                                <w:t>、S1、</w:t>
                              </w:r>
                              <w:r>
                                <w:rPr>
                                  <w:color w:val="000000"/>
                                  <w:szCs w:val="21"/>
                                </w:rPr>
                                <w:t>N</w:t>
                              </w:r>
                            </w:p>
                          </w:txbxContent>
                        </v:textbox>
                      </v:rect>
                      <v:rect id="矩形 231" o:spid="_x0000_s1026" o:spt="1" style="position:absolute;left:163767;top:2127037;height:522006;width:1190769;v-text-anchor:middle;" filled="f" stroked="f" coordsize="21600,21600" o:gfxdata="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HlaEXLYAAAABQEAAA8AAAAAAAAA&#10;AQAgAAAAIgAAAGRycy9kb3ducmV2LnhtbFBLAQIUABQAAAAIAIdO4kCmvkyq2AEAAI4DAAAOAAAA&#10;AAAAAAEAIAAAACcBAABkcnMvZTJvRG9jLnhtbFBLBQYAAAAABgAGAFkBAABxBQAAAAA=&#10;">
                        <v:fill on="f" focussize="0,0"/>
                        <v:stroke on="f" weight="1.5pt"/>
                        <v:imagedata o:title=""/>
                        <o:lock v:ext="edit" aspectratio="f"/>
                        <v:textbox>
                          <w:txbxContent>
                            <w:p w14:paraId="664A604B">
                              <w:pPr>
                                <w:jc w:val="center"/>
                                <w:rPr>
                                  <w:kern w:val="0"/>
                                  <w:sz w:val="24"/>
                                  <w:szCs w:val="24"/>
                                </w:rPr>
                              </w:pPr>
                              <w:r>
                                <w:rPr>
                                  <w:color w:val="000000"/>
                                  <w:szCs w:val="21"/>
                                </w:rPr>
                                <w:t>G1</w:t>
                              </w:r>
                              <w:r>
                                <w:rPr>
                                  <w:rFonts w:hint="eastAsia"/>
                                  <w:color w:val="000000"/>
                                  <w:szCs w:val="21"/>
                                </w:rPr>
                                <w:t>、</w:t>
                              </w:r>
                              <w:r>
                                <w:rPr>
                                  <w:color w:val="000000"/>
                                  <w:szCs w:val="21"/>
                                </w:rPr>
                                <w:t>W1</w:t>
                              </w:r>
                              <w:r>
                                <w:rPr>
                                  <w:rFonts w:hint="eastAsia"/>
                                  <w:color w:val="000000"/>
                                  <w:szCs w:val="21"/>
                                </w:rPr>
                                <w:t>、</w:t>
                              </w:r>
                              <w:r>
                                <w:rPr>
                                  <w:color w:val="000000"/>
                                  <w:szCs w:val="21"/>
                                </w:rPr>
                                <w:t>N</w:t>
                              </w:r>
                            </w:p>
                          </w:txbxContent>
                        </v:textbox>
                      </v:rect>
                      <v:shape id="连接符: 肘形 232" o:spid="_x0000_s1026" o:spt="33" type="#_x0000_t33" style="position:absolute;left:759152;top:1782730;flip:y;height:344143;width:461042;rotation:11796480f;" filled="f" stroked="t" coordsize="21600,21600" o:gfxdata="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aU1eF1QAAAAUBAAAPAAAAAAAAAAEAIAAAACIAAABkcnMvZG93bnJldi54bWxQSwECFAAUAAAA&#10;CACHTuJAZAzIQyoCAAAdBAAADgAAAAAAAAABACAAAAAkAQAAZHJzL2Uyb0RvYy54bWxQSwUGAAAA&#10;AAYABgBZAQAAwAUAAAAA&#10;">
                        <v:fill on="f" focussize="0,0"/>
                        <v:stroke weight="0.5pt" color="#000000" joinstyle="miter" dashstyle="dash" endarrow="block"/>
                        <v:imagedata o:title=""/>
                        <o:lock v:ext="edit" aspectratio="f"/>
                      </v:shape>
                      <v:shape id="连接符: 肘形 235" o:spid="_x0000_s1026" o:spt="33" type="#_x0000_t33" style="position:absolute;left:3403239;top:386312;flip:x y;height:210191;width:418607;rotation:5898240f;" filled="f" stroked="t" coordsize="21600,21600" o:gfxdata="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GJI7nTAAAABQEAAA8AAAAAAAAAAQAgAAAAIgAAAGRycy9kb3ducmV2LnhtbFBLAQIUABQAAAAI&#10;AIdO4kAz65QiKwIAACUEAAAOAAAAAAAAAAEAIAAAACIBAABkcnMvZTJvRG9jLnhtbFBLBQYAAAAA&#10;BgAGAFkBAAC/BQAAAAA=&#10;">
                        <v:fill on="f" focussize="0,0"/>
                        <v:stroke weight="0.5pt" color="#000000" joinstyle="miter" dashstyle="dash" endarrow="block"/>
                        <v:imagedata o:title=""/>
                        <o:lock v:ext="edit" aspectratio="f"/>
                      </v:shape>
                      <v:rect id="矩形 236" o:spid="_x0000_s1026" o:spt="1" style="position:absolute;left:4549775;top:1831340;height:860425;width:714375;v-text-anchor:middle;" filled="f" stroked="t" coordsize="21600,21600" o:gfxdata="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9PigO1gAAAAUBAAAPAAAAAAAAAAEAIAAAACIAAABkcnMvZG93bnJldi54bWxQSwECFAAUAAAA&#10;CACHTuJA4lGg5CkCAABEBAAADgAAAAAAAAABACAAAAAlAQAAZHJzL2Uyb0RvYy54bWxQSwUGAAAA&#10;AAYABgBZAQAAwAUAAAAA&#10;">
                        <v:fill on="f" focussize="0,0"/>
                        <v:stroke weight="1.5pt" color="#000000" joinstyle="miter"/>
                        <v:imagedata o:title=""/>
                        <o:lock v:ext="edit" aspectratio="f"/>
                        <v:textbox>
                          <w:txbxContent>
                            <w:p w14:paraId="379E6C0B">
                              <w:pPr>
                                <w:rPr>
                                  <w:color w:val="000000"/>
                                  <w:szCs w:val="21"/>
                                </w:rPr>
                              </w:pPr>
                              <w:r>
                                <w:rPr>
                                  <w:color w:val="000000"/>
                                  <w:szCs w:val="21"/>
                                </w:rPr>
                                <w:t>G</w:t>
                              </w:r>
                              <w:r>
                                <w:rPr>
                                  <w:rFonts w:hint="eastAsia"/>
                                  <w:color w:val="000000"/>
                                  <w:szCs w:val="21"/>
                                </w:rPr>
                                <w:t>：废气</w:t>
                              </w:r>
                            </w:p>
                            <w:p w14:paraId="5AE9F265">
                              <w:pPr>
                                <w:rPr>
                                  <w:color w:val="000000"/>
                                  <w:szCs w:val="21"/>
                                </w:rPr>
                              </w:pPr>
                              <w:r>
                                <w:rPr>
                                  <w:color w:val="000000"/>
                                  <w:szCs w:val="21"/>
                                </w:rPr>
                                <w:t>W</w:t>
                              </w:r>
                              <w:r>
                                <w:rPr>
                                  <w:rFonts w:hint="eastAsia"/>
                                  <w:color w:val="000000"/>
                                  <w:szCs w:val="21"/>
                                </w:rPr>
                                <w:t>：废水</w:t>
                              </w:r>
                            </w:p>
                            <w:p w14:paraId="645F36D0">
                              <w:pPr>
                                <w:rPr>
                                  <w:color w:val="000000"/>
                                  <w:szCs w:val="21"/>
                                </w:rPr>
                              </w:pPr>
                              <w:r>
                                <w:rPr>
                                  <w:color w:val="000000"/>
                                  <w:szCs w:val="21"/>
                                </w:rPr>
                                <w:t>S</w:t>
                              </w:r>
                              <w:r>
                                <w:rPr>
                                  <w:rFonts w:hint="eastAsia"/>
                                  <w:color w:val="000000"/>
                                  <w:szCs w:val="21"/>
                                </w:rPr>
                                <w:t>：固废</w:t>
                              </w:r>
                            </w:p>
                            <w:p w14:paraId="2CCE84A7">
                              <w:pPr>
                                <w:rPr>
                                  <w:kern w:val="0"/>
                                  <w:sz w:val="24"/>
                                  <w:szCs w:val="24"/>
                                </w:rPr>
                              </w:pPr>
                              <w:r>
                                <w:rPr>
                                  <w:color w:val="000000"/>
                                  <w:szCs w:val="21"/>
                                </w:rPr>
                                <w:t>N</w:t>
                              </w:r>
                              <w:r>
                                <w:rPr>
                                  <w:rFonts w:hint="eastAsia"/>
                                  <w:color w:val="000000"/>
                                  <w:szCs w:val="21"/>
                                </w:rPr>
                                <w:t>：噪声</w:t>
                              </w:r>
                            </w:p>
                          </w:txbxContent>
                        </v:textbox>
                      </v:rect>
                      <v:rect id="矩形 237" o:spid="_x0000_s1026" o:spt="1" style="position:absolute;left:0;top:700667;height:361893;width:887661;v-text-anchor:middle;" filled="f" stroked="f" coordsize="21600,21600" o:gfxdata="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eVoRctgAAAAFAQAADwAAAAAAAAABACAA&#10;AAAiAAAAZHJzL2Rvd25yZXYueG1sUEsBAhQAFAAAAAgAh07iQADqTD/UAQAAhwMAAA4AAAAAAAAA&#10;AQAgAAAAJwEAAGRycy9lMm9Eb2MueG1sUEsFBgAAAAAGAAYAWQEAAG0FAAAAAA==&#10;">
                        <v:fill on="f" focussize="0,0"/>
                        <v:stroke on="f" weight="1.5pt"/>
                        <v:imagedata o:title=""/>
                        <o:lock v:ext="edit" aspectratio="f"/>
                        <v:textbox>
                          <w:txbxContent>
                            <w:p w14:paraId="75B3D360">
                              <w:pPr>
                                <w:jc w:val="center"/>
                                <w:rPr>
                                  <w:kern w:val="0"/>
                                  <w:sz w:val="24"/>
                                  <w:szCs w:val="24"/>
                                </w:rPr>
                              </w:pPr>
                              <w:r>
                                <w:rPr>
                                  <w:color w:val="000000"/>
                                  <w:szCs w:val="21"/>
                                </w:rPr>
                                <w:t>S2</w:t>
                              </w:r>
                              <w:r>
                                <w:rPr>
                                  <w:rFonts w:hint="eastAsia"/>
                                  <w:color w:val="000000"/>
                                  <w:szCs w:val="21"/>
                                </w:rPr>
                                <w:t>、N</w:t>
                              </w:r>
                            </w:p>
                          </w:txbxContent>
                        </v:textbox>
                      </v:rect>
                      <v:shape id="直接箭头连接符 238" o:spid="_x0000_s1026" o:spt="32" type="#_x0000_t32" style="position:absolute;left:887754;top:881604;flip:x y;height:213;width:332440;" filled="f" stroked="t" coordsize="21600,21600" o:gfxdata="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TRsdUA&#10;AAAFAQAADwAAAAAAAAABACAAAAAiAAAAZHJzL2Rvd25yZXYueG1sUEsBAhQAFAAAAAgAh07iQM+t&#10;17QiAgAAGwQAAA4AAAAAAAAAAQAgAAAAJAEAAGRycy9lMm9Eb2MueG1sUEsFBgAAAAAGAAYAWQEA&#10;ALgFAAAAAA==&#10;">
                        <v:fill on="f" focussize="0,0"/>
                        <v:stroke weight="0.5pt" color="#000000" joinstyle="miter" dashstyle="dash" endarrow="block"/>
                        <v:imagedata o:title=""/>
                        <o:lock v:ext="edit" aspectratio="f"/>
                      </v:shape>
                      <v:shape id="AutoShape 25" o:spid="_x0000_s1026" o:spt="32" type="#_x0000_t32" style="position:absolute;left:1811020;top:1983105;height:501651;width:634;" filled="f" stroked="t" coordsize="21600,21600" o:gfxdata="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NF7bXUAAAABQEAAA8AAAAAAAAAAQAgAAAAIgAAAGRycy9kb3ducmV2LnhtbFBLAQIUABQA&#10;AAAIAIdO4kAogmEd9AEAAPQDAAAOAAAAAAAAAAEAIAAAACMBAABkcnMvZTJvRG9jLnhtbFBLBQYA&#10;AAAABgAGAFkBAACJBQAAAAA=&#10;">
                        <v:fill on="f" focussize="0,0"/>
                        <v:stroke weight="1pt" color="#000000" joinstyle="round" endarrow="block"/>
                        <v:imagedata o:title=""/>
                        <o:lock v:ext="edit" aspectratio="f"/>
                      </v:shape>
                      <w10:wrap type="none"/>
                      <w10:anchorlock/>
                    </v:group>
                  </w:pict>
                </mc:Fallback>
              </mc:AlternateContent>
            </w:r>
          </w:p>
          <w:p w14:paraId="5E52C878">
            <w:pPr>
              <w:spacing w:line="360" w:lineRule="auto"/>
              <w:jc w:val="center"/>
              <w:rPr>
                <w:b/>
                <w:sz w:val="24"/>
                <w:szCs w:val="24"/>
              </w:rPr>
            </w:pPr>
            <w:r>
              <w:rPr>
                <w:b/>
                <w:sz w:val="24"/>
                <w:szCs w:val="24"/>
              </w:rPr>
              <w:t xml:space="preserve">图2-2  </w:t>
            </w:r>
            <w:bookmarkStart w:id="27" w:name="OLE_LINK14"/>
            <w:bookmarkStart w:id="28" w:name="OLE_LINK13"/>
            <w:r>
              <w:rPr>
                <w:b/>
                <w:sz w:val="24"/>
                <w:szCs w:val="24"/>
              </w:rPr>
              <w:t>锅炉工艺流程及产排污环节图</w:t>
            </w:r>
            <w:bookmarkEnd w:id="27"/>
            <w:bookmarkEnd w:id="28"/>
          </w:p>
          <w:p w14:paraId="03264340">
            <w:pPr>
              <w:spacing w:line="360" w:lineRule="auto"/>
              <w:jc w:val="center"/>
              <w:rPr>
                <w:b/>
                <w:sz w:val="24"/>
                <w:szCs w:val="24"/>
              </w:rPr>
            </w:pPr>
            <w:r>
              <w:drawing>
                <wp:anchor distT="0" distB="0" distL="114300" distR="114300" simplePos="0" relativeHeight="251660288" behindDoc="0" locked="0" layoutInCell="1" allowOverlap="1">
                  <wp:simplePos x="0" y="0"/>
                  <wp:positionH relativeFrom="column">
                    <wp:posOffset>698500</wp:posOffset>
                  </wp:positionH>
                  <wp:positionV relativeFrom="paragraph">
                    <wp:posOffset>102235</wp:posOffset>
                  </wp:positionV>
                  <wp:extent cx="4402455" cy="2425700"/>
                  <wp:effectExtent l="0" t="0" r="17145" b="12700"/>
                  <wp:wrapTopAndBottom/>
                  <wp:docPr id="21" name="图片 45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52" descr="12"/>
                          <pic:cNvPicPr>
                            <a:picLocks noChangeAspect="1"/>
                          </pic:cNvPicPr>
                        </pic:nvPicPr>
                        <pic:blipFill>
                          <a:blip r:embed="rId9"/>
                          <a:stretch>
                            <a:fillRect/>
                          </a:stretch>
                        </pic:blipFill>
                        <pic:spPr>
                          <a:xfrm>
                            <a:off x="0" y="0"/>
                            <a:ext cx="4402455" cy="2425700"/>
                          </a:xfrm>
                          <a:prstGeom prst="rect">
                            <a:avLst/>
                          </a:prstGeom>
                          <a:noFill/>
                          <a:ln>
                            <a:noFill/>
                          </a:ln>
                        </pic:spPr>
                      </pic:pic>
                    </a:graphicData>
                  </a:graphic>
                </wp:anchor>
              </w:drawing>
            </w:r>
            <w:r>
              <w:rPr>
                <w:b/>
                <w:bCs/>
                <w:color w:val="000000"/>
                <w:spacing w:val="-6"/>
                <w:sz w:val="24"/>
                <w:szCs w:val="24"/>
              </w:rPr>
              <w:t>图2-3  生物质气化反应原理图</w:t>
            </w:r>
          </w:p>
          <w:p w14:paraId="14E85720">
            <w:pPr>
              <w:spacing w:line="360" w:lineRule="auto"/>
              <w:ind w:firstLine="458" w:firstLineChars="200"/>
              <w:rPr>
                <w:color w:val="000000"/>
                <w:spacing w:val="-6"/>
                <w:sz w:val="24"/>
                <w:szCs w:val="24"/>
              </w:rPr>
            </w:pPr>
            <w:r>
              <w:rPr>
                <w:b/>
                <w:bCs/>
                <w:color w:val="000000"/>
                <w:spacing w:val="-6"/>
                <w:sz w:val="24"/>
                <w:szCs w:val="24"/>
              </w:rPr>
              <w:t>生物质气化锅炉工艺流程简述：</w:t>
            </w:r>
            <w:r>
              <w:rPr>
                <w:color w:val="000000"/>
                <w:spacing w:val="-6"/>
                <w:sz w:val="24"/>
                <w:szCs w:val="24"/>
              </w:rPr>
              <w:t>外购生物质经输送带输送至生物质气化炉进行生物质气化过程，产生的生物质气经管道输送至配套的燃气锅炉（6t/h），锅炉燃烧产生蒸汽，产生的蒸汽经管道输送至各用热工序。</w:t>
            </w:r>
          </w:p>
          <w:p w14:paraId="734A5222">
            <w:pPr>
              <w:spacing w:line="360" w:lineRule="auto"/>
              <w:ind w:firstLine="458" w:firstLineChars="200"/>
              <w:rPr>
                <w:b/>
                <w:color w:val="000000"/>
                <w:spacing w:val="-6"/>
                <w:sz w:val="24"/>
                <w:szCs w:val="24"/>
              </w:rPr>
            </w:pPr>
            <w:r>
              <w:rPr>
                <w:b/>
                <w:color w:val="000000"/>
                <w:spacing w:val="-6"/>
                <w:sz w:val="24"/>
                <w:szCs w:val="24"/>
              </w:rPr>
              <w:t>软水制备工艺流程</w:t>
            </w:r>
          </w:p>
          <w:p w14:paraId="4C3D8CAB">
            <w:pPr>
              <w:spacing w:line="360" w:lineRule="auto"/>
              <w:ind w:firstLine="456" w:firstLineChars="200"/>
              <w:rPr>
                <w:color w:val="000000"/>
                <w:spacing w:val="-6"/>
                <w:sz w:val="24"/>
                <w:szCs w:val="24"/>
              </w:rPr>
            </w:pPr>
            <w:r>
              <w:rPr>
                <w:color w:val="000000"/>
                <w:spacing w:val="-6"/>
                <w:sz w:val="24"/>
                <w:szCs w:val="24"/>
              </w:rPr>
              <w:t>水源为</w:t>
            </w:r>
            <w:r>
              <w:rPr>
                <w:rFonts w:hint="eastAsia"/>
                <w:color w:val="000000"/>
                <w:spacing w:val="-6"/>
                <w:sz w:val="24"/>
                <w:szCs w:val="24"/>
              </w:rPr>
              <w:t>净化后</w:t>
            </w:r>
            <w:r>
              <w:rPr>
                <w:color w:val="000000"/>
                <w:spacing w:val="-6"/>
                <w:sz w:val="24"/>
                <w:szCs w:val="24"/>
              </w:rPr>
              <w:t>的河水，一般使用 NaCl 为再生剂，采用 Na 离子软化法进行处理，处理后的水不改变原水的 pH 值，不会在锅炉或管路中形成结垢（Na 的溶解度比 Ca\Mg 高）。</w:t>
            </w:r>
          </w:p>
          <w:p w14:paraId="74213F21">
            <w:pPr>
              <w:spacing w:line="360" w:lineRule="auto"/>
              <w:ind w:firstLine="458" w:firstLineChars="200"/>
              <w:rPr>
                <w:b/>
                <w:color w:val="000000"/>
                <w:spacing w:val="-6"/>
                <w:sz w:val="24"/>
                <w:szCs w:val="24"/>
              </w:rPr>
            </w:pPr>
            <w:r>
              <w:rPr>
                <w:b/>
                <w:color w:val="000000"/>
                <w:spacing w:val="-6"/>
                <w:sz w:val="24"/>
                <w:szCs w:val="24"/>
              </w:rPr>
              <w:t>软化原理如下：</w:t>
            </w:r>
          </w:p>
          <w:p w14:paraId="7F8E679D">
            <w:pPr>
              <w:spacing w:line="360" w:lineRule="auto"/>
              <w:ind w:firstLine="456" w:firstLineChars="200"/>
              <w:rPr>
                <w:color w:val="000000"/>
                <w:spacing w:val="-6"/>
                <w:sz w:val="24"/>
                <w:szCs w:val="24"/>
              </w:rPr>
            </w:pPr>
            <w:r>
              <w:rPr>
                <w:color w:val="000000"/>
                <w:spacing w:val="-6"/>
                <w:sz w:val="24"/>
                <w:szCs w:val="24"/>
              </w:rPr>
              <w:t>2NaR+M</w:t>
            </w:r>
            <w:r>
              <w:rPr>
                <w:color w:val="000000"/>
                <w:spacing w:val="-6"/>
                <w:sz w:val="24"/>
                <w:szCs w:val="24"/>
                <w:vertAlign w:val="superscript"/>
              </w:rPr>
              <w:t>2+</w:t>
            </w:r>
            <w:r>
              <w:rPr>
                <w:color w:val="000000"/>
                <w:spacing w:val="-6"/>
                <w:sz w:val="24"/>
                <w:szCs w:val="24"/>
              </w:rPr>
              <w:t>→MR</w:t>
            </w:r>
            <w:r>
              <w:rPr>
                <w:color w:val="000000"/>
                <w:spacing w:val="-6"/>
                <w:sz w:val="24"/>
                <w:szCs w:val="24"/>
                <w:vertAlign w:val="subscript"/>
              </w:rPr>
              <w:t>2</w:t>
            </w:r>
            <w:r>
              <w:rPr>
                <w:color w:val="000000"/>
                <w:spacing w:val="-6"/>
                <w:sz w:val="24"/>
                <w:szCs w:val="24"/>
              </w:rPr>
              <w:t>+2Na</w:t>
            </w:r>
            <w:r>
              <w:rPr>
                <w:color w:val="000000"/>
                <w:spacing w:val="-6"/>
                <w:sz w:val="24"/>
                <w:szCs w:val="24"/>
                <w:vertAlign w:val="superscript"/>
              </w:rPr>
              <w:t>+</w:t>
            </w:r>
            <w:r>
              <w:rPr>
                <w:color w:val="000000"/>
                <w:spacing w:val="-6"/>
                <w:sz w:val="24"/>
                <w:szCs w:val="24"/>
              </w:rPr>
              <w:t>（M为Ca</w:t>
            </w:r>
            <w:r>
              <w:rPr>
                <w:color w:val="000000"/>
                <w:spacing w:val="-6"/>
                <w:sz w:val="24"/>
                <w:szCs w:val="24"/>
                <w:vertAlign w:val="superscript"/>
              </w:rPr>
              <w:t>2+</w:t>
            </w:r>
            <w:r>
              <w:rPr>
                <w:color w:val="000000"/>
                <w:spacing w:val="-6"/>
                <w:sz w:val="24"/>
                <w:szCs w:val="24"/>
              </w:rPr>
              <w:t>或Mg</w:t>
            </w:r>
            <w:r>
              <w:rPr>
                <w:color w:val="000000"/>
                <w:spacing w:val="-6"/>
                <w:sz w:val="24"/>
                <w:szCs w:val="24"/>
                <w:vertAlign w:val="superscript"/>
              </w:rPr>
              <w:t>2+</w:t>
            </w:r>
            <w:r>
              <w:rPr>
                <w:color w:val="000000"/>
                <w:spacing w:val="-6"/>
                <w:sz w:val="24"/>
                <w:szCs w:val="24"/>
              </w:rPr>
              <w:t>）</w:t>
            </w:r>
          </w:p>
          <w:p w14:paraId="6D9C2502">
            <w:pPr>
              <w:spacing w:line="360" w:lineRule="auto"/>
              <w:ind w:firstLine="456" w:firstLineChars="200"/>
              <w:rPr>
                <w:color w:val="000000"/>
                <w:spacing w:val="-6"/>
                <w:sz w:val="24"/>
                <w:szCs w:val="24"/>
              </w:rPr>
            </w:pPr>
            <w:r>
              <w:rPr>
                <w:color w:val="000000"/>
                <w:spacing w:val="-6"/>
                <w:sz w:val="24"/>
                <w:szCs w:val="24"/>
              </w:rPr>
              <w:t>再生过程中先用清水洗涤离子交换树脂，然后通入质量分数为 10%中 NaCl 溶液浸泡而使离子交换树脂吸附的钙、镁离子解吸下来，然后随废液排出。在离子交换过程中，不仅钙、镁离子会被交换，水中含有的铁、锰、铝等金属离子也可同样被交换去除。当硬水先后通过阳、阴离子交换树脂后，水中的电解质阳、阴离子均可被去除。</w:t>
            </w:r>
          </w:p>
          <w:p w14:paraId="1DA5180D">
            <w:pPr>
              <w:spacing w:line="360" w:lineRule="auto"/>
              <w:ind w:firstLine="456" w:firstLineChars="200"/>
              <w:rPr>
                <w:color w:val="000000"/>
                <w:spacing w:val="-6"/>
                <w:sz w:val="24"/>
                <w:szCs w:val="24"/>
              </w:rPr>
            </w:pPr>
            <w:r>
              <w:rPr>
                <w:color w:val="000000"/>
                <w:spacing w:val="-6"/>
                <w:sz w:val="24"/>
                <w:szCs w:val="24"/>
              </w:rPr>
              <w:t>软水制备系统离子交换树脂每年更换一次。</w:t>
            </w:r>
          </w:p>
          <w:p w14:paraId="5C092213">
            <w:pPr>
              <w:spacing w:line="360" w:lineRule="auto"/>
              <w:ind w:firstLine="482" w:firstLineChars="200"/>
              <w:rPr>
                <w:sz w:val="24"/>
                <w:szCs w:val="24"/>
              </w:rPr>
            </w:pPr>
            <w:r>
              <w:rPr>
                <w:b/>
                <w:bCs/>
                <w:sz w:val="24"/>
                <w:szCs w:val="24"/>
              </w:rPr>
              <w:t>生物质气化工艺原理：</w:t>
            </w:r>
            <w:r>
              <w:rPr>
                <w:sz w:val="24"/>
                <w:szCs w:val="24"/>
              </w:rPr>
              <w:t>生物质气化是指将生物质原料送入气化炉中，在欠氧的条件下进行气化裂解，从而得到生物质碳和可燃气体。生物质气化原理是在一定的热力学条件下，借助于气化介质的作用，使生物质的高聚物发生反应，热解伴生的焦油进一步热裂化或催化裂化成为小分子碳氢化合物，获得CO、H</w:t>
            </w:r>
            <w:r>
              <w:rPr>
                <w:sz w:val="24"/>
                <w:szCs w:val="24"/>
                <w:vertAlign w:val="subscript"/>
              </w:rPr>
              <w:t>2</w:t>
            </w:r>
            <w:r>
              <w:rPr>
                <w:sz w:val="24"/>
                <w:szCs w:val="24"/>
              </w:rPr>
              <w:t>和CH</w:t>
            </w:r>
            <w:r>
              <w:rPr>
                <w:sz w:val="24"/>
                <w:szCs w:val="24"/>
                <w:vertAlign w:val="subscript"/>
              </w:rPr>
              <w:t>4</w:t>
            </w:r>
            <w:r>
              <w:rPr>
                <w:sz w:val="24"/>
                <w:szCs w:val="24"/>
              </w:rPr>
              <w:t>等气体。</w:t>
            </w:r>
          </w:p>
          <w:p w14:paraId="514DC4B5">
            <w:pPr>
              <w:spacing w:line="360" w:lineRule="auto"/>
              <w:ind w:firstLine="480" w:firstLineChars="200"/>
              <w:rPr>
                <w:sz w:val="24"/>
                <w:szCs w:val="24"/>
              </w:rPr>
            </w:pPr>
            <w:r>
              <w:rPr>
                <w:sz w:val="24"/>
                <w:szCs w:val="24"/>
              </w:rPr>
              <w:t>气化炉内温度达500</w:t>
            </w:r>
            <w:r>
              <w:rPr>
                <w:rFonts w:hint="eastAsia" w:ascii="宋体" w:hAnsi="宋体" w:cs="宋体"/>
                <w:sz w:val="24"/>
                <w:szCs w:val="24"/>
                <w:lang w:eastAsia="ja-JP"/>
              </w:rPr>
              <w:t>℃</w:t>
            </w:r>
            <w:r>
              <w:rPr>
                <w:sz w:val="24"/>
                <w:szCs w:val="24"/>
              </w:rPr>
              <w:t>以上，且燃气出口温度达 350</w:t>
            </w:r>
            <w:r>
              <w:rPr>
                <w:rFonts w:hint="eastAsia" w:ascii="宋体" w:hAnsi="宋体" w:cs="宋体"/>
                <w:sz w:val="24"/>
                <w:szCs w:val="24"/>
                <w:lang w:eastAsia="ja-JP"/>
              </w:rPr>
              <w:t>℃</w:t>
            </w:r>
            <w:r>
              <w:rPr>
                <w:sz w:val="24"/>
                <w:szCs w:val="24"/>
              </w:rPr>
              <w:t>，由于温度降低到较低温度时，气体中会产生焦油、木质素，焦油和木质素均属于危险废物，本项目在整个气化过程及输送过程中不进行降温措施，且在气化炉一侧布置燃气锅炉，管道输送距离短，气体在输送过程中的最低温度可达到 100</w:t>
            </w:r>
            <w:r>
              <w:rPr>
                <w:rFonts w:hint="eastAsia" w:ascii="宋体" w:hAnsi="宋体" w:cs="宋体"/>
                <w:sz w:val="24"/>
                <w:szCs w:val="24"/>
                <w:lang w:eastAsia="ja-JP"/>
              </w:rPr>
              <w:t>℃</w:t>
            </w:r>
            <w:r>
              <w:rPr>
                <w:sz w:val="24"/>
                <w:szCs w:val="24"/>
              </w:rPr>
              <w:t>以上，焦油和木质素会以气态形式全部进入燃烧装置充分燃烧，故不会产生废弃焦油和木质素。</w:t>
            </w:r>
          </w:p>
          <w:p w14:paraId="2A50B5A3">
            <w:pPr>
              <w:spacing w:line="360" w:lineRule="auto"/>
              <w:ind w:firstLine="480" w:firstLineChars="200"/>
              <w:rPr>
                <w:sz w:val="24"/>
                <w:szCs w:val="24"/>
              </w:rPr>
            </w:pPr>
            <w:r>
              <w:rPr>
                <w:sz w:val="24"/>
                <w:szCs w:val="24"/>
              </w:rPr>
              <w:t>生物质由纤维素、半纤维素、木质素、惰性灰等组成，含氧量和挥发份高，焦炭的活化性强，因此生物质与煤相比，具有更高的气化活性，更适合气化。生物质气化主要包括气化反应、合成气催化变换和气体分离净化过程（直接燃用的不用分离净化）。生物质气化原料进入生物质气化炉后，在一定的热力学环境下依次进行干燥、热裂解、氧化、还原等物理化学反应，产生一氧化碳、氢气、甲烷等成分的可燃气体。</w:t>
            </w:r>
          </w:p>
          <w:p w14:paraId="2A2652FD">
            <w:pPr>
              <w:spacing w:line="360" w:lineRule="auto"/>
              <w:ind w:firstLine="480" w:firstLineChars="200"/>
              <w:rPr>
                <w:sz w:val="24"/>
                <w:szCs w:val="24"/>
              </w:rPr>
            </w:pPr>
          </w:p>
          <w:p w14:paraId="1A781B4B">
            <w:pPr>
              <w:spacing w:line="360" w:lineRule="auto"/>
              <w:ind w:firstLine="480" w:firstLineChars="200"/>
              <w:rPr>
                <w:sz w:val="24"/>
                <w:szCs w:val="24"/>
              </w:rPr>
            </w:pPr>
          </w:p>
          <w:p w14:paraId="7189E0CB">
            <w:pPr>
              <w:spacing w:line="360" w:lineRule="auto"/>
              <w:ind w:firstLine="480" w:firstLineChars="200"/>
              <w:rPr>
                <w:sz w:val="24"/>
                <w:szCs w:val="24"/>
              </w:rPr>
            </w:pPr>
          </w:p>
          <w:p w14:paraId="22056622">
            <w:pPr>
              <w:spacing w:line="360" w:lineRule="auto"/>
              <w:ind w:firstLine="480" w:firstLineChars="200"/>
              <w:rPr>
                <w:sz w:val="24"/>
                <w:szCs w:val="24"/>
              </w:rPr>
            </w:pPr>
          </w:p>
          <w:p w14:paraId="59786D08">
            <w:pPr>
              <w:spacing w:line="360" w:lineRule="auto"/>
              <w:ind w:firstLine="480" w:firstLineChars="200"/>
              <w:rPr>
                <w:sz w:val="24"/>
                <w:szCs w:val="24"/>
              </w:rPr>
            </w:pPr>
          </w:p>
          <w:p w14:paraId="083ADB6A">
            <w:pPr>
              <w:spacing w:line="360" w:lineRule="auto"/>
              <w:ind w:firstLine="480" w:firstLineChars="200"/>
              <w:rPr>
                <w:sz w:val="24"/>
                <w:szCs w:val="24"/>
              </w:rPr>
            </w:pPr>
          </w:p>
          <w:p w14:paraId="4E93199B">
            <w:pPr>
              <w:spacing w:line="360" w:lineRule="auto"/>
              <w:ind w:firstLine="480" w:firstLineChars="200"/>
              <w:rPr>
                <w:sz w:val="24"/>
                <w:szCs w:val="24"/>
              </w:rPr>
            </w:pPr>
          </w:p>
          <w:p w14:paraId="52B087B0">
            <w:pPr>
              <w:spacing w:line="360" w:lineRule="auto"/>
              <w:ind w:firstLine="420" w:firstLineChars="200"/>
              <w:jc w:val="center"/>
            </w:pPr>
            <w:r>
              <w:object>
                <v:shape id="_x0000_i1026" o:spt="75" type="#_x0000_t75" style="height:605.9pt;width:396.45pt;" o:ole="t" filled="f" o:preferrelative="t" stroked="f" coordsize="21600,21600">
                  <v:path/>
                  <v:fill on="f" focussize="0,0"/>
                  <v:stroke on="f" joinstyle="miter"/>
                  <v:imagedata r:id="rId11" o:title=""/>
                  <o:lock v:ext="edit" aspectratio="f"/>
                  <w10:wrap type="none"/>
                  <w10:anchorlock/>
                </v:shape>
                <o:OLEObject Type="Embed" ProgID="Visio.Drawing.15" ShapeID="_x0000_i1026" DrawAspect="Content" ObjectID="_1468075726" r:id="rId10">
                  <o:LockedField>false</o:LockedField>
                </o:OLEObject>
              </w:object>
            </w:r>
          </w:p>
          <w:p w14:paraId="22B474A9">
            <w:pPr>
              <w:spacing w:line="360" w:lineRule="auto"/>
              <w:ind w:firstLine="482" w:firstLineChars="200"/>
              <w:jc w:val="center"/>
              <w:rPr>
                <w:b/>
                <w:sz w:val="24"/>
                <w:szCs w:val="24"/>
              </w:rPr>
            </w:pPr>
            <w:r>
              <w:rPr>
                <w:b/>
                <w:sz w:val="24"/>
                <w:szCs w:val="24"/>
              </w:rPr>
              <w:t>图2-4  爆胶猪蹄（380g规格）工艺流程及产排污环节图</w:t>
            </w:r>
          </w:p>
          <w:p w14:paraId="064E1044">
            <w:pPr>
              <w:spacing w:line="360" w:lineRule="auto"/>
              <w:ind w:firstLine="482" w:firstLineChars="200"/>
              <w:rPr>
                <w:b/>
                <w:sz w:val="24"/>
                <w:szCs w:val="24"/>
              </w:rPr>
            </w:pPr>
            <w:r>
              <w:rPr>
                <w:b/>
                <w:sz w:val="24"/>
                <w:szCs w:val="24"/>
              </w:rPr>
              <w:t>爆胶猪蹄（380g规格）工艺流程简述：</w:t>
            </w:r>
          </w:p>
          <w:p w14:paraId="5AFDA92A">
            <w:pPr>
              <w:spacing w:line="360" w:lineRule="auto"/>
              <w:ind w:firstLine="480" w:firstLineChars="200"/>
              <w:rPr>
                <w:szCs w:val="21"/>
              </w:rPr>
            </w:pPr>
            <w:r>
              <w:rPr>
                <w:sz w:val="24"/>
                <w:szCs w:val="24"/>
              </w:rPr>
              <w:t>（1）原料检验：外购的猪蹄原料，由人工质检严格选优去劣，剔除有问题的猪蹄原料，该工序会产生不合格产品、废边角料S3。</w:t>
            </w:r>
          </w:p>
          <w:p w14:paraId="499C867C">
            <w:pPr>
              <w:spacing w:line="360" w:lineRule="auto"/>
              <w:ind w:firstLine="480" w:firstLineChars="200"/>
              <w:rPr>
                <w:sz w:val="24"/>
                <w:szCs w:val="24"/>
              </w:rPr>
            </w:pPr>
            <w:r>
              <w:rPr>
                <w:sz w:val="24"/>
                <w:szCs w:val="24"/>
              </w:rPr>
              <w:t>（2）拆包：经人工质检合格后的原料，将拆除原料包装，该工序会产生废包装材料S4。</w:t>
            </w:r>
          </w:p>
          <w:p w14:paraId="391C600D">
            <w:pPr>
              <w:spacing w:line="360" w:lineRule="auto"/>
              <w:ind w:firstLine="480" w:firstLineChars="200"/>
              <w:rPr>
                <w:sz w:val="24"/>
                <w:szCs w:val="24"/>
              </w:rPr>
            </w:pPr>
            <w:r>
              <w:rPr>
                <w:sz w:val="24"/>
                <w:szCs w:val="24"/>
              </w:rPr>
              <w:t>（3）解冻：猪蹄进入解冻区，加水解冻清洗。该工序会产生解冻废水W2。</w:t>
            </w:r>
          </w:p>
          <w:p w14:paraId="41738390">
            <w:pPr>
              <w:adjustRightInd w:val="0"/>
              <w:spacing w:line="360" w:lineRule="auto"/>
              <w:ind w:firstLine="480" w:firstLineChars="200"/>
              <w:rPr>
                <w:sz w:val="24"/>
                <w:szCs w:val="24"/>
              </w:rPr>
            </w:pPr>
            <w:r>
              <w:rPr>
                <w:sz w:val="24"/>
                <w:szCs w:val="24"/>
              </w:rPr>
              <w:t>（4）烧毛、烙毛：部分解冻后的猪蹄表面带有毛发，需要经烧毛、烙毛工序去除表面的毛发，该工序以天然气为燃料，会产生天然气燃烧废气G2。</w:t>
            </w:r>
          </w:p>
          <w:p w14:paraId="758292A9">
            <w:pPr>
              <w:spacing w:line="360" w:lineRule="auto"/>
              <w:ind w:firstLine="480" w:firstLineChars="200"/>
              <w:rPr>
                <w:sz w:val="24"/>
                <w:szCs w:val="24"/>
              </w:rPr>
            </w:pPr>
            <w:r>
              <w:rPr>
                <w:sz w:val="24"/>
                <w:szCs w:val="24"/>
              </w:rPr>
              <w:t>（5）清洗：经烧毛、烙毛工序后的猪蹄，需要进行清洗，该工序产生清洗废水W3。</w:t>
            </w:r>
          </w:p>
          <w:p w14:paraId="5DFCE639">
            <w:pPr>
              <w:spacing w:line="360" w:lineRule="auto"/>
              <w:ind w:firstLine="480" w:firstLineChars="200"/>
              <w:rPr>
                <w:sz w:val="24"/>
                <w:szCs w:val="24"/>
              </w:rPr>
            </w:pPr>
            <w:r>
              <w:rPr>
                <w:sz w:val="24"/>
                <w:szCs w:val="24"/>
              </w:rPr>
              <w:t>（6）表面处理：对猪蹄缝隙及指甲进行修剪，该工序产生废边角料S3。</w:t>
            </w:r>
          </w:p>
          <w:p w14:paraId="321F5348">
            <w:pPr>
              <w:spacing w:line="360" w:lineRule="auto"/>
              <w:ind w:firstLine="480" w:firstLineChars="200"/>
              <w:rPr>
                <w:sz w:val="24"/>
                <w:szCs w:val="24"/>
              </w:rPr>
            </w:pPr>
            <w:r>
              <w:rPr>
                <w:sz w:val="24"/>
                <w:szCs w:val="24"/>
              </w:rPr>
              <w:t>（7）清洗：经表面处理后的猪蹄需用水对其表面进行清洗，该工序产生清洗废水W3。</w:t>
            </w:r>
          </w:p>
          <w:p w14:paraId="600B7C4C">
            <w:pPr>
              <w:spacing w:line="360" w:lineRule="auto"/>
              <w:ind w:firstLine="480" w:firstLineChars="200"/>
              <w:rPr>
                <w:sz w:val="24"/>
                <w:szCs w:val="24"/>
              </w:rPr>
            </w:pPr>
            <w:r>
              <w:rPr>
                <w:sz w:val="24"/>
                <w:szCs w:val="24"/>
              </w:rPr>
              <w:t>（8）切割：清洗完成后的猪蹄用分切机进行分切。该工序会产生边角料S3和设备噪声N。</w:t>
            </w:r>
          </w:p>
          <w:p w14:paraId="3F194D1B">
            <w:pPr>
              <w:spacing w:line="360" w:lineRule="auto"/>
              <w:ind w:firstLine="480" w:firstLineChars="200"/>
              <w:rPr>
                <w:sz w:val="24"/>
                <w:szCs w:val="24"/>
              </w:rPr>
            </w:pPr>
            <w:r>
              <w:rPr>
                <w:sz w:val="24"/>
                <w:szCs w:val="24"/>
              </w:rPr>
              <w:t>（9）滚揉腌制：切割后的猪蹄块添加调味料在腌制池内进行腌制，腌制时间为30min~5h。</w:t>
            </w:r>
          </w:p>
          <w:p w14:paraId="0D48D87B">
            <w:pPr>
              <w:spacing w:line="360" w:lineRule="auto"/>
              <w:ind w:firstLine="480" w:firstLineChars="200"/>
              <w:rPr>
                <w:sz w:val="24"/>
                <w:szCs w:val="24"/>
                <w:u w:val="single"/>
              </w:rPr>
            </w:pPr>
            <w:r>
              <w:rPr>
                <w:sz w:val="24"/>
                <w:szCs w:val="24"/>
                <w:u w:val="single"/>
              </w:rPr>
              <w:t>（10）焯水：将腌制后的原料放在焯水锅中加热至半熟或全熟，取出以备进一步烹调或调味，该工序会产生肉类焯水废水W4及蒸汽冷凝水W5。焯水废水含盐量较高，主要通过污水处理施中其他生产废水进行稀释，从而降低生产废水中的含盐浓度。</w:t>
            </w:r>
          </w:p>
          <w:p w14:paraId="01536E11">
            <w:pPr>
              <w:spacing w:line="360" w:lineRule="auto"/>
              <w:ind w:firstLine="480" w:firstLineChars="200"/>
              <w:rPr>
                <w:sz w:val="24"/>
                <w:szCs w:val="24"/>
              </w:rPr>
            </w:pPr>
            <w:r>
              <w:rPr>
                <w:sz w:val="24"/>
                <w:szCs w:val="24"/>
              </w:rPr>
              <w:t>（11）卤制：卤汁熬制过程为将各类卤料按一定比例加入调味料进行熬煮成卤汁。猪蹄原料由输送线送至卤制区，用中火卤制约1小时左右，关火，并将原料在卤汁中浸泡一段时间使其入味。卤制过程在蒸汽夹层锅中进行，以热蒸汽为热源。卤制过程中，卤汁时间越长越好，一般不更换。该工序将产生卤渣S5、卤制异味G3及蒸汽冷凝水W5。</w:t>
            </w:r>
          </w:p>
          <w:p w14:paraId="735A403E">
            <w:pPr>
              <w:adjustRightInd w:val="0"/>
              <w:spacing w:line="360" w:lineRule="auto"/>
              <w:ind w:firstLine="480" w:firstLineChars="200"/>
              <w:rPr>
                <w:sz w:val="24"/>
                <w:szCs w:val="24"/>
              </w:rPr>
            </w:pPr>
            <w:r>
              <w:rPr>
                <w:sz w:val="24"/>
                <w:szCs w:val="24"/>
              </w:rPr>
              <w:t>（12）摊凉：将卤制好的半成品将烘干的半成品摊凉冷却，此工序产生的主要污染物为G3车间异味。</w:t>
            </w:r>
          </w:p>
          <w:p w14:paraId="3D778E7E">
            <w:pPr>
              <w:spacing w:line="360" w:lineRule="auto"/>
              <w:ind w:firstLine="480" w:firstLineChars="200"/>
              <w:rPr>
                <w:sz w:val="24"/>
                <w:szCs w:val="24"/>
              </w:rPr>
            </w:pPr>
            <w:r>
              <w:rPr>
                <w:sz w:val="24"/>
                <w:szCs w:val="24"/>
              </w:rPr>
              <w:t>（13）拌料：将冷却好的产品，加入红油、大豆油，再用调配好的拌料，此工序产生的主要污染物为G3车间异味及设备噪声N。</w:t>
            </w:r>
          </w:p>
          <w:p w14:paraId="09BA9EC8">
            <w:pPr>
              <w:spacing w:line="360" w:lineRule="auto"/>
              <w:ind w:firstLine="456" w:firstLineChars="200"/>
              <w:rPr>
                <w:spacing w:val="-6"/>
                <w:sz w:val="24"/>
                <w:szCs w:val="24"/>
              </w:rPr>
            </w:pPr>
            <w:r>
              <w:rPr>
                <w:spacing w:val="-6"/>
                <w:sz w:val="24"/>
                <w:szCs w:val="24"/>
              </w:rPr>
              <w:t>（14）内袋杀菌：</w:t>
            </w:r>
            <w:r>
              <w:rPr>
                <w:sz w:val="24"/>
                <w:szCs w:val="24"/>
              </w:rPr>
              <w:t>采用蒸汽对内包装进行高温消毒处理，该工序会产生N设备噪声和杀菌冷凝水W5。杀菌后产品自然冷却（约30min）至室温。</w:t>
            </w:r>
          </w:p>
          <w:p w14:paraId="67A4163C">
            <w:pPr>
              <w:spacing w:line="360" w:lineRule="auto"/>
              <w:ind w:firstLine="456" w:firstLineChars="200"/>
              <w:rPr>
                <w:spacing w:val="-6"/>
                <w:sz w:val="24"/>
                <w:szCs w:val="24"/>
              </w:rPr>
            </w:pPr>
            <w:r>
              <w:rPr>
                <w:spacing w:val="-6"/>
                <w:sz w:val="24"/>
                <w:szCs w:val="24"/>
              </w:rPr>
              <w:t>（15）加汤：</w:t>
            </w:r>
            <w:r>
              <w:rPr>
                <w:sz w:val="24"/>
                <w:szCs w:val="24"/>
              </w:rPr>
              <w:t>内袋杀菌后，将筒子骨汤和水按比例熬制的汤料加入内袋中，汤料熬制使用蒸汽加热，该工序会产生蒸汽冷凝水W5及车间异味G3。</w:t>
            </w:r>
          </w:p>
          <w:p w14:paraId="6469EBA2">
            <w:pPr>
              <w:spacing w:line="360" w:lineRule="auto"/>
              <w:ind w:firstLine="456" w:firstLineChars="200"/>
              <w:rPr>
                <w:spacing w:val="-6"/>
                <w:sz w:val="24"/>
                <w:szCs w:val="24"/>
              </w:rPr>
            </w:pPr>
            <w:r>
              <w:rPr>
                <w:spacing w:val="-6"/>
                <w:sz w:val="24"/>
                <w:szCs w:val="24"/>
              </w:rPr>
              <w:t>（16）</w:t>
            </w:r>
            <w:r>
              <w:rPr>
                <w:sz w:val="24"/>
                <w:szCs w:val="24"/>
              </w:rPr>
              <w:t>真空内包装：将加工过的产品进行袋装，并采用真空封口。</w:t>
            </w:r>
            <w:r>
              <w:rPr>
                <w:spacing w:val="-6"/>
                <w:sz w:val="24"/>
                <w:szCs w:val="24"/>
              </w:rPr>
              <w:t>该工序会产生S4废包装材料和N设备噪声。</w:t>
            </w:r>
          </w:p>
          <w:p w14:paraId="3E0A6442">
            <w:pPr>
              <w:spacing w:line="360" w:lineRule="auto"/>
              <w:ind w:firstLine="480" w:firstLineChars="200"/>
              <w:rPr>
                <w:sz w:val="24"/>
                <w:szCs w:val="24"/>
              </w:rPr>
            </w:pPr>
            <w:r>
              <w:rPr>
                <w:sz w:val="24"/>
                <w:szCs w:val="24"/>
              </w:rPr>
              <w:t>（17）杀菌：采用蒸汽对产品进行高温消毒处理。包装好的产品放入杀菌机中进行灭菌，灭菌温度为85</w:t>
            </w:r>
            <w:r>
              <w:rPr>
                <w:rFonts w:hint="eastAsia" w:ascii="宋体" w:hAnsi="宋体" w:cs="宋体"/>
                <w:sz w:val="24"/>
                <w:szCs w:val="24"/>
                <w:lang w:eastAsia="ja-JP"/>
              </w:rPr>
              <w:t>℃</w:t>
            </w:r>
            <w:r>
              <w:rPr>
                <w:sz w:val="24"/>
                <w:szCs w:val="24"/>
              </w:rPr>
              <w:t>，灭菌时间为30min。该工序会产生N设备噪声和杀菌冷凝水W</w:t>
            </w:r>
            <w:r>
              <w:rPr>
                <w:rFonts w:hint="eastAsia"/>
                <w:sz w:val="24"/>
                <w:szCs w:val="24"/>
              </w:rPr>
              <w:t>5</w:t>
            </w:r>
            <w:r>
              <w:rPr>
                <w:sz w:val="24"/>
                <w:szCs w:val="24"/>
              </w:rPr>
              <w:t>。杀菌后产品自然冷却（约30min）至室温。</w:t>
            </w:r>
          </w:p>
          <w:p w14:paraId="38B667C4">
            <w:pPr>
              <w:spacing w:line="360" w:lineRule="auto"/>
              <w:ind w:firstLine="456" w:firstLineChars="200"/>
              <w:rPr>
                <w:spacing w:val="-6"/>
                <w:sz w:val="24"/>
                <w:szCs w:val="24"/>
              </w:rPr>
            </w:pPr>
            <w:r>
              <w:rPr>
                <w:spacing w:val="-6"/>
                <w:sz w:val="24"/>
                <w:szCs w:val="24"/>
              </w:rPr>
              <w:t>（18）洗袋烘干：杀菌后对包装袋再次进行清洗和烘干，烘干采用蒸汽间接烘干。该环节产生洗袋废水W</w:t>
            </w:r>
            <w:r>
              <w:rPr>
                <w:rFonts w:hint="eastAsia"/>
                <w:spacing w:val="-6"/>
                <w:sz w:val="24"/>
                <w:szCs w:val="24"/>
              </w:rPr>
              <w:t>6</w:t>
            </w:r>
            <w:r>
              <w:rPr>
                <w:spacing w:val="-6"/>
                <w:sz w:val="24"/>
                <w:szCs w:val="24"/>
              </w:rPr>
              <w:t>、S3不合格产品、蒸汽冷凝水W5及设备噪声N。</w:t>
            </w:r>
          </w:p>
          <w:p w14:paraId="5E5FD537">
            <w:pPr>
              <w:spacing w:line="360" w:lineRule="auto"/>
              <w:ind w:firstLine="480" w:firstLineChars="200"/>
              <w:rPr>
                <w:sz w:val="24"/>
                <w:szCs w:val="24"/>
              </w:rPr>
            </w:pPr>
            <w:r>
              <w:rPr>
                <w:sz w:val="24"/>
                <w:szCs w:val="24"/>
              </w:rPr>
              <w:t>（19）静置冷却：将洗袋烘干后的产品进行自然冷却。此过程产生异味</w:t>
            </w:r>
            <w:r>
              <w:rPr>
                <w:spacing w:val="-6"/>
                <w:sz w:val="24"/>
                <w:szCs w:val="24"/>
              </w:rPr>
              <w:t>。此过程产生异味</w:t>
            </w:r>
            <w:r>
              <w:rPr>
                <w:sz w:val="24"/>
                <w:szCs w:val="24"/>
              </w:rPr>
              <w:t>。</w:t>
            </w:r>
          </w:p>
          <w:p w14:paraId="37209887">
            <w:pPr>
              <w:adjustRightInd w:val="0"/>
              <w:spacing w:line="360" w:lineRule="auto"/>
              <w:ind w:firstLine="480" w:firstLineChars="200"/>
              <w:rPr>
                <w:sz w:val="24"/>
                <w:szCs w:val="24"/>
              </w:rPr>
            </w:pPr>
            <w:r>
              <w:rPr>
                <w:sz w:val="24"/>
                <w:szCs w:val="24"/>
              </w:rPr>
              <w:t>（20）检验：最后对产品进行检查，成品经人工质检后，入库储存。该工序会产生S不合格产品。</w:t>
            </w:r>
          </w:p>
          <w:p w14:paraId="1B342403">
            <w:pPr>
              <w:adjustRightInd w:val="0"/>
              <w:spacing w:line="360" w:lineRule="auto"/>
              <w:ind w:firstLine="480" w:firstLineChars="200"/>
              <w:rPr>
                <w:sz w:val="24"/>
                <w:szCs w:val="24"/>
              </w:rPr>
            </w:pPr>
            <w:r>
              <w:rPr>
                <w:sz w:val="24"/>
                <w:szCs w:val="24"/>
              </w:rPr>
              <w:t>（21）产品入库：成品经人工质检合格后，入常温库储存。</w:t>
            </w:r>
          </w:p>
          <w:p w14:paraId="1BCC27E6">
            <w:pPr>
              <w:adjustRightInd w:val="0"/>
              <w:spacing w:line="360" w:lineRule="auto"/>
              <w:ind w:firstLine="480" w:firstLineChars="200"/>
              <w:rPr>
                <w:sz w:val="24"/>
                <w:szCs w:val="24"/>
              </w:rPr>
            </w:pPr>
          </w:p>
          <w:p w14:paraId="1B76CD08">
            <w:pPr>
              <w:adjustRightInd w:val="0"/>
              <w:spacing w:line="360" w:lineRule="auto"/>
              <w:ind w:firstLine="480" w:firstLineChars="200"/>
              <w:rPr>
                <w:sz w:val="24"/>
                <w:szCs w:val="24"/>
              </w:rPr>
            </w:pPr>
          </w:p>
          <w:p w14:paraId="17B5DDF8">
            <w:pPr>
              <w:adjustRightInd w:val="0"/>
              <w:spacing w:line="360" w:lineRule="auto"/>
              <w:ind w:firstLine="480" w:firstLineChars="200"/>
              <w:rPr>
                <w:sz w:val="24"/>
                <w:szCs w:val="24"/>
              </w:rPr>
            </w:pPr>
          </w:p>
          <w:p w14:paraId="307D0924">
            <w:pPr>
              <w:adjustRightInd w:val="0"/>
              <w:spacing w:line="360" w:lineRule="auto"/>
              <w:ind w:firstLine="480" w:firstLineChars="200"/>
              <w:rPr>
                <w:sz w:val="24"/>
                <w:szCs w:val="24"/>
              </w:rPr>
            </w:pPr>
          </w:p>
          <w:p w14:paraId="785CE67F">
            <w:pPr>
              <w:adjustRightInd w:val="0"/>
              <w:spacing w:line="360" w:lineRule="auto"/>
              <w:ind w:firstLine="480" w:firstLineChars="200"/>
              <w:rPr>
                <w:sz w:val="24"/>
                <w:szCs w:val="24"/>
              </w:rPr>
            </w:pPr>
          </w:p>
          <w:p w14:paraId="526104F1">
            <w:pPr>
              <w:adjustRightInd w:val="0"/>
              <w:spacing w:line="360" w:lineRule="auto"/>
              <w:ind w:firstLine="480" w:firstLineChars="200"/>
              <w:rPr>
                <w:sz w:val="24"/>
                <w:szCs w:val="24"/>
              </w:rPr>
            </w:pPr>
          </w:p>
          <w:p w14:paraId="4A091B4A">
            <w:pPr>
              <w:adjustRightInd w:val="0"/>
              <w:spacing w:line="360" w:lineRule="auto"/>
              <w:ind w:firstLine="480" w:firstLineChars="200"/>
              <w:rPr>
                <w:sz w:val="24"/>
                <w:szCs w:val="24"/>
              </w:rPr>
            </w:pPr>
          </w:p>
          <w:p w14:paraId="42A35FB3">
            <w:pPr>
              <w:adjustRightInd w:val="0"/>
              <w:spacing w:line="360" w:lineRule="auto"/>
              <w:ind w:firstLine="480" w:firstLineChars="200"/>
              <w:rPr>
                <w:sz w:val="24"/>
                <w:szCs w:val="24"/>
              </w:rPr>
            </w:pPr>
          </w:p>
          <w:p w14:paraId="32EFACB2">
            <w:pPr>
              <w:adjustRightInd w:val="0"/>
              <w:spacing w:line="360" w:lineRule="auto"/>
              <w:ind w:firstLine="480" w:firstLineChars="200"/>
              <w:rPr>
                <w:sz w:val="24"/>
                <w:szCs w:val="24"/>
              </w:rPr>
            </w:pPr>
          </w:p>
          <w:p w14:paraId="201FDFE7">
            <w:pPr>
              <w:adjustRightInd w:val="0"/>
              <w:spacing w:line="360" w:lineRule="auto"/>
              <w:ind w:firstLine="480" w:firstLineChars="200"/>
              <w:rPr>
                <w:sz w:val="24"/>
                <w:szCs w:val="24"/>
              </w:rPr>
            </w:pPr>
          </w:p>
          <w:p w14:paraId="7009DCB7">
            <w:pPr>
              <w:adjustRightInd w:val="0"/>
              <w:spacing w:line="360" w:lineRule="auto"/>
              <w:ind w:firstLine="480" w:firstLineChars="200"/>
              <w:rPr>
                <w:sz w:val="24"/>
                <w:szCs w:val="24"/>
              </w:rPr>
            </w:pPr>
          </w:p>
          <w:p w14:paraId="682D3DAF">
            <w:pPr>
              <w:adjustRightInd w:val="0"/>
              <w:spacing w:line="360" w:lineRule="auto"/>
              <w:ind w:firstLine="480" w:firstLineChars="200"/>
              <w:rPr>
                <w:sz w:val="24"/>
                <w:szCs w:val="24"/>
              </w:rPr>
            </w:pPr>
          </w:p>
          <w:p w14:paraId="53E14927">
            <w:pPr>
              <w:spacing w:line="360" w:lineRule="auto"/>
              <w:jc w:val="center"/>
            </w:pPr>
            <w:r>
              <w:object>
                <v:shape id="_x0000_i1027" o:spt="75" type="#_x0000_t75" style="height:628.35pt;width:317.9pt;" o:ole="t" filled="f" o:preferrelative="t" stroked="f" coordsize="21600,21600">
                  <v:path/>
                  <v:fill on="f" focussize="0,0"/>
                  <v:stroke on="f" joinstyle="miter"/>
                  <v:imagedata r:id="rId13" o:title=""/>
                  <o:lock v:ext="edit" aspectratio="f"/>
                  <w10:wrap type="none"/>
                  <w10:anchorlock/>
                </v:shape>
                <o:OLEObject Type="Embed" ProgID="Visio.Drawing.15" ShapeID="_x0000_i1027" DrawAspect="Content" ObjectID="_1468075727" r:id="rId12">
                  <o:LockedField>false</o:LockedField>
                </o:OLEObject>
              </w:object>
            </w:r>
          </w:p>
          <w:p w14:paraId="7614D9BA">
            <w:pPr>
              <w:spacing w:line="360" w:lineRule="auto"/>
              <w:jc w:val="center"/>
              <w:rPr>
                <w:b/>
                <w:sz w:val="24"/>
                <w:szCs w:val="24"/>
              </w:rPr>
            </w:pPr>
            <w:r>
              <w:rPr>
                <w:b/>
                <w:sz w:val="24"/>
                <w:szCs w:val="24"/>
              </w:rPr>
              <w:t>图2-5  爆胶猪蹄（150g规格）及猪蹄火锅工艺流程及产排污环节图</w:t>
            </w:r>
          </w:p>
          <w:p w14:paraId="6C5F6570">
            <w:pPr>
              <w:spacing w:line="360" w:lineRule="auto"/>
              <w:ind w:firstLine="482" w:firstLineChars="200"/>
              <w:rPr>
                <w:b/>
                <w:sz w:val="24"/>
                <w:szCs w:val="24"/>
              </w:rPr>
            </w:pPr>
            <w:r>
              <w:rPr>
                <w:b/>
                <w:sz w:val="24"/>
                <w:szCs w:val="24"/>
              </w:rPr>
              <w:t>爆胶猪蹄（150g规格）及猪蹄火锅工艺流程简述：</w:t>
            </w:r>
          </w:p>
          <w:p w14:paraId="1E600842">
            <w:pPr>
              <w:spacing w:line="360" w:lineRule="auto"/>
              <w:ind w:firstLine="480" w:firstLineChars="200"/>
              <w:rPr>
                <w:szCs w:val="21"/>
              </w:rPr>
            </w:pPr>
            <w:r>
              <w:rPr>
                <w:sz w:val="24"/>
                <w:szCs w:val="24"/>
              </w:rPr>
              <w:t>（1）原料检验：外购的猪蹄原料，由人工质检严格选优去劣，剔除有问题的猪蹄原料，该工序会产生不合格产品、废边角料S3。</w:t>
            </w:r>
          </w:p>
          <w:p w14:paraId="4F6A782F">
            <w:pPr>
              <w:spacing w:line="360" w:lineRule="auto"/>
              <w:ind w:firstLine="480" w:firstLineChars="200"/>
              <w:rPr>
                <w:sz w:val="24"/>
                <w:szCs w:val="24"/>
              </w:rPr>
            </w:pPr>
            <w:r>
              <w:rPr>
                <w:sz w:val="24"/>
                <w:szCs w:val="24"/>
              </w:rPr>
              <w:t>（2）拆包：经人工质检合格后的原料，将拆除原料包装，该工序会产生废包装材料S4。</w:t>
            </w:r>
          </w:p>
          <w:p w14:paraId="5AE4C823">
            <w:pPr>
              <w:spacing w:line="360" w:lineRule="auto"/>
              <w:ind w:firstLine="480" w:firstLineChars="200"/>
              <w:rPr>
                <w:sz w:val="24"/>
                <w:szCs w:val="24"/>
              </w:rPr>
            </w:pPr>
            <w:r>
              <w:rPr>
                <w:sz w:val="24"/>
                <w:szCs w:val="24"/>
              </w:rPr>
              <w:t>（3）解冻：猪蹄进入解冻区，加水解冻清洗。该工序会产生解冻废水W2。</w:t>
            </w:r>
          </w:p>
          <w:p w14:paraId="758E1AF6">
            <w:pPr>
              <w:adjustRightInd w:val="0"/>
              <w:spacing w:line="360" w:lineRule="auto"/>
              <w:ind w:firstLine="480" w:firstLineChars="200"/>
              <w:rPr>
                <w:sz w:val="24"/>
                <w:szCs w:val="24"/>
              </w:rPr>
            </w:pPr>
            <w:r>
              <w:rPr>
                <w:sz w:val="24"/>
                <w:szCs w:val="24"/>
              </w:rPr>
              <w:t>（4）烧毛、烙毛：部分解冻后的猪蹄表面带有毛发，需要经烧毛、烙毛工序去除表面的毛发，该工序以天然气为燃料，会产生天然气燃烧废气G2。</w:t>
            </w:r>
          </w:p>
          <w:p w14:paraId="58CA77E4">
            <w:pPr>
              <w:spacing w:line="360" w:lineRule="auto"/>
              <w:ind w:firstLine="480" w:firstLineChars="200"/>
              <w:rPr>
                <w:sz w:val="24"/>
                <w:szCs w:val="24"/>
              </w:rPr>
            </w:pPr>
            <w:r>
              <w:rPr>
                <w:sz w:val="24"/>
                <w:szCs w:val="24"/>
              </w:rPr>
              <w:t>（5）清洗：经烧毛、烙毛工序后的猪蹄，需要进行清洗，该工序产生清洗废水W3。</w:t>
            </w:r>
          </w:p>
          <w:p w14:paraId="2B597082">
            <w:pPr>
              <w:spacing w:line="360" w:lineRule="auto"/>
              <w:ind w:firstLine="480" w:firstLineChars="200"/>
              <w:rPr>
                <w:sz w:val="24"/>
                <w:szCs w:val="24"/>
              </w:rPr>
            </w:pPr>
            <w:r>
              <w:rPr>
                <w:sz w:val="24"/>
                <w:szCs w:val="24"/>
              </w:rPr>
              <w:t>（6）表面处理：对猪蹄缝隙及指甲进行修剪，该工序产生废边角料S3。</w:t>
            </w:r>
          </w:p>
          <w:p w14:paraId="2231F6DF">
            <w:pPr>
              <w:spacing w:line="360" w:lineRule="auto"/>
              <w:ind w:firstLine="480" w:firstLineChars="200"/>
              <w:rPr>
                <w:sz w:val="24"/>
                <w:szCs w:val="24"/>
              </w:rPr>
            </w:pPr>
            <w:r>
              <w:rPr>
                <w:sz w:val="24"/>
                <w:szCs w:val="24"/>
              </w:rPr>
              <w:t>（7）清洗：经表面处理后的猪蹄需用水对其表面进行清洗，该工序产生清洗废水W3。</w:t>
            </w:r>
          </w:p>
          <w:p w14:paraId="70609C7D">
            <w:pPr>
              <w:spacing w:line="360" w:lineRule="auto"/>
              <w:ind w:firstLine="480" w:firstLineChars="200"/>
              <w:rPr>
                <w:sz w:val="24"/>
                <w:szCs w:val="24"/>
              </w:rPr>
            </w:pPr>
            <w:r>
              <w:rPr>
                <w:sz w:val="24"/>
                <w:szCs w:val="24"/>
              </w:rPr>
              <w:t>（8）切割：清洗完成后的猪蹄用分切机进行分切。该工序会产生边角料S3和设备噪声N。</w:t>
            </w:r>
          </w:p>
          <w:p w14:paraId="7339C554">
            <w:pPr>
              <w:spacing w:line="360" w:lineRule="auto"/>
              <w:ind w:firstLine="480" w:firstLineChars="200"/>
              <w:rPr>
                <w:sz w:val="24"/>
                <w:szCs w:val="24"/>
              </w:rPr>
            </w:pPr>
            <w:r>
              <w:rPr>
                <w:sz w:val="24"/>
                <w:szCs w:val="24"/>
              </w:rPr>
              <w:t>（9）滚揉腌制：切割后的猪蹄块添加调味料在腌制池内进行腌制，腌制时间为30min~5h。</w:t>
            </w:r>
          </w:p>
          <w:p w14:paraId="1A6619B0">
            <w:pPr>
              <w:spacing w:line="360" w:lineRule="auto"/>
              <w:ind w:firstLine="480" w:firstLineChars="200"/>
              <w:rPr>
                <w:sz w:val="24"/>
                <w:szCs w:val="24"/>
                <w:u w:val="single"/>
              </w:rPr>
            </w:pPr>
            <w:r>
              <w:rPr>
                <w:sz w:val="24"/>
                <w:szCs w:val="24"/>
              </w:rPr>
              <w:t>（10）</w:t>
            </w:r>
            <w:r>
              <w:rPr>
                <w:sz w:val="24"/>
                <w:szCs w:val="24"/>
                <w:u w:val="single"/>
              </w:rPr>
              <w:t>焯水：将腌制后的原料放在焯水锅中加热至半熟或全熟，取出以备进一步烹调或调味，该工序会产生肉类焯水废水W4及蒸汽冷凝水W5。焯水废水含盐量较高，主要通过污水处理施中其他生产废水进行稀释，从而降低生产废水中的含盐浓度。</w:t>
            </w:r>
          </w:p>
          <w:p w14:paraId="21DD6336">
            <w:pPr>
              <w:spacing w:line="360" w:lineRule="auto"/>
              <w:ind w:firstLine="480" w:firstLineChars="200"/>
              <w:rPr>
                <w:sz w:val="24"/>
                <w:szCs w:val="24"/>
              </w:rPr>
            </w:pPr>
            <w:r>
              <w:rPr>
                <w:sz w:val="24"/>
                <w:szCs w:val="24"/>
              </w:rPr>
              <w:t>（11）卤制：卤汁熬制过程为将各类卤料按一定比例加入调味料进行熬煮成卤汁。猪蹄原料由输送线送至卤制区，用中火卤制约1小时左右，关火，并将原料在卤汁中浸泡一段时间使其入味。卤制过程在蒸汽夹层锅中进行，以热蒸汽为热源。卤制过程中，卤汁时间越长越好，一般不更换。该工序将产生卤渣S5、卤制异味G及蒸汽冷凝水W5。</w:t>
            </w:r>
          </w:p>
          <w:p w14:paraId="1F58AA9A">
            <w:pPr>
              <w:adjustRightInd w:val="0"/>
              <w:spacing w:line="360" w:lineRule="auto"/>
              <w:ind w:firstLine="480" w:firstLineChars="200"/>
              <w:rPr>
                <w:sz w:val="24"/>
                <w:szCs w:val="24"/>
              </w:rPr>
            </w:pPr>
            <w:r>
              <w:rPr>
                <w:sz w:val="24"/>
                <w:szCs w:val="24"/>
              </w:rPr>
              <w:t>（12）摊凉：将卤制好的半成品摊凉冷却，此工序产生的主要污染物为G3车间异味。</w:t>
            </w:r>
          </w:p>
          <w:p w14:paraId="6FFFA6C4">
            <w:pPr>
              <w:spacing w:line="360" w:lineRule="auto"/>
              <w:ind w:firstLine="480" w:firstLineChars="200"/>
              <w:rPr>
                <w:sz w:val="24"/>
                <w:szCs w:val="24"/>
              </w:rPr>
            </w:pPr>
            <w:r>
              <w:rPr>
                <w:sz w:val="24"/>
                <w:szCs w:val="24"/>
              </w:rPr>
              <w:t>（13）拌料：将冷却好的产品，加入红油、大豆油，再用调配好的拌料，此工序产生的主要污染物为G3车间异味及设备噪声N。</w:t>
            </w:r>
          </w:p>
          <w:p w14:paraId="02E56068">
            <w:pPr>
              <w:spacing w:line="360" w:lineRule="auto"/>
              <w:ind w:firstLine="456" w:firstLineChars="200"/>
              <w:rPr>
                <w:spacing w:val="-6"/>
                <w:sz w:val="24"/>
                <w:szCs w:val="24"/>
              </w:rPr>
            </w:pPr>
            <w:r>
              <w:rPr>
                <w:spacing w:val="-6"/>
                <w:sz w:val="24"/>
                <w:szCs w:val="24"/>
              </w:rPr>
              <w:t>（14）内袋杀菌：</w:t>
            </w:r>
            <w:r>
              <w:rPr>
                <w:sz w:val="24"/>
                <w:szCs w:val="24"/>
              </w:rPr>
              <w:t>采用蒸汽对内包装进行高温消毒处理，该工序会产生N设备噪声和杀菌冷凝水W5。杀菌后产品自然冷却（约30min）至室温。</w:t>
            </w:r>
          </w:p>
          <w:p w14:paraId="672A208D">
            <w:pPr>
              <w:spacing w:line="360" w:lineRule="auto"/>
              <w:ind w:firstLine="456" w:firstLineChars="200"/>
              <w:rPr>
                <w:spacing w:val="-6"/>
                <w:sz w:val="24"/>
                <w:szCs w:val="24"/>
              </w:rPr>
            </w:pPr>
            <w:r>
              <w:rPr>
                <w:spacing w:val="-6"/>
                <w:sz w:val="24"/>
                <w:szCs w:val="24"/>
              </w:rPr>
              <w:t>（15）</w:t>
            </w:r>
            <w:r>
              <w:rPr>
                <w:sz w:val="24"/>
                <w:szCs w:val="24"/>
              </w:rPr>
              <w:t>真空内包装：将加工过的产品进行袋装，并采用真空封口。</w:t>
            </w:r>
            <w:r>
              <w:rPr>
                <w:spacing w:val="-6"/>
                <w:sz w:val="24"/>
                <w:szCs w:val="24"/>
              </w:rPr>
              <w:t>该工序会产生S4废包装材料和N设备噪声。</w:t>
            </w:r>
          </w:p>
          <w:p w14:paraId="75551C9D">
            <w:pPr>
              <w:spacing w:line="360" w:lineRule="auto"/>
              <w:ind w:firstLine="480" w:firstLineChars="200"/>
              <w:rPr>
                <w:sz w:val="24"/>
                <w:szCs w:val="24"/>
              </w:rPr>
            </w:pPr>
            <w:r>
              <w:rPr>
                <w:sz w:val="24"/>
                <w:szCs w:val="24"/>
              </w:rPr>
              <w:t>（16）杀菌：采用蒸汽对产品进行高温消毒处理。包装好的产品放入杀菌机中进行灭菌，灭菌温度为85</w:t>
            </w:r>
            <w:r>
              <w:rPr>
                <w:rFonts w:hint="eastAsia" w:ascii="宋体" w:hAnsi="宋体" w:cs="宋体"/>
                <w:sz w:val="24"/>
                <w:szCs w:val="24"/>
                <w:lang w:eastAsia="ja-JP"/>
              </w:rPr>
              <w:t>℃</w:t>
            </w:r>
            <w:r>
              <w:rPr>
                <w:sz w:val="24"/>
                <w:szCs w:val="24"/>
              </w:rPr>
              <w:t>，灭菌时间为30min。该工序会产生N设备噪声和杀菌冷凝水W。杀菌后产品自然冷却（约30min）至室温。</w:t>
            </w:r>
          </w:p>
          <w:p w14:paraId="54C66B1E">
            <w:pPr>
              <w:spacing w:line="360" w:lineRule="auto"/>
              <w:ind w:firstLine="456" w:firstLineChars="200"/>
              <w:rPr>
                <w:spacing w:val="-6"/>
                <w:sz w:val="24"/>
                <w:szCs w:val="24"/>
              </w:rPr>
            </w:pPr>
            <w:r>
              <w:rPr>
                <w:spacing w:val="-6"/>
                <w:sz w:val="24"/>
                <w:szCs w:val="24"/>
              </w:rPr>
              <w:t>（17）洗袋烘干：杀菌后对包装袋再次进行清洗和烘干，烘干采用蒸汽间接烘干。该环节产生洗袋废水W7、S3不合格产品、蒸汽冷凝水W5及设备噪声N。</w:t>
            </w:r>
          </w:p>
          <w:p w14:paraId="25929E9C">
            <w:pPr>
              <w:spacing w:line="360" w:lineRule="auto"/>
              <w:ind w:firstLine="480" w:firstLineChars="200"/>
              <w:rPr>
                <w:sz w:val="24"/>
                <w:szCs w:val="24"/>
              </w:rPr>
            </w:pPr>
            <w:r>
              <w:rPr>
                <w:sz w:val="24"/>
                <w:szCs w:val="24"/>
              </w:rPr>
              <w:t>（18）静置冷却：将洗袋烘干后的产品进行自然冷却。此过程产生异味</w:t>
            </w:r>
            <w:r>
              <w:rPr>
                <w:spacing w:val="-6"/>
                <w:sz w:val="24"/>
                <w:szCs w:val="24"/>
              </w:rPr>
              <w:t>。此过程产生异味</w:t>
            </w:r>
            <w:r>
              <w:rPr>
                <w:sz w:val="24"/>
                <w:szCs w:val="24"/>
              </w:rPr>
              <w:t>。</w:t>
            </w:r>
          </w:p>
          <w:p w14:paraId="78BC17F4">
            <w:pPr>
              <w:adjustRightInd w:val="0"/>
              <w:spacing w:line="360" w:lineRule="auto"/>
              <w:ind w:firstLine="480" w:firstLineChars="200"/>
              <w:rPr>
                <w:sz w:val="24"/>
                <w:szCs w:val="24"/>
              </w:rPr>
            </w:pPr>
            <w:r>
              <w:rPr>
                <w:sz w:val="24"/>
                <w:szCs w:val="24"/>
              </w:rPr>
              <w:t>（19）检验（耗时约 30min）：最后对产品进行检查，成品经人工质检后，入库储存。该工序会产生S3不合格产品。</w:t>
            </w:r>
          </w:p>
          <w:p w14:paraId="06ED8BA7">
            <w:pPr>
              <w:adjustRightInd w:val="0"/>
              <w:spacing w:line="360" w:lineRule="auto"/>
              <w:ind w:firstLine="480" w:firstLineChars="200"/>
              <w:rPr>
                <w:sz w:val="24"/>
                <w:szCs w:val="24"/>
              </w:rPr>
            </w:pPr>
            <w:r>
              <w:rPr>
                <w:sz w:val="24"/>
                <w:szCs w:val="24"/>
              </w:rPr>
              <w:t>（20）产品入库：成品经人工质检合格后，入常温库储存。</w:t>
            </w:r>
          </w:p>
          <w:p w14:paraId="249CFEE1">
            <w:pPr>
              <w:spacing w:line="360" w:lineRule="auto"/>
              <w:jc w:val="center"/>
            </w:pPr>
          </w:p>
          <w:p w14:paraId="5276429B">
            <w:pPr>
              <w:spacing w:line="360" w:lineRule="auto"/>
              <w:jc w:val="center"/>
            </w:pPr>
          </w:p>
          <w:p w14:paraId="32DF7C23">
            <w:pPr>
              <w:spacing w:line="360" w:lineRule="auto"/>
              <w:jc w:val="center"/>
            </w:pPr>
          </w:p>
          <w:p w14:paraId="3626523F">
            <w:pPr>
              <w:spacing w:line="360" w:lineRule="auto"/>
              <w:jc w:val="center"/>
            </w:pPr>
          </w:p>
          <w:p w14:paraId="75BD47B9">
            <w:pPr>
              <w:spacing w:line="360" w:lineRule="auto"/>
              <w:jc w:val="center"/>
            </w:pPr>
          </w:p>
          <w:p w14:paraId="2AC6C636">
            <w:pPr>
              <w:spacing w:line="360" w:lineRule="auto"/>
              <w:jc w:val="center"/>
            </w:pPr>
          </w:p>
          <w:p w14:paraId="1FA6090B">
            <w:pPr>
              <w:spacing w:line="360" w:lineRule="auto"/>
              <w:jc w:val="center"/>
            </w:pPr>
          </w:p>
          <w:p w14:paraId="1092670D">
            <w:pPr>
              <w:spacing w:line="360" w:lineRule="auto"/>
              <w:jc w:val="center"/>
            </w:pPr>
          </w:p>
          <w:p w14:paraId="45CDC8E7">
            <w:pPr>
              <w:spacing w:line="360" w:lineRule="auto"/>
              <w:jc w:val="center"/>
            </w:pPr>
          </w:p>
          <w:p w14:paraId="72A9C323">
            <w:pPr>
              <w:spacing w:line="360" w:lineRule="auto"/>
              <w:jc w:val="center"/>
            </w:pPr>
          </w:p>
          <w:p w14:paraId="7733C3B7">
            <w:pPr>
              <w:spacing w:line="360" w:lineRule="auto"/>
              <w:jc w:val="center"/>
            </w:pPr>
          </w:p>
          <w:p w14:paraId="2AC6F7B1">
            <w:pPr>
              <w:spacing w:line="360" w:lineRule="auto"/>
              <w:jc w:val="center"/>
            </w:pPr>
          </w:p>
          <w:p w14:paraId="4517AFE2">
            <w:pPr>
              <w:spacing w:line="360" w:lineRule="auto"/>
              <w:jc w:val="center"/>
            </w:pPr>
          </w:p>
          <w:p w14:paraId="2DC76D0D">
            <w:pPr>
              <w:spacing w:line="360" w:lineRule="auto"/>
              <w:jc w:val="center"/>
            </w:pPr>
          </w:p>
          <w:p w14:paraId="1AC4C3EB">
            <w:pPr>
              <w:spacing w:line="360" w:lineRule="auto"/>
              <w:jc w:val="center"/>
            </w:pPr>
          </w:p>
          <w:p w14:paraId="55284496">
            <w:pPr>
              <w:spacing w:line="360" w:lineRule="auto"/>
              <w:jc w:val="center"/>
            </w:pPr>
            <w:r>
              <w:object>
                <v:shape id="_x0000_i1028" o:spt="75" type="#_x0000_t75" style="height:574.15pt;width:275.85pt;" o:ole="t" filled="f" o:preferrelative="t" stroked="f" coordsize="21600,21600">
                  <v:path/>
                  <v:fill on="f" focussize="0,0"/>
                  <v:stroke on="f" joinstyle="miter"/>
                  <v:imagedata r:id="rId15" o:title=""/>
                  <o:lock v:ext="edit" aspectratio="f"/>
                  <w10:wrap type="none"/>
                  <w10:anchorlock/>
                </v:shape>
                <o:OLEObject Type="Embed" ProgID="Visio.Drawing.15" ShapeID="_x0000_i1028" DrawAspect="Content" ObjectID="_1468075728" r:id="rId14">
                  <o:LockedField>false</o:LockedField>
                </o:OLEObject>
              </w:object>
            </w:r>
          </w:p>
          <w:p w14:paraId="03A93463">
            <w:pPr>
              <w:spacing w:line="360" w:lineRule="auto"/>
              <w:jc w:val="center"/>
            </w:pPr>
            <w:r>
              <w:rPr>
                <w:b/>
                <w:sz w:val="24"/>
                <w:szCs w:val="24"/>
              </w:rPr>
              <w:t>图2-6  胶汁猪蹄（150g规格）工艺流程及产排污环节图</w:t>
            </w:r>
          </w:p>
          <w:p w14:paraId="0DD06363">
            <w:pPr>
              <w:spacing w:line="360" w:lineRule="auto"/>
              <w:ind w:firstLine="482" w:firstLineChars="200"/>
              <w:rPr>
                <w:b/>
                <w:sz w:val="24"/>
                <w:szCs w:val="24"/>
              </w:rPr>
            </w:pPr>
            <w:r>
              <w:rPr>
                <w:b/>
                <w:sz w:val="24"/>
                <w:szCs w:val="24"/>
              </w:rPr>
              <w:t>胶汁猪蹄（150g规格）工艺流程简述：</w:t>
            </w:r>
          </w:p>
          <w:p w14:paraId="57CABD60">
            <w:pPr>
              <w:spacing w:line="360" w:lineRule="auto"/>
              <w:ind w:firstLine="480" w:firstLineChars="200"/>
              <w:rPr>
                <w:szCs w:val="21"/>
              </w:rPr>
            </w:pPr>
            <w:r>
              <w:rPr>
                <w:sz w:val="24"/>
                <w:szCs w:val="24"/>
              </w:rPr>
              <w:t>（1）原料检验：外购的猪蹄原料，由人工质检严格选优去劣，剔除有问题的猪蹄原料，该工序会产生不合格产品、废边角料S3。</w:t>
            </w:r>
          </w:p>
          <w:p w14:paraId="58D3867D">
            <w:pPr>
              <w:spacing w:line="360" w:lineRule="auto"/>
              <w:ind w:firstLine="480" w:firstLineChars="200"/>
              <w:rPr>
                <w:sz w:val="24"/>
                <w:szCs w:val="24"/>
              </w:rPr>
            </w:pPr>
            <w:r>
              <w:rPr>
                <w:sz w:val="24"/>
                <w:szCs w:val="24"/>
              </w:rPr>
              <w:t>（2）拆包：经人工质检合格后的原料，将拆除原料包装，该工序会产生废包装材料S4。</w:t>
            </w:r>
          </w:p>
          <w:p w14:paraId="677FD1BC">
            <w:pPr>
              <w:spacing w:line="360" w:lineRule="auto"/>
              <w:ind w:firstLine="480" w:firstLineChars="200"/>
              <w:rPr>
                <w:sz w:val="24"/>
                <w:szCs w:val="24"/>
              </w:rPr>
            </w:pPr>
            <w:r>
              <w:rPr>
                <w:sz w:val="24"/>
                <w:szCs w:val="24"/>
              </w:rPr>
              <w:t>（3）解冻：猪蹄进入解冻区，加水解冻清洗。该工序会产生解冻废水W2。</w:t>
            </w:r>
          </w:p>
          <w:p w14:paraId="5112AF1C">
            <w:pPr>
              <w:adjustRightInd w:val="0"/>
              <w:spacing w:line="360" w:lineRule="auto"/>
              <w:ind w:firstLine="480" w:firstLineChars="200"/>
              <w:rPr>
                <w:sz w:val="24"/>
                <w:szCs w:val="24"/>
              </w:rPr>
            </w:pPr>
            <w:r>
              <w:rPr>
                <w:sz w:val="24"/>
                <w:szCs w:val="24"/>
              </w:rPr>
              <w:t>（4）烧毛、烙毛：部分解冻后的猪蹄表面带有毛发，需要经烧毛、烙毛工序去除表面的毛发，该工序以天然气为燃料，会产生天然气燃烧废气G2。</w:t>
            </w:r>
          </w:p>
          <w:p w14:paraId="58DEC206">
            <w:pPr>
              <w:spacing w:line="360" w:lineRule="auto"/>
              <w:ind w:firstLine="480" w:firstLineChars="200"/>
              <w:rPr>
                <w:sz w:val="24"/>
                <w:szCs w:val="24"/>
              </w:rPr>
            </w:pPr>
            <w:r>
              <w:rPr>
                <w:sz w:val="24"/>
                <w:szCs w:val="24"/>
              </w:rPr>
              <w:t>（5）清洗：经烧毛、烙毛工序后的猪蹄，需要进行清洗，该工序产生清洗废水W3。</w:t>
            </w:r>
          </w:p>
          <w:p w14:paraId="3B1CC249">
            <w:pPr>
              <w:spacing w:line="360" w:lineRule="auto"/>
              <w:ind w:firstLine="480" w:firstLineChars="200"/>
              <w:rPr>
                <w:sz w:val="24"/>
                <w:szCs w:val="24"/>
              </w:rPr>
            </w:pPr>
            <w:r>
              <w:rPr>
                <w:sz w:val="24"/>
                <w:szCs w:val="24"/>
              </w:rPr>
              <w:t>（6）表面处理：对猪蹄缝隙及指甲进行修剪，该工序产生废边角料S3。</w:t>
            </w:r>
          </w:p>
          <w:p w14:paraId="4ADAA47C">
            <w:pPr>
              <w:spacing w:line="360" w:lineRule="auto"/>
              <w:ind w:firstLine="480" w:firstLineChars="200"/>
              <w:rPr>
                <w:sz w:val="24"/>
                <w:szCs w:val="24"/>
              </w:rPr>
            </w:pPr>
            <w:r>
              <w:rPr>
                <w:sz w:val="24"/>
                <w:szCs w:val="24"/>
              </w:rPr>
              <w:t>（7）清洗：经表面处理后的猪蹄需用水对其表面进行清洗，该工序产生清洗废水W3。</w:t>
            </w:r>
          </w:p>
          <w:p w14:paraId="50DE3027">
            <w:pPr>
              <w:spacing w:line="360" w:lineRule="auto"/>
              <w:ind w:firstLine="480" w:firstLineChars="200"/>
              <w:rPr>
                <w:sz w:val="24"/>
                <w:szCs w:val="24"/>
              </w:rPr>
            </w:pPr>
            <w:r>
              <w:rPr>
                <w:sz w:val="24"/>
                <w:szCs w:val="24"/>
              </w:rPr>
              <w:t>（8）切割：清洗完成后的猪蹄用分切机进行分切。该工序会产生边角料S3和设备噪声N。</w:t>
            </w:r>
          </w:p>
          <w:p w14:paraId="0421F45B">
            <w:pPr>
              <w:spacing w:line="360" w:lineRule="auto"/>
              <w:ind w:firstLine="480" w:firstLineChars="200"/>
              <w:rPr>
                <w:sz w:val="24"/>
                <w:szCs w:val="24"/>
              </w:rPr>
            </w:pPr>
            <w:r>
              <w:rPr>
                <w:sz w:val="24"/>
                <w:szCs w:val="24"/>
              </w:rPr>
              <w:t>（9）滚揉腌制：切割后的猪蹄添加调味料在腌制池内进行腌制，腌制时间为30min~5h。</w:t>
            </w:r>
          </w:p>
          <w:p w14:paraId="1A67BDDE">
            <w:pPr>
              <w:tabs>
                <w:tab w:val="left" w:pos="0"/>
              </w:tabs>
              <w:adjustRightInd w:val="0"/>
              <w:spacing w:line="360" w:lineRule="auto"/>
              <w:ind w:firstLine="480" w:firstLineChars="200"/>
              <w:rPr>
                <w:sz w:val="24"/>
                <w:szCs w:val="24"/>
                <w:u w:val="single"/>
              </w:rPr>
            </w:pPr>
            <w:r>
              <w:rPr>
                <w:sz w:val="24"/>
                <w:szCs w:val="24"/>
              </w:rPr>
              <w:t>（10）</w:t>
            </w:r>
            <w:r>
              <w:rPr>
                <w:sz w:val="24"/>
                <w:szCs w:val="24"/>
                <w:u w:val="single"/>
              </w:rPr>
              <w:t>焯水：将腌制后的原料放在焯水锅中加热至半熟或全熟，取出以备进一步烹调或调味，该工序会产生肉类焯水废水W4及蒸汽冷凝水W5。焯水废水含盐量较高，主要通过污水处理施中其他生产废水进行稀释，从而降低生产废水中的含盐浓度。</w:t>
            </w:r>
          </w:p>
          <w:p w14:paraId="0BB6CE9A">
            <w:pPr>
              <w:spacing w:line="360" w:lineRule="auto"/>
              <w:ind w:firstLine="480" w:firstLineChars="200"/>
              <w:rPr>
                <w:sz w:val="24"/>
                <w:szCs w:val="24"/>
              </w:rPr>
            </w:pPr>
            <w:r>
              <w:rPr>
                <w:sz w:val="24"/>
                <w:szCs w:val="24"/>
              </w:rPr>
              <w:t>（11）卤制：卤汁熬制过程为将各类卤料按一定比例加入调味料进行熬煮成卤汁。猪蹄原料由输送线送至卤制区，用中火卤制约1小时左右，关火，并将原料在卤汁中浸泡一段时间使其入味。卤制过程在蒸汽夹层锅中进行，以热蒸汽为热源。卤制过程中，卤汁时间越长越好，一般不更换。该工序将产生卤渣S5、卤制异味G3及蒸汽冷凝水W5。</w:t>
            </w:r>
          </w:p>
          <w:p w14:paraId="3DD4D892">
            <w:pPr>
              <w:adjustRightInd w:val="0"/>
              <w:spacing w:line="360" w:lineRule="auto"/>
              <w:ind w:firstLine="480" w:firstLineChars="200"/>
              <w:rPr>
                <w:sz w:val="24"/>
                <w:szCs w:val="24"/>
              </w:rPr>
            </w:pPr>
            <w:r>
              <w:rPr>
                <w:sz w:val="24"/>
                <w:szCs w:val="24"/>
              </w:rPr>
              <w:t>（12）摊凉：将卤制好的半成品摊凉冷却，此工序产生的主要污染物为G3车间异味。</w:t>
            </w:r>
          </w:p>
          <w:p w14:paraId="5B1358F7">
            <w:pPr>
              <w:spacing w:line="360" w:lineRule="auto"/>
              <w:ind w:firstLine="480" w:firstLineChars="200"/>
              <w:rPr>
                <w:sz w:val="24"/>
                <w:szCs w:val="24"/>
              </w:rPr>
            </w:pPr>
            <w:r>
              <w:rPr>
                <w:sz w:val="24"/>
                <w:szCs w:val="24"/>
              </w:rPr>
              <w:t>（13）</w:t>
            </w:r>
            <w:r>
              <w:rPr>
                <w:spacing w:val="-6"/>
                <w:sz w:val="24"/>
                <w:szCs w:val="24"/>
              </w:rPr>
              <w:t>内袋杀菌：</w:t>
            </w:r>
            <w:r>
              <w:rPr>
                <w:sz w:val="24"/>
                <w:szCs w:val="24"/>
              </w:rPr>
              <w:t>采用蒸汽对内包装进行高温消毒处理，该工序会产生N设备噪声和杀菌冷凝水W5。杀菌后产品自然冷却（约30min）至室温。</w:t>
            </w:r>
          </w:p>
          <w:p w14:paraId="578E454A">
            <w:pPr>
              <w:spacing w:line="360" w:lineRule="auto"/>
              <w:ind w:firstLine="456" w:firstLineChars="200"/>
              <w:rPr>
                <w:spacing w:val="-6"/>
                <w:sz w:val="24"/>
                <w:szCs w:val="24"/>
              </w:rPr>
            </w:pPr>
            <w:r>
              <w:rPr>
                <w:spacing w:val="-6"/>
                <w:sz w:val="24"/>
                <w:szCs w:val="24"/>
              </w:rPr>
              <w:t>（14）洗袋烘干：杀菌后对包装袋再次进行清洗和烘干，烘干采用蒸汽间接烘干。该环节产生洗袋废水W7、S3不合格产品、蒸汽冷凝水W5及设备噪声N。</w:t>
            </w:r>
          </w:p>
          <w:p w14:paraId="76A4E769">
            <w:pPr>
              <w:spacing w:line="360" w:lineRule="auto"/>
              <w:ind w:firstLine="456" w:firstLineChars="200"/>
              <w:rPr>
                <w:spacing w:val="-6"/>
                <w:sz w:val="24"/>
                <w:szCs w:val="24"/>
              </w:rPr>
            </w:pPr>
            <w:r>
              <w:rPr>
                <w:spacing w:val="-6"/>
                <w:sz w:val="24"/>
                <w:szCs w:val="24"/>
              </w:rPr>
              <w:t>（15）</w:t>
            </w:r>
            <w:r>
              <w:rPr>
                <w:sz w:val="24"/>
                <w:szCs w:val="24"/>
              </w:rPr>
              <w:t>真空内包装：将加工过的产品进行袋装，并采用真空封口。</w:t>
            </w:r>
            <w:r>
              <w:rPr>
                <w:spacing w:val="-6"/>
                <w:sz w:val="24"/>
                <w:szCs w:val="24"/>
              </w:rPr>
              <w:t>该工序会产生S4废包装材料和N设备噪声。</w:t>
            </w:r>
          </w:p>
          <w:p w14:paraId="5520491C">
            <w:pPr>
              <w:spacing w:line="360" w:lineRule="auto"/>
              <w:ind w:firstLine="480" w:firstLineChars="200"/>
              <w:rPr>
                <w:sz w:val="24"/>
                <w:szCs w:val="24"/>
              </w:rPr>
            </w:pPr>
            <w:r>
              <w:rPr>
                <w:sz w:val="24"/>
                <w:szCs w:val="24"/>
              </w:rPr>
              <w:t>（16）瓶装速冻：为包证产品新鲜程度，包装后的产品进行速冻。</w:t>
            </w:r>
          </w:p>
          <w:p w14:paraId="4D063F30">
            <w:pPr>
              <w:spacing w:line="360" w:lineRule="auto"/>
              <w:ind w:firstLine="456" w:firstLineChars="200"/>
              <w:rPr>
                <w:spacing w:val="-6"/>
                <w:sz w:val="24"/>
                <w:szCs w:val="24"/>
              </w:rPr>
            </w:pPr>
            <w:r>
              <w:rPr>
                <w:spacing w:val="-6"/>
                <w:sz w:val="24"/>
                <w:szCs w:val="24"/>
              </w:rPr>
              <w:t>（17）贴标喷码：杀菌后对包装袋再次进行清洗和烘干，烘干采用蒸汽间接烘干。该环节产生洗袋废水W7、S3不合格产品、蒸汽冷凝水W5及设备噪声N。</w:t>
            </w:r>
          </w:p>
          <w:p w14:paraId="1FEB50E0">
            <w:pPr>
              <w:spacing w:line="360" w:lineRule="auto"/>
              <w:ind w:firstLine="480" w:firstLineChars="200"/>
              <w:rPr>
                <w:sz w:val="24"/>
                <w:szCs w:val="24"/>
              </w:rPr>
            </w:pPr>
            <w:r>
              <w:rPr>
                <w:sz w:val="24"/>
                <w:szCs w:val="24"/>
              </w:rPr>
              <w:t>（18）检验（耗时约 30min）：最后对产品进行检查，成品经人工质检后，入库储存。该工序会产生S不合格产品</w:t>
            </w:r>
          </w:p>
          <w:p w14:paraId="7952F27A">
            <w:pPr>
              <w:adjustRightInd w:val="0"/>
              <w:spacing w:line="360" w:lineRule="auto"/>
              <w:ind w:firstLine="480" w:firstLineChars="200"/>
              <w:rPr>
                <w:sz w:val="24"/>
                <w:szCs w:val="24"/>
              </w:rPr>
            </w:pPr>
            <w:r>
              <w:rPr>
                <w:sz w:val="24"/>
                <w:szCs w:val="24"/>
              </w:rPr>
              <w:t>（19）产品入库：成品经人工质检合格后，入-18℃冷藏库储存。</w:t>
            </w:r>
          </w:p>
          <w:p w14:paraId="59DAD0A6">
            <w:pPr>
              <w:spacing w:line="360" w:lineRule="auto"/>
              <w:jc w:val="center"/>
              <w:rPr>
                <w:sz w:val="24"/>
                <w:szCs w:val="24"/>
              </w:rPr>
            </w:pPr>
            <w:r>
              <w:rPr>
                <w:sz w:val="24"/>
                <w:szCs w:val="24"/>
              </w:rPr>
              <w:object>
                <v:shape id="_x0000_i1029" o:spt="75" type="#_x0000_t75" style="height:401.15pt;width:282.4pt;" o:ole="t" filled="f" o:preferrelative="t" stroked="f" coordsize="21600,21600">
                  <v:path/>
                  <v:fill on="f" focussize="0,0"/>
                  <v:stroke on="f" joinstyle="miter"/>
                  <v:imagedata r:id="rId17" o:title=""/>
                  <o:lock v:ext="edit" aspectratio="f"/>
                  <w10:wrap type="none"/>
                  <w10:anchorlock/>
                </v:shape>
                <o:OLEObject Type="Embed" ProgID="Visio.Drawing.15" ShapeID="_x0000_i1029" DrawAspect="Content" ObjectID="_1468075729" r:id="rId16">
                  <o:LockedField>false</o:LockedField>
                </o:OLEObject>
              </w:object>
            </w:r>
          </w:p>
          <w:p w14:paraId="77337F08">
            <w:pPr>
              <w:spacing w:line="360" w:lineRule="auto"/>
              <w:jc w:val="center"/>
            </w:pPr>
            <w:r>
              <w:rPr>
                <w:b/>
                <w:sz w:val="24"/>
                <w:szCs w:val="24"/>
              </w:rPr>
              <w:t>图2-7  非即食性生制调理品（生猪蹄块、剁椒鱼头）工艺流程及产排污环节图</w:t>
            </w:r>
          </w:p>
          <w:p w14:paraId="4E3B0726">
            <w:pPr>
              <w:spacing w:line="360" w:lineRule="auto"/>
              <w:ind w:firstLine="482" w:firstLineChars="200"/>
              <w:rPr>
                <w:b/>
                <w:sz w:val="24"/>
                <w:szCs w:val="24"/>
              </w:rPr>
            </w:pPr>
            <w:r>
              <w:rPr>
                <w:b/>
                <w:sz w:val="24"/>
                <w:szCs w:val="24"/>
              </w:rPr>
              <w:t>非即食性生制调理品工艺流程简述：</w:t>
            </w:r>
          </w:p>
          <w:p w14:paraId="6690442D">
            <w:pPr>
              <w:spacing w:line="360" w:lineRule="auto"/>
              <w:ind w:firstLine="480" w:firstLineChars="200"/>
              <w:rPr>
                <w:szCs w:val="21"/>
              </w:rPr>
            </w:pPr>
            <w:r>
              <w:rPr>
                <w:sz w:val="24"/>
                <w:szCs w:val="24"/>
              </w:rPr>
              <w:t>（1）原料检验：外购的猪蹄原料及鱼头，由人工质检严格选优去劣，剔除有问题的猪蹄及鱼头原料，该工序会产生不合格产品、废边角料S3。</w:t>
            </w:r>
          </w:p>
          <w:p w14:paraId="2FC82250">
            <w:pPr>
              <w:spacing w:line="360" w:lineRule="auto"/>
              <w:ind w:firstLine="480" w:firstLineChars="200"/>
              <w:rPr>
                <w:sz w:val="24"/>
                <w:szCs w:val="24"/>
              </w:rPr>
            </w:pPr>
            <w:r>
              <w:rPr>
                <w:sz w:val="24"/>
                <w:szCs w:val="24"/>
              </w:rPr>
              <w:t>（2）拆包：经人工质检合格后的原料，将拆除原料包装，该工序会产生废包装材料S4。</w:t>
            </w:r>
          </w:p>
          <w:p w14:paraId="3C2E6014">
            <w:pPr>
              <w:spacing w:line="360" w:lineRule="auto"/>
              <w:ind w:firstLine="480" w:firstLineChars="200"/>
              <w:rPr>
                <w:sz w:val="24"/>
                <w:szCs w:val="24"/>
              </w:rPr>
            </w:pPr>
            <w:r>
              <w:rPr>
                <w:sz w:val="24"/>
                <w:szCs w:val="24"/>
              </w:rPr>
              <w:t>（3）解冻、清洗：猪蹄、鱼头分别进入解冻区，加水解冻、清洗。该工序会产生非即食性生制调理品解冻清洗废水W8。</w:t>
            </w:r>
          </w:p>
          <w:p w14:paraId="66081475">
            <w:pPr>
              <w:spacing w:line="360" w:lineRule="auto"/>
              <w:ind w:firstLine="480" w:firstLineChars="200"/>
              <w:rPr>
                <w:sz w:val="24"/>
                <w:szCs w:val="24"/>
              </w:rPr>
            </w:pPr>
            <w:r>
              <w:rPr>
                <w:sz w:val="24"/>
                <w:szCs w:val="24"/>
              </w:rPr>
              <w:t>（4）前处理：对生猪蹄块及鱼头原料进行切割，清洗等工序，该工序产生废边角料S3及设备噪声N。</w:t>
            </w:r>
          </w:p>
          <w:p w14:paraId="0E2187FC">
            <w:pPr>
              <w:spacing w:line="360" w:lineRule="auto"/>
              <w:ind w:firstLine="480" w:firstLineChars="200"/>
              <w:rPr>
                <w:sz w:val="24"/>
                <w:szCs w:val="24"/>
              </w:rPr>
            </w:pPr>
            <w:r>
              <w:rPr>
                <w:sz w:val="24"/>
                <w:szCs w:val="24"/>
              </w:rPr>
              <w:t>（5）腌制：将处理好的生猪蹄块和鱼头原料，添加调味料在腌制池内进行腌制，腌制时间为30min~5h。</w:t>
            </w:r>
          </w:p>
          <w:p w14:paraId="0FACC8DF">
            <w:pPr>
              <w:spacing w:line="360" w:lineRule="auto"/>
              <w:ind w:firstLine="480" w:firstLineChars="200"/>
              <w:rPr>
                <w:sz w:val="24"/>
                <w:szCs w:val="24"/>
              </w:rPr>
            </w:pPr>
            <w:r>
              <w:rPr>
                <w:sz w:val="24"/>
                <w:szCs w:val="24"/>
              </w:rPr>
              <w:t>（6）</w:t>
            </w:r>
            <w:r>
              <w:rPr>
                <w:spacing w:val="-6"/>
                <w:sz w:val="24"/>
                <w:szCs w:val="24"/>
              </w:rPr>
              <w:t>内袋喷码杀菌：</w:t>
            </w:r>
            <w:r>
              <w:rPr>
                <w:sz w:val="24"/>
                <w:szCs w:val="24"/>
              </w:rPr>
              <w:t>采用蒸汽对内包装进行高温消毒处理，该工序会产生N设备噪声和杀菌冷凝水W5。杀菌后产品自然冷却（约30min）至室温。</w:t>
            </w:r>
          </w:p>
          <w:p w14:paraId="08E1C4A5">
            <w:pPr>
              <w:spacing w:line="360" w:lineRule="auto"/>
              <w:ind w:firstLine="480" w:firstLineChars="200"/>
              <w:rPr>
                <w:spacing w:val="-6"/>
                <w:sz w:val="24"/>
                <w:szCs w:val="24"/>
              </w:rPr>
            </w:pPr>
            <w:r>
              <w:rPr>
                <w:sz w:val="24"/>
                <w:szCs w:val="24"/>
              </w:rPr>
              <w:t>（7）真空内包装：将腌制过的产品进行袋装，并采用真空封口。</w:t>
            </w:r>
            <w:r>
              <w:rPr>
                <w:spacing w:val="-6"/>
                <w:sz w:val="24"/>
                <w:szCs w:val="24"/>
              </w:rPr>
              <w:t>该工序会产生S4废包装材料和N设备噪声。</w:t>
            </w:r>
          </w:p>
          <w:p w14:paraId="5BB607EF">
            <w:pPr>
              <w:spacing w:line="360" w:lineRule="auto"/>
              <w:ind w:firstLine="456" w:firstLineChars="200"/>
              <w:rPr>
                <w:sz w:val="24"/>
                <w:szCs w:val="24"/>
              </w:rPr>
            </w:pPr>
            <w:r>
              <w:rPr>
                <w:spacing w:val="-6"/>
                <w:sz w:val="24"/>
                <w:szCs w:val="24"/>
              </w:rPr>
              <w:t>（8）</w:t>
            </w:r>
            <w:r>
              <w:rPr>
                <w:sz w:val="24"/>
                <w:szCs w:val="24"/>
              </w:rPr>
              <w:t>速冻：为包证产品新鲜程度，包装后的产品进行速冻。</w:t>
            </w:r>
          </w:p>
          <w:p w14:paraId="6668EEF2">
            <w:pPr>
              <w:spacing w:line="360" w:lineRule="auto"/>
              <w:ind w:firstLine="480" w:firstLineChars="200"/>
              <w:rPr>
                <w:sz w:val="24"/>
                <w:szCs w:val="24"/>
              </w:rPr>
            </w:pPr>
            <w:r>
              <w:rPr>
                <w:sz w:val="24"/>
                <w:szCs w:val="24"/>
              </w:rPr>
              <w:t>（9）半成品检验：主要对冷库内暂存的产品进行检验，项目日常检验的指标为外观形态、色泽、口味风味、组织形态等感官指标；项目产品仅进行物理检验。该工序会产生S3不合格产品。</w:t>
            </w:r>
          </w:p>
          <w:p w14:paraId="077E75DF">
            <w:pPr>
              <w:spacing w:line="360" w:lineRule="auto"/>
              <w:ind w:firstLine="480" w:firstLineChars="200"/>
              <w:rPr>
                <w:sz w:val="24"/>
                <w:szCs w:val="24"/>
              </w:rPr>
            </w:pPr>
            <w:r>
              <w:rPr>
                <w:sz w:val="24"/>
                <w:szCs w:val="24"/>
              </w:rPr>
              <w:t>（10）检验（耗时约 30min）：最后对产品进行检查，成品经人工质检后，入库储存。该工序会产生S3不合格产品。</w:t>
            </w:r>
          </w:p>
          <w:p w14:paraId="6CF8FB06">
            <w:pPr>
              <w:adjustRightInd w:val="0"/>
              <w:spacing w:line="360" w:lineRule="auto"/>
              <w:ind w:firstLine="480" w:firstLineChars="200"/>
              <w:rPr>
                <w:sz w:val="24"/>
                <w:szCs w:val="24"/>
              </w:rPr>
            </w:pPr>
            <w:r>
              <w:rPr>
                <w:sz w:val="24"/>
                <w:szCs w:val="24"/>
              </w:rPr>
              <w:t>（11）产品入库：成品经人工质检合格后，入-18℃冷藏库储存。</w:t>
            </w:r>
          </w:p>
          <w:p w14:paraId="4DBBA4D9">
            <w:pPr>
              <w:adjustRightInd w:val="0"/>
              <w:spacing w:line="360" w:lineRule="auto"/>
              <w:ind w:firstLine="480" w:firstLineChars="200"/>
              <w:rPr>
                <w:sz w:val="24"/>
                <w:szCs w:val="24"/>
              </w:rPr>
            </w:pPr>
          </w:p>
          <w:p w14:paraId="2F03634E">
            <w:pPr>
              <w:adjustRightInd w:val="0"/>
              <w:spacing w:line="360" w:lineRule="auto"/>
              <w:ind w:firstLine="480" w:firstLineChars="200"/>
              <w:rPr>
                <w:sz w:val="24"/>
                <w:szCs w:val="24"/>
              </w:rPr>
            </w:pPr>
          </w:p>
          <w:p w14:paraId="41BB06BC">
            <w:pPr>
              <w:adjustRightInd w:val="0"/>
              <w:spacing w:line="360" w:lineRule="auto"/>
              <w:ind w:firstLine="480" w:firstLineChars="200"/>
              <w:rPr>
                <w:sz w:val="24"/>
                <w:szCs w:val="24"/>
              </w:rPr>
            </w:pPr>
          </w:p>
          <w:p w14:paraId="0001EB60">
            <w:pPr>
              <w:adjustRightInd w:val="0"/>
              <w:spacing w:line="360" w:lineRule="auto"/>
              <w:ind w:firstLine="480" w:firstLineChars="200"/>
              <w:rPr>
                <w:sz w:val="24"/>
                <w:szCs w:val="24"/>
              </w:rPr>
            </w:pPr>
          </w:p>
          <w:p w14:paraId="3A56EB55">
            <w:pPr>
              <w:adjustRightInd w:val="0"/>
              <w:spacing w:line="360" w:lineRule="auto"/>
              <w:ind w:firstLine="480" w:firstLineChars="200"/>
              <w:rPr>
                <w:sz w:val="24"/>
                <w:szCs w:val="24"/>
              </w:rPr>
            </w:pPr>
          </w:p>
          <w:p w14:paraId="4114B9AE">
            <w:pPr>
              <w:adjustRightInd w:val="0"/>
              <w:spacing w:line="360" w:lineRule="auto"/>
              <w:ind w:firstLine="480" w:firstLineChars="200"/>
              <w:rPr>
                <w:sz w:val="24"/>
                <w:szCs w:val="24"/>
              </w:rPr>
            </w:pPr>
          </w:p>
          <w:p w14:paraId="562093F9">
            <w:pPr>
              <w:adjustRightInd w:val="0"/>
              <w:spacing w:line="360" w:lineRule="auto"/>
              <w:ind w:firstLine="480" w:firstLineChars="200"/>
              <w:rPr>
                <w:sz w:val="24"/>
                <w:szCs w:val="24"/>
              </w:rPr>
            </w:pPr>
          </w:p>
          <w:p w14:paraId="3CB76020">
            <w:pPr>
              <w:spacing w:line="360" w:lineRule="auto"/>
              <w:jc w:val="center"/>
              <w:rPr>
                <w:sz w:val="24"/>
                <w:szCs w:val="24"/>
              </w:rPr>
            </w:pPr>
            <w:r>
              <w:rPr>
                <w:sz w:val="24"/>
                <w:szCs w:val="24"/>
              </w:rPr>
              <w:object>
                <v:shape id="_x0000_i1030" o:spt="75" type="#_x0000_t75" style="height:357.2pt;width:297.35pt;" o:ole="t" filled="f" o:preferrelative="t" stroked="f" coordsize="21600,21600">
                  <v:path/>
                  <v:fill on="f" focussize="0,0"/>
                  <v:stroke on="f" joinstyle="miter"/>
                  <v:imagedata r:id="rId19" o:title=""/>
                  <o:lock v:ext="edit" aspectratio="f"/>
                  <w10:wrap type="none"/>
                  <w10:anchorlock/>
                </v:shape>
                <o:OLEObject Type="Embed" ProgID="Visio.Drawing.15" ShapeID="_x0000_i1030" DrawAspect="Content" ObjectID="_1468075730" r:id="rId18">
                  <o:LockedField>false</o:LockedField>
                </o:OLEObject>
              </w:object>
            </w:r>
          </w:p>
          <w:p w14:paraId="4E61208E">
            <w:pPr>
              <w:spacing w:line="360" w:lineRule="auto"/>
              <w:jc w:val="center"/>
            </w:pPr>
            <w:r>
              <w:rPr>
                <w:b/>
                <w:sz w:val="24"/>
                <w:szCs w:val="24"/>
              </w:rPr>
              <w:t>图2-8  猪蹄火锅（黄豆）工艺流程及产排污环节图</w:t>
            </w:r>
          </w:p>
          <w:p w14:paraId="73AB6FA3">
            <w:pPr>
              <w:spacing w:line="360" w:lineRule="auto"/>
              <w:ind w:firstLine="482" w:firstLineChars="200"/>
              <w:rPr>
                <w:sz w:val="24"/>
                <w:szCs w:val="24"/>
              </w:rPr>
            </w:pPr>
            <w:r>
              <w:rPr>
                <w:b/>
                <w:sz w:val="24"/>
                <w:szCs w:val="24"/>
              </w:rPr>
              <w:t>猪蹄火锅（黄豆）工艺流程简述：</w:t>
            </w:r>
          </w:p>
          <w:p w14:paraId="2F09D591">
            <w:pPr>
              <w:spacing w:line="360" w:lineRule="auto"/>
              <w:ind w:firstLine="480" w:firstLineChars="200"/>
              <w:rPr>
                <w:szCs w:val="21"/>
              </w:rPr>
            </w:pPr>
            <w:r>
              <w:rPr>
                <w:sz w:val="24"/>
                <w:szCs w:val="24"/>
              </w:rPr>
              <w:t>（1）原料检验：外购的猪蹄原料，由人工质检严格选优去劣，剔除有问题的猪蹄原料，该工序会产生不合格产品、废边角料S3。</w:t>
            </w:r>
          </w:p>
          <w:p w14:paraId="767D82DD">
            <w:pPr>
              <w:spacing w:line="360" w:lineRule="auto"/>
              <w:ind w:firstLine="480" w:firstLineChars="200"/>
              <w:rPr>
                <w:sz w:val="24"/>
                <w:szCs w:val="24"/>
              </w:rPr>
            </w:pPr>
            <w:r>
              <w:rPr>
                <w:sz w:val="24"/>
                <w:szCs w:val="24"/>
              </w:rPr>
              <w:t>（2）拆包：经人工质检合格后的原料，将拆除原料包装，该工序会产生废包装材料S4。</w:t>
            </w:r>
          </w:p>
          <w:p w14:paraId="452D772E">
            <w:pPr>
              <w:spacing w:line="360" w:lineRule="auto"/>
              <w:ind w:firstLine="480" w:firstLineChars="200"/>
              <w:rPr>
                <w:sz w:val="24"/>
                <w:szCs w:val="24"/>
              </w:rPr>
            </w:pPr>
            <w:r>
              <w:rPr>
                <w:sz w:val="24"/>
                <w:szCs w:val="24"/>
              </w:rPr>
              <w:t>（3）浸泡：将黄豆原料进行浸泡清洗，该工序会产生黄豆浸泡废水W9。</w:t>
            </w:r>
          </w:p>
          <w:p w14:paraId="3B2D0861">
            <w:pPr>
              <w:spacing w:line="360" w:lineRule="auto"/>
              <w:ind w:firstLine="480" w:firstLineChars="200"/>
              <w:rPr>
                <w:sz w:val="24"/>
                <w:szCs w:val="24"/>
              </w:rPr>
            </w:pPr>
            <w:r>
              <w:rPr>
                <w:sz w:val="24"/>
                <w:szCs w:val="24"/>
              </w:rPr>
              <w:t>（4）卤制：卤汁熬制过程为将各类卤料按一定比例加入调味料进行熬煮成卤汁。浸泡好的黄豆送至卤制区，用中火卤制约1小时左右，关火，并将原料在卤汁中浸泡一段时间使其入味。卤制过程在蒸汽夹层锅中进行，以热蒸汽为热源。卤制过程中，卤汁时间越长越好，一般不更换。该工序将产生卤渣S、卤制异味G3及蒸汽冷凝水W5。</w:t>
            </w:r>
          </w:p>
          <w:p w14:paraId="688F7306">
            <w:pPr>
              <w:adjustRightInd w:val="0"/>
              <w:spacing w:line="360" w:lineRule="auto"/>
              <w:ind w:firstLine="480" w:firstLineChars="200"/>
              <w:rPr>
                <w:sz w:val="24"/>
                <w:szCs w:val="24"/>
              </w:rPr>
            </w:pPr>
            <w:r>
              <w:rPr>
                <w:sz w:val="24"/>
                <w:szCs w:val="24"/>
              </w:rPr>
              <w:t>（5）将卤制好的半成品摊凉冷却，此工序产生的主要污染物为G3车间异味。</w:t>
            </w:r>
          </w:p>
          <w:p w14:paraId="6FAFE229">
            <w:pPr>
              <w:spacing w:line="360" w:lineRule="auto"/>
              <w:ind w:firstLine="480" w:firstLineChars="200"/>
              <w:rPr>
                <w:sz w:val="24"/>
                <w:szCs w:val="24"/>
              </w:rPr>
            </w:pPr>
            <w:r>
              <w:rPr>
                <w:sz w:val="24"/>
                <w:szCs w:val="24"/>
              </w:rPr>
              <w:t>（6）</w:t>
            </w:r>
            <w:r>
              <w:rPr>
                <w:spacing w:val="-6"/>
                <w:sz w:val="24"/>
                <w:szCs w:val="24"/>
              </w:rPr>
              <w:t>内袋杀菌：</w:t>
            </w:r>
            <w:r>
              <w:rPr>
                <w:sz w:val="24"/>
                <w:szCs w:val="24"/>
              </w:rPr>
              <w:t>采用蒸汽对内包装进行高温消毒处理，该工序会产生N设备噪声和杀菌冷凝水W5。杀菌后产品自然冷却（约30min）至室温</w:t>
            </w:r>
            <w:r>
              <w:rPr>
                <w:rFonts w:hint="eastAsia"/>
                <w:sz w:val="24"/>
                <w:szCs w:val="24"/>
              </w:rPr>
              <w:t>。</w:t>
            </w:r>
          </w:p>
          <w:p w14:paraId="12670B98">
            <w:pPr>
              <w:spacing w:line="360" w:lineRule="auto"/>
              <w:ind w:firstLine="480" w:firstLineChars="200"/>
              <w:rPr>
                <w:spacing w:val="-6"/>
                <w:sz w:val="24"/>
                <w:szCs w:val="24"/>
              </w:rPr>
            </w:pPr>
            <w:r>
              <w:rPr>
                <w:sz w:val="24"/>
                <w:szCs w:val="24"/>
              </w:rPr>
              <w:t>（7）真空内包装：将加工过的产品进行袋装，并采用真空封口。</w:t>
            </w:r>
            <w:r>
              <w:rPr>
                <w:spacing w:val="-6"/>
                <w:sz w:val="24"/>
                <w:szCs w:val="24"/>
              </w:rPr>
              <w:t>该工序会产生S4废包装材料和N设备噪声。</w:t>
            </w:r>
          </w:p>
          <w:p w14:paraId="698673D4">
            <w:pPr>
              <w:spacing w:line="360" w:lineRule="auto"/>
              <w:ind w:firstLine="480" w:firstLineChars="200"/>
              <w:rPr>
                <w:sz w:val="24"/>
                <w:szCs w:val="24"/>
              </w:rPr>
            </w:pPr>
            <w:r>
              <w:rPr>
                <w:sz w:val="24"/>
                <w:szCs w:val="24"/>
              </w:rPr>
              <w:t>（8）杀菌：采用蒸汽对产品进行高温消毒处理。包装好的产品放入杀菌机中进行灭菌，灭菌温度为85℃，灭菌时间为30min。该工序会产生N设备噪声和杀菌冷凝水W。杀菌后产品自然冷却（约30min）至室温。</w:t>
            </w:r>
          </w:p>
          <w:p w14:paraId="21A888EA">
            <w:pPr>
              <w:spacing w:line="360" w:lineRule="auto"/>
              <w:ind w:firstLine="456" w:firstLineChars="200"/>
              <w:rPr>
                <w:spacing w:val="-6"/>
                <w:sz w:val="24"/>
                <w:szCs w:val="24"/>
              </w:rPr>
            </w:pPr>
            <w:r>
              <w:rPr>
                <w:spacing w:val="-6"/>
                <w:sz w:val="24"/>
                <w:szCs w:val="24"/>
              </w:rPr>
              <w:t>（9）洗袋烘干：杀菌后对包装袋再次进行清洗和烘干，烘干采用蒸汽间接烘干。该环节产生洗袋废水W7、S3不合格产品、蒸汽冷凝水W5及设备噪声N。</w:t>
            </w:r>
          </w:p>
          <w:p w14:paraId="404C07E5">
            <w:pPr>
              <w:adjustRightInd w:val="0"/>
              <w:spacing w:line="360" w:lineRule="auto"/>
              <w:ind w:firstLine="456" w:firstLineChars="200"/>
              <w:rPr>
                <w:sz w:val="24"/>
                <w:szCs w:val="24"/>
              </w:rPr>
            </w:pPr>
            <w:r>
              <w:rPr>
                <w:spacing w:val="-6"/>
                <w:sz w:val="24"/>
                <w:szCs w:val="24"/>
              </w:rPr>
              <w:t>（10）全检外包：将洗袋烘干后的产品进行检查，检验是否有空包、漏气等情况，检查合格的</w:t>
            </w:r>
            <w:r>
              <w:rPr>
                <w:sz w:val="24"/>
                <w:szCs w:val="24"/>
              </w:rPr>
              <w:t>产品进行外包，并采用真空封口。该工序会产生S3不合格产品、S4废包装材料及N设备噪声。</w:t>
            </w:r>
          </w:p>
          <w:p w14:paraId="0A75E5D3">
            <w:pPr>
              <w:spacing w:line="360" w:lineRule="auto"/>
              <w:ind w:firstLine="480" w:firstLineChars="200"/>
              <w:rPr>
                <w:sz w:val="24"/>
                <w:szCs w:val="24"/>
              </w:rPr>
            </w:pPr>
            <w:r>
              <w:rPr>
                <w:sz w:val="24"/>
                <w:szCs w:val="24"/>
              </w:rPr>
              <w:t>（11）检验（耗时约 30min）：最后对产品进行检查，成品经人工质检后，入库储存。该工序会产生S3不合格产品。</w:t>
            </w:r>
          </w:p>
          <w:p w14:paraId="4CA750E5">
            <w:pPr>
              <w:adjustRightInd w:val="0"/>
              <w:spacing w:line="360" w:lineRule="auto"/>
              <w:ind w:firstLine="480" w:firstLineChars="200"/>
              <w:rPr>
                <w:sz w:val="24"/>
                <w:szCs w:val="24"/>
              </w:rPr>
            </w:pPr>
            <w:r>
              <w:rPr>
                <w:sz w:val="24"/>
                <w:szCs w:val="24"/>
              </w:rPr>
              <w:t>（12）产品入库：成品经人工质检合格后，入常温库储存。</w:t>
            </w:r>
          </w:p>
          <w:p w14:paraId="2FE50321">
            <w:pPr>
              <w:adjustRightInd w:val="0"/>
              <w:spacing w:line="360" w:lineRule="auto"/>
              <w:jc w:val="center"/>
              <w:rPr>
                <w:sz w:val="24"/>
                <w:szCs w:val="24"/>
              </w:rPr>
            </w:pPr>
            <w:r>
              <w:rPr>
                <w:sz w:val="24"/>
                <w:szCs w:val="24"/>
              </w:rPr>
              <w:object>
                <v:shape id="_x0000_i1031" o:spt="75" type="#_x0000_t75" style="height:287.05pt;width:274.9pt;" o:ole="t" filled="f" o:preferrelative="t" stroked="f" coordsize="21600,21600">
                  <v:path/>
                  <v:fill on="f" focussize="0,0"/>
                  <v:stroke on="f" joinstyle="miter"/>
                  <v:imagedata r:id="rId21" o:title=""/>
                  <o:lock v:ext="edit" aspectratio="f"/>
                  <w10:wrap type="none"/>
                  <w10:anchorlock/>
                </v:shape>
                <o:OLEObject Type="Embed" ProgID="Visio.Drawing.15" ShapeID="_x0000_i1031" DrawAspect="Content" ObjectID="_1468075731" r:id="rId20">
                  <o:LockedField>false</o:LockedField>
                </o:OLEObject>
              </w:object>
            </w:r>
          </w:p>
          <w:p w14:paraId="35CA88EF">
            <w:pPr>
              <w:spacing w:line="360" w:lineRule="auto"/>
              <w:jc w:val="center"/>
              <w:rPr>
                <w:b/>
                <w:sz w:val="24"/>
                <w:szCs w:val="24"/>
              </w:rPr>
            </w:pPr>
            <w:r>
              <w:rPr>
                <w:b/>
                <w:sz w:val="24"/>
                <w:szCs w:val="24"/>
              </w:rPr>
              <w:t>图2-8  猪蹄火锅（</w:t>
            </w:r>
            <w:r>
              <w:rPr>
                <w:rFonts w:hint="eastAsia"/>
                <w:b/>
                <w:sz w:val="24"/>
                <w:szCs w:val="24"/>
              </w:rPr>
              <w:t>调味品</w:t>
            </w:r>
            <w:r>
              <w:rPr>
                <w:b/>
                <w:sz w:val="24"/>
                <w:szCs w:val="24"/>
              </w:rPr>
              <w:t>）工艺流程及产排污环节图</w:t>
            </w:r>
          </w:p>
          <w:p w14:paraId="21BC77B7">
            <w:pPr>
              <w:spacing w:line="360" w:lineRule="auto"/>
              <w:ind w:firstLine="482" w:firstLineChars="200"/>
              <w:rPr>
                <w:sz w:val="24"/>
                <w:szCs w:val="24"/>
              </w:rPr>
            </w:pPr>
            <w:r>
              <w:rPr>
                <w:b/>
                <w:sz w:val="24"/>
                <w:szCs w:val="24"/>
              </w:rPr>
              <w:t>猪蹄火锅（</w:t>
            </w:r>
            <w:r>
              <w:rPr>
                <w:rFonts w:hint="eastAsia"/>
                <w:b/>
                <w:sz w:val="24"/>
                <w:szCs w:val="24"/>
              </w:rPr>
              <w:t>调味品</w:t>
            </w:r>
            <w:r>
              <w:rPr>
                <w:b/>
                <w:sz w:val="24"/>
                <w:szCs w:val="24"/>
              </w:rPr>
              <w:t>）工艺流程简述：</w:t>
            </w:r>
          </w:p>
          <w:p w14:paraId="11426958">
            <w:pPr>
              <w:adjustRightInd w:val="0"/>
              <w:spacing w:line="360" w:lineRule="auto"/>
              <w:ind w:firstLine="480" w:firstLineChars="200"/>
              <w:rPr>
                <w:sz w:val="24"/>
                <w:szCs w:val="24"/>
              </w:rPr>
            </w:pPr>
            <w:r>
              <w:rPr>
                <w:sz w:val="24"/>
                <w:szCs w:val="24"/>
              </w:rPr>
              <w:t>（1）</w:t>
            </w:r>
            <w:r>
              <w:rPr>
                <w:rFonts w:hint="eastAsia"/>
                <w:sz w:val="24"/>
                <w:szCs w:val="24"/>
              </w:rPr>
              <w:t>检验：</w:t>
            </w:r>
            <w:r>
              <w:rPr>
                <w:sz w:val="24"/>
                <w:szCs w:val="24"/>
              </w:rPr>
              <w:t>原材料经过检查合格后，由人工质检严格选优去劣，剔除有问题的原料，该工序会产生</w:t>
            </w:r>
            <w:r>
              <w:rPr>
                <w:rFonts w:hint="eastAsia"/>
                <w:sz w:val="24"/>
                <w:szCs w:val="24"/>
              </w:rPr>
              <w:t>废边角料及不合格产品S3。</w:t>
            </w:r>
          </w:p>
          <w:p w14:paraId="00A79EB4">
            <w:pPr>
              <w:adjustRightInd w:val="0"/>
              <w:spacing w:line="360" w:lineRule="auto"/>
              <w:ind w:firstLine="480" w:firstLineChars="200"/>
              <w:rPr>
                <w:sz w:val="24"/>
                <w:szCs w:val="24"/>
              </w:rPr>
            </w:pPr>
            <w:r>
              <w:rPr>
                <w:sz w:val="24"/>
                <w:szCs w:val="24"/>
              </w:rPr>
              <w:t>（2）拆包：经人工质检合格后的原料，将拆除原料包装，该工序会产生废包装材料S4。</w:t>
            </w:r>
          </w:p>
          <w:p w14:paraId="433AA338">
            <w:pPr>
              <w:adjustRightInd w:val="0"/>
              <w:spacing w:line="360" w:lineRule="auto"/>
              <w:ind w:firstLine="480" w:firstLineChars="200"/>
              <w:rPr>
                <w:sz w:val="24"/>
                <w:szCs w:val="24"/>
              </w:rPr>
            </w:pPr>
            <w:r>
              <w:rPr>
                <w:rFonts w:hint="eastAsia"/>
                <w:sz w:val="24"/>
                <w:szCs w:val="24"/>
              </w:rPr>
              <w:t>（3）前处理：</w:t>
            </w:r>
            <w:r>
              <w:rPr>
                <w:sz w:val="24"/>
                <w:szCs w:val="24"/>
              </w:rPr>
              <w:t>将</w:t>
            </w:r>
            <w:r>
              <w:rPr>
                <w:rFonts w:hint="eastAsia"/>
                <w:sz w:val="24"/>
                <w:szCs w:val="24"/>
              </w:rPr>
              <w:t>原料</w:t>
            </w:r>
            <w:r>
              <w:rPr>
                <w:sz w:val="24"/>
                <w:szCs w:val="24"/>
              </w:rPr>
              <w:t>通过输送带输送到保温清洗罐进行清洗，使用</w:t>
            </w:r>
            <w:r>
              <w:rPr>
                <w:rFonts w:hint="eastAsia"/>
                <w:sz w:val="24"/>
                <w:szCs w:val="24"/>
              </w:rPr>
              <w:t>清</w:t>
            </w:r>
            <w:r>
              <w:rPr>
                <w:sz w:val="24"/>
                <w:szCs w:val="24"/>
              </w:rPr>
              <w:t>水清洗后在清洗罐中备用，此过程污染物主要为</w:t>
            </w:r>
            <w:r>
              <w:rPr>
                <w:rFonts w:hint="eastAsia"/>
                <w:sz w:val="24"/>
                <w:szCs w:val="24"/>
              </w:rPr>
              <w:t>废边角料S3、</w:t>
            </w:r>
            <w:r>
              <w:rPr>
                <w:sz w:val="24"/>
                <w:szCs w:val="24"/>
              </w:rPr>
              <w:t>清洗废水</w:t>
            </w:r>
            <w:r>
              <w:rPr>
                <w:rFonts w:hint="eastAsia"/>
                <w:sz w:val="24"/>
                <w:szCs w:val="24"/>
              </w:rPr>
              <w:t>W9</w:t>
            </w:r>
            <w:r>
              <w:rPr>
                <w:sz w:val="24"/>
                <w:szCs w:val="24"/>
              </w:rPr>
              <w:t>和噪声</w:t>
            </w:r>
            <w:r>
              <w:rPr>
                <w:rFonts w:hint="eastAsia"/>
                <w:sz w:val="24"/>
                <w:szCs w:val="24"/>
              </w:rPr>
              <w:t>N</w:t>
            </w:r>
            <w:r>
              <w:rPr>
                <w:sz w:val="24"/>
                <w:szCs w:val="24"/>
              </w:rPr>
              <w:t>。</w:t>
            </w:r>
          </w:p>
          <w:p w14:paraId="12EE9586">
            <w:pPr>
              <w:adjustRightInd w:val="0"/>
              <w:spacing w:line="360" w:lineRule="auto"/>
              <w:ind w:firstLine="480" w:firstLineChars="200"/>
              <w:rPr>
                <w:sz w:val="24"/>
                <w:szCs w:val="24"/>
              </w:rPr>
            </w:pPr>
            <w:r>
              <w:rPr>
                <w:rFonts w:hint="eastAsia"/>
                <w:sz w:val="24"/>
                <w:szCs w:val="24"/>
              </w:rPr>
              <w:t>（4）配料：</w:t>
            </w:r>
            <w:r>
              <w:rPr>
                <w:sz w:val="24"/>
                <w:szCs w:val="24"/>
              </w:rPr>
              <w:t>采用人工称重的方式，按照一定比例配比辣椒、花椒、香料。</w:t>
            </w:r>
          </w:p>
          <w:p w14:paraId="44DCA668">
            <w:pPr>
              <w:adjustRightInd w:val="0"/>
              <w:spacing w:line="360" w:lineRule="auto"/>
              <w:ind w:firstLine="480" w:firstLineChars="200"/>
              <w:rPr>
                <w:sz w:val="24"/>
                <w:szCs w:val="24"/>
              </w:rPr>
            </w:pPr>
            <w:r>
              <w:rPr>
                <w:rFonts w:hint="eastAsia"/>
                <w:sz w:val="24"/>
                <w:szCs w:val="24"/>
              </w:rPr>
              <w:t>（5）</w:t>
            </w:r>
            <w:r>
              <w:rPr>
                <w:sz w:val="24"/>
                <w:szCs w:val="24"/>
              </w:rPr>
              <w:t>炒制</w:t>
            </w:r>
            <w:r>
              <w:rPr>
                <w:rFonts w:hint="eastAsia"/>
                <w:sz w:val="24"/>
                <w:szCs w:val="24"/>
              </w:rPr>
              <w:t>：</w:t>
            </w:r>
            <w:r>
              <w:rPr>
                <w:sz w:val="24"/>
                <w:szCs w:val="24"/>
              </w:rPr>
              <w:t>将</w:t>
            </w:r>
            <w:r>
              <w:rPr>
                <w:rFonts w:hint="eastAsia"/>
                <w:sz w:val="24"/>
                <w:szCs w:val="24"/>
              </w:rPr>
              <w:t>食用油</w:t>
            </w:r>
            <w:r>
              <w:rPr>
                <w:sz w:val="24"/>
                <w:szCs w:val="24"/>
              </w:rPr>
              <w:t>输送至天然气自翻炒锅内，利用天然气为加热将油料进行预热，升温至100℃左右，同一定比例配比后的原辅料一同加入油预热后的自翻炒锅内，于220℃左右，加盖炒制一定的时间后，离火焖制，自然冷却至60℃左右后储存于储料罐中备用，采用天然气加热，此过程产生污染物主要为油烟</w:t>
            </w:r>
            <w:r>
              <w:rPr>
                <w:rFonts w:hint="eastAsia"/>
                <w:sz w:val="24"/>
                <w:szCs w:val="24"/>
              </w:rPr>
              <w:t>G4</w:t>
            </w:r>
            <w:r>
              <w:rPr>
                <w:sz w:val="24"/>
                <w:szCs w:val="24"/>
              </w:rPr>
              <w:t>、设备噪声</w:t>
            </w:r>
            <w:r>
              <w:rPr>
                <w:rFonts w:hint="eastAsia"/>
                <w:sz w:val="24"/>
                <w:szCs w:val="24"/>
              </w:rPr>
              <w:t>N</w:t>
            </w:r>
            <w:r>
              <w:rPr>
                <w:sz w:val="24"/>
                <w:szCs w:val="24"/>
              </w:rPr>
              <w:t>、天然气燃烧废气</w:t>
            </w:r>
            <w:r>
              <w:rPr>
                <w:rFonts w:hint="eastAsia"/>
                <w:sz w:val="24"/>
                <w:szCs w:val="24"/>
              </w:rPr>
              <w:t>G2</w:t>
            </w:r>
            <w:r>
              <w:rPr>
                <w:sz w:val="24"/>
                <w:szCs w:val="24"/>
              </w:rPr>
              <w:t>等。</w:t>
            </w:r>
          </w:p>
          <w:p w14:paraId="29212FBA">
            <w:pPr>
              <w:adjustRightInd w:val="0"/>
              <w:spacing w:line="360" w:lineRule="auto"/>
              <w:ind w:firstLine="480" w:firstLineChars="200"/>
              <w:rPr>
                <w:sz w:val="24"/>
                <w:szCs w:val="24"/>
              </w:rPr>
            </w:pPr>
            <w:r>
              <w:rPr>
                <w:rFonts w:hint="eastAsia"/>
                <w:sz w:val="24"/>
                <w:szCs w:val="24"/>
              </w:rPr>
              <w:t>（6）</w:t>
            </w:r>
            <w:r>
              <w:rPr>
                <w:spacing w:val="-6"/>
                <w:sz w:val="24"/>
                <w:szCs w:val="24"/>
              </w:rPr>
              <w:t>内袋杀菌：</w:t>
            </w:r>
            <w:r>
              <w:rPr>
                <w:sz w:val="24"/>
                <w:szCs w:val="24"/>
              </w:rPr>
              <w:t>采用蒸汽对内包装进行高温消毒处理，该工序会产生N设备噪声和杀菌冷凝水W5。杀菌后产品自然冷却（约30min）至室温</w:t>
            </w:r>
            <w:r>
              <w:rPr>
                <w:rFonts w:hint="eastAsia"/>
                <w:sz w:val="24"/>
                <w:szCs w:val="24"/>
              </w:rPr>
              <w:t>。</w:t>
            </w:r>
          </w:p>
          <w:p w14:paraId="48CEBBAC">
            <w:pPr>
              <w:adjustRightInd w:val="0"/>
              <w:spacing w:line="360" w:lineRule="auto"/>
              <w:ind w:firstLine="480" w:firstLineChars="200"/>
              <w:rPr>
                <w:sz w:val="24"/>
                <w:szCs w:val="24"/>
              </w:rPr>
            </w:pPr>
            <w:r>
              <w:rPr>
                <w:rFonts w:hint="eastAsia"/>
                <w:sz w:val="24"/>
                <w:szCs w:val="24"/>
              </w:rPr>
              <w:t>（7）罐装：储料罐中得到火锅调味料经管道由灌装机自动包装；此过程污染物主要为设备噪声N、废包装材料S4。</w:t>
            </w:r>
          </w:p>
          <w:p w14:paraId="7E2007AB">
            <w:pPr>
              <w:adjustRightInd w:val="0"/>
              <w:spacing w:line="360" w:lineRule="auto"/>
              <w:ind w:firstLine="456" w:firstLineChars="200"/>
              <w:rPr>
                <w:sz w:val="24"/>
                <w:szCs w:val="24"/>
              </w:rPr>
            </w:pPr>
            <w:r>
              <w:rPr>
                <w:spacing w:val="-6"/>
                <w:sz w:val="24"/>
                <w:szCs w:val="24"/>
              </w:rPr>
              <w:t>（</w:t>
            </w:r>
            <w:r>
              <w:rPr>
                <w:rFonts w:hint="eastAsia"/>
                <w:spacing w:val="-6"/>
                <w:sz w:val="24"/>
                <w:szCs w:val="24"/>
              </w:rPr>
              <w:t>8</w:t>
            </w:r>
            <w:r>
              <w:rPr>
                <w:spacing w:val="-6"/>
                <w:sz w:val="24"/>
                <w:szCs w:val="24"/>
              </w:rPr>
              <w:t>）全检外包：将</w:t>
            </w:r>
            <w:r>
              <w:rPr>
                <w:rFonts w:hint="eastAsia"/>
                <w:spacing w:val="-6"/>
                <w:sz w:val="24"/>
                <w:szCs w:val="24"/>
              </w:rPr>
              <w:t>包装</w:t>
            </w:r>
            <w:r>
              <w:rPr>
                <w:spacing w:val="-6"/>
                <w:sz w:val="24"/>
                <w:szCs w:val="24"/>
              </w:rPr>
              <w:t>后的产品进行检查，检验是否有空包、漏气等情况，检查合格的</w:t>
            </w:r>
            <w:r>
              <w:rPr>
                <w:sz w:val="24"/>
                <w:szCs w:val="24"/>
              </w:rPr>
              <w:t>产品进行外包，并采用真空封口。该工序会产生S3不合格产品、S4废包装材料及N设备噪声。</w:t>
            </w:r>
          </w:p>
          <w:p w14:paraId="6415FA0E">
            <w:pPr>
              <w:spacing w:line="360" w:lineRule="auto"/>
              <w:ind w:firstLine="480" w:firstLineChars="200"/>
              <w:rPr>
                <w:sz w:val="24"/>
                <w:szCs w:val="24"/>
              </w:rPr>
            </w:pPr>
            <w:r>
              <w:rPr>
                <w:sz w:val="24"/>
                <w:szCs w:val="24"/>
              </w:rPr>
              <w:t>（</w:t>
            </w:r>
            <w:r>
              <w:rPr>
                <w:rFonts w:hint="eastAsia"/>
                <w:sz w:val="24"/>
                <w:szCs w:val="24"/>
              </w:rPr>
              <w:t>9</w:t>
            </w:r>
            <w:r>
              <w:rPr>
                <w:sz w:val="24"/>
                <w:szCs w:val="24"/>
              </w:rPr>
              <w:t>）检验（耗时约 30min）：最后对产品进行检查，成品经人工质检后，入库储存。该工序会产生S3不合格产品。</w:t>
            </w:r>
          </w:p>
          <w:p w14:paraId="5403A01E">
            <w:pPr>
              <w:adjustRightInd w:val="0"/>
              <w:spacing w:line="360" w:lineRule="auto"/>
              <w:ind w:firstLine="480" w:firstLineChars="200"/>
              <w:rPr>
                <w:sz w:val="24"/>
                <w:szCs w:val="24"/>
              </w:rPr>
            </w:pPr>
            <w:r>
              <w:rPr>
                <w:sz w:val="24"/>
                <w:szCs w:val="24"/>
              </w:rPr>
              <w:t>（</w:t>
            </w:r>
            <w:r>
              <w:rPr>
                <w:rFonts w:hint="eastAsia"/>
                <w:sz w:val="24"/>
                <w:szCs w:val="24"/>
              </w:rPr>
              <w:t>10</w:t>
            </w:r>
            <w:r>
              <w:rPr>
                <w:sz w:val="24"/>
                <w:szCs w:val="24"/>
              </w:rPr>
              <w:t>）产品入库：成品经人工质检合格后，入常温库储存。</w:t>
            </w:r>
          </w:p>
          <w:p w14:paraId="5CEE4677">
            <w:pPr>
              <w:spacing w:line="360" w:lineRule="auto"/>
              <w:ind w:firstLine="456" w:firstLineChars="200"/>
              <w:rPr>
                <w:spacing w:val="-6"/>
                <w:sz w:val="24"/>
                <w:szCs w:val="24"/>
              </w:rPr>
            </w:pPr>
            <w:r>
              <w:rPr>
                <w:spacing w:val="-6"/>
                <w:sz w:val="24"/>
                <w:szCs w:val="24"/>
              </w:rPr>
              <w:t>根据工艺流程及产排污环节图和工艺流程简述内容，本项目产排污情况如下表。</w:t>
            </w:r>
          </w:p>
          <w:p w14:paraId="0920AC6F">
            <w:pPr>
              <w:snapToGrid w:val="0"/>
              <w:spacing w:line="360" w:lineRule="auto"/>
              <w:jc w:val="center"/>
              <w:rPr>
                <w:b/>
                <w:bCs/>
                <w:kern w:val="0"/>
                <w:sz w:val="24"/>
                <w:szCs w:val="24"/>
              </w:rPr>
            </w:pPr>
            <w:r>
              <w:rPr>
                <w:b/>
                <w:bCs/>
                <w:kern w:val="0"/>
                <w:sz w:val="24"/>
                <w:szCs w:val="24"/>
              </w:rPr>
              <w:t>表2-9  本项目产排污情况一览表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362"/>
              <w:gridCol w:w="356"/>
              <w:gridCol w:w="576"/>
              <w:gridCol w:w="1937"/>
              <w:gridCol w:w="2373"/>
              <w:gridCol w:w="2857"/>
            </w:tblGrid>
            <w:tr w14:paraId="5C64DB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397" w:hRule="atLeast"/>
                <w:jc w:val="center"/>
              </w:trPr>
              <w:tc>
                <w:tcPr>
                  <w:tcW w:w="362" w:type="dxa"/>
                  <w:vAlign w:val="center"/>
                </w:tcPr>
                <w:p w14:paraId="5DFB8067">
                  <w:pPr>
                    <w:snapToGrid w:val="0"/>
                    <w:jc w:val="center"/>
                    <w:rPr>
                      <w:b/>
                      <w:bCs/>
                      <w:szCs w:val="21"/>
                    </w:rPr>
                  </w:pPr>
                  <w:r>
                    <w:rPr>
                      <w:b/>
                      <w:bCs/>
                      <w:szCs w:val="21"/>
                    </w:rPr>
                    <w:t>序号</w:t>
                  </w:r>
                </w:p>
              </w:tc>
              <w:tc>
                <w:tcPr>
                  <w:tcW w:w="356" w:type="dxa"/>
                  <w:vAlign w:val="center"/>
                </w:tcPr>
                <w:p w14:paraId="13880FC0">
                  <w:pPr>
                    <w:snapToGrid w:val="0"/>
                    <w:jc w:val="center"/>
                    <w:rPr>
                      <w:b/>
                      <w:bCs/>
                      <w:szCs w:val="21"/>
                    </w:rPr>
                  </w:pPr>
                  <w:r>
                    <w:rPr>
                      <w:b/>
                      <w:bCs/>
                      <w:szCs w:val="21"/>
                    </w:rPr>
                    <w:t>类别</w:t>
                  </w:r>
                </w:p>
              </w:tc>
              <w:tc>
                <w:tcPr>
                  <w:tcW w:w="576" w:type="dxa"/>
                  <w:vAlign w:val="center"/>
                </w:tcPr>
                <w:p w14:paraId="41A59A68">
                  <w:pPr>
                    <w:snapToGrid w:val="0"/>
                    <w:jc w:val="center"/>
                    <w:rPr>
                      <w:b/>
                      <w:bCs/>
                      <w:szCs w:val="21"/>
                    </w:rPr>
                  </w:pPr>
                  <w:r>
                    <w:rPr>
                      <w:b/>
                      <w:bCs/>
                      <w:szCs w:val="21"/>
                    </w:rPr>
                    <w:t>编号</w:t>
                  </w:r>
                </w:p>
              </w:tc>
              <w:tc>
                <w:tcPr>
                  <w:tcW w:w="1937" w:type="dxa"/>
                  <w:vAlign w:val="center"/>
                </w:tcPr>
                <w:p w14:paraId="131B33C3">
                  <w:pPr>
                    <w:snapToGrid w:val="0"/>
                    <w:jc w:val="center"/>
                    <w:rPr>
                      <w:b/>
                      <w:bCs/>
                      <w:szCs w:val="21"/>
                    </w:rPr>
                  </w:pPr>
                  <w:r>
                    <w:rPr>
                      <w:b/>
                      <w:bCs/>
                      <w:szCs w:val="21"/>
                    </w:rPr>
                    <w:t>主要生产单元名称</w:t>
                  </w:r>
                </w:p>
              </w:tc>
              <w:tc>
                <w:tcPr>
                  <w:tcW w:w="2373" w:type="dxa"/>
                  <w:vAlign w:val="center"/>
                </w:tcPr>
                <w:p w14:paraId="53B86032">
                  <w:pPr>
                    <w:snapToGrid w:val="0"/>
                    <w:jc w:val="center"/>
                    <w:rPr>
                      <w:b/>
                      <w:bCs/>
                      <w:szCs w:val="21"/>
                    </w:rPr>
                  </w:pPr>
                  <w:r>
                    <w:rPr>
                      <w:b/>
                      <w:bCs/>
                      <w:szCs w:val="21"/>
                    </w:rPr>
                    <w:t>产污环节</w:t>
                  </w:r>
                </w:p>
              </w:tc>
              <w:tc>
                <w:tcPr>
                  <w:tcW w:w="2857" w:type="dxa"/>
                  <w:vAlign w:val="center"/>
                </w:tcPr>
                <w:p w14:paraId="4065FEE2">
                  <w:pPr>
                    <w:snapToGrid w:val="0"/>
                    <w:jc w:val="center"/>
                    <w:rPr>
                      <w:b/>
                      <w:bCs/>
                      <w:szCs w:val="21"/>
                    </w:rPr>
                  </w:pPr>
                  <w:r>
                    <w:rPr>
                      <w:b/>
                      <w:bCs/>
                      <w:szCs w:val="21"/>
                    </w:rPr>
                    <w:t>主要污染物</w:t>
                  </w:r>
                </w:p>
              </w:tc>
            </w:tr>
            <w:tr w14:paraId="719D04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397" w:hRule="atLeast"/>
                <w:jc w:val="center"/>
              </w:trPr>
              <w:tc>
                <w:tcPr>
                  <w:tcW w:w="362" w:type="dxa"/>
                  <w:vAlign w:val="center"/>
                </w:tcPr>
                <w:p w14:paraId="70DF0FE1">
                  <w:pPr>
                    <w:adjustRightInd w:val="0"/>
                    <w:snapToGrid w:val="0"/>
                    <w:jc w:val="center"/>
                    <w:rPr>
                      <w:szCs w:val="21"/>
                    </w:rPr>
                  </w:pPr>
                  <w:r>
                    <w:rPr>
                      <w:szCs w:val="21"/>
                    </w:rPr>
                    <w:t>1</w:t>
                  </w:r>
                </w:p>
              </w:tc>
              <w:tc>
                <w:tcPr>
                  <w:tcW w:w="356" w:type="dxa"/>
                  <w:vMerge w:val="restart"/>
                  <w:vAlign w:val="center"/>
                </w:tcPr>
                <w:p w14:paraId="54B3F72D">
                  <w:pPr>
                    <w:adjustRightInd w:val="0"/>
                    <w:snapToGrid w:val="0"/>
                    <w:jc w:val="center"/>
                    <w:rPr>
                      <w:szCs w:val="21"/>
                    </w:rPr>
                  </w:pPr>
                  <w:r>
                    <w:rPr>
                      <w:szCs w:val="21"/>
                    </w:rPr>
                    <w:t>废气</w:t>
                  </w:r>
                </w:p>
              </w:tc>
              <w:tc>
                <w:tcPr>
                  <w:tcW w:w="576" w:type="dxa"/>
                  <w:vAlign w:val="center"/>
                </w:tcPr>
                <w:p w14:paraId="755341E4">
                  <w:pPr>
                    <w:adjustRightInd w:val="0"/>
                    <w:snapToGrid w:val="0"/>
                    <w:jc w:val="center"/>
                    <w:rPr>
                      <w:szCs w:val="21"/>
                    </w:rPr>
                  </w:pPr>
                  <w:r>
                    <w:rPr>
                      <w:szCs w:val="21"/>
                    </w:rPr>
                    <w:t>G1</w:t>
                  </w:r>
                </w:p>
              </w:tc>
              <w:tc>
                <w:tcPr>
                  <w:tcW w:w="1937" w:type="dxa"/>
                  <w:vAlign w:val="center"/>
                </w:tcPr>
                <w:p w14:paraId="1715926E">
                  <w:pPr>
                    <w:adjustRightInd w:val="0"/>
                    <w:snapToGrid w:val="0"/>
                    <w:jc w:val="center"/>
                    <w:rPr>
                      <w:szCs w:val="21"/>
                    </w:rPr>
                  </w:pPr>
                  <w:r>
                    <w:rPr>
                      <w:szCs w:val="21"/>
                    </w:rPr>
                    <w:t>锅炉车间</w:t>
                  </w:r>
                </w:p>
              </w:tc>
              <w:tc>
                <w:tcPr>
                  <w:tcW w:w="2373" w:type="dxa"/>
                  <w:vAlign w:val="center"/>
                </w:tcPr>
                <w:p w14:paraId="1201A4CF">
                  <w:pPr>
                    <w:adjustRightInd w:val="0"/>
                    <w:snapToGrid w:val="0"/>
                    <w:jc w:val="center"/>
                    <w:rPr>
                      <w:szCs w:val="21"/>
                    </w:rPr>
                  </w:pPr>
                  <w:r>
                    <w:rPr>
                      <w:szCs w:val="21"/>
                    </w:rPr>
                    <w:t>锅炉废气</w:t>
                  </w:r>
                </w:p>
              </w:tc>
              <w:tc>
                <w:tcPr>
                  <w:tcW w:w="2857" w:type="dxa"/>
                  <w:vAlign w:val="center"/>
                </w:tcPr>
                <w:p w14:paraId="2A36CC8C">
                  <w:pPr>
                    <w:adjustRightInd w:val="0"/>
                    <w:snapToGrid w:val="0"/>
                    <w:jc w:val="center"/>
                    <w:rPr>
                      <w:szCs w:val="21"/>
                    </w:rPr>
                  </w:pPr>
                  <w:r>
                    <w:rPr>
                      <w:szCs w:val="21"/>
                    </w:rPr>
                    <w:t>颗粒物、SO2、NOx、林格曼黑度</w:t>
                  </w:r>
                </w:p>
              </w:tc>
            </w:tr>
            <w:tr w14:paraId="386863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397" w:hRule="atLeast"/>
                <w:jc w:val="center"/>
              </w:trPr>
              <w:tc>
                <w:tcPr>
                  <w:tcW w:w="362" w:type="dxa"/>
                  <w:vAlign w:val="center"/>
                </w:tcPr>
                <w:p w14:paraId="78D252D9">
                  <w:pPr>
                    <w:adjustRightInd w:val="0"/>
                    <w:snapToGrid w:val="0"/>
                    <w:jc w:val="center"/>
                    <w:rPr>
                      <w:szCs w:val="21"/>
                    </w:rPr>
                  </w:pPr>
                  <w:r>
                    <w:rPr>
                      <w:rFonts w:hint="eastAsia"/>
                      <w:szCs w:val="21"/>
                    </w:rPr>
                    <w:t>2</w:t>
                  </w:r>
                </w:p>
              </w:tc>
              <w:tc>
                <w:tcPr>
                  <w:tcW w:w="356" w:type="dxa"/>
                  <w:vMerge w:val="continue"/>
                  <w:vAlign w:val="center"/>
                </w:tcPr>
                <w:p w14:paraId="7B5AE1F0">
                  <w:pPr>
                    <w:adjustRightInd w:val="0"/>
                    <w:snapToGrid w:val="0"/>
                    <w:jc w:val="center"/>
                    <w:rPr>
                      <w:szCs w:val="21"/>
                    </w:rPr>
                  </w:pPr>
                </w:p>
              </w:tc>
              <w:tc>
                <w:tcPr>
                  <w:tcW w:w="576" w:type="dxa"/>
                  <w:vAlign w:val="center"/>
                </w:tcPr>
                <w:p w14:paraId="00F93D43">
                  <w:pPr>
                    <w:adjustRightInd w:val="0"/>
                    <w:snapToGrid w:val="0"/>
                    <w:jc w:val="center"/>
                    <w:rPr>
                      <w:szCs w:val="21"/>
                    </w:rPr>
                  </w:pPr>
                  <w:r>
                    <w:rPr>
                      <w:szCs w:val="21"/>
                    </w:rPr>
                    <w:t>G2</w:t>
                  </w:r>
                </w:p>
              </w:tc>
              <w:tc>
                <w:tcPr>
                  <w:tcW w:w="1937" w:type="dxa"/>
                  <w:vAlign w:val="center"/>
                </w:tcPr>
                <w:p w14:paraId="74C08913">
                  <w:pPr>
                    <w:adjustRightInd w:val="0"/>
                    <w:snapToGrid w:val="0"/>
                    <w:jc w:val="center"/>
                    <w:rPr>
                      <w:szCs w:val="21"/>
                    </w:rPr>
                  </w:pPr>
                  <w:r>
                    <w:rPr>
                      <w:szCs w:val="21"/>
                    </w:rPr>
                    <w:t>天然气燃烧废气</w:t>
                  </w:r>
                </w:p>
              </w:tc>
              <w:tc>
                <w:tcPr>
                  <w:tcW w:w="2373" w:type="dxa"/>
                  <w:vAlign w:val="center"/>
                </w:tcPr>
                <w:p w14:paraId="643444B7">
                  <w:pPr>
                    <w:adjustRightInd w:val="0"/>
                    <w:snapToGrid w:val="0"/>
                    <w:jc w:val="center"/>
                    <w:rPr>
                      <w:szCs w:val="21"/>
                    </w:rPr>
                  </w:pPr>
                  <w:r>
                    <w:rPr>
                      <w:szCs w:val="21"/>
                    </w:rPr>
                    <w:t>烧毛、烙毛、熬制</w:t>
                  </w:r>
                </w:p>
              </w:tc>
              <w:tc>
                <w:tcPr>
                  <w:tcW w:w="2857" w:type="dxa"/>
                  <w:vAlign w:val="center"/>
                </w:tcPr>
                <w:p w14:paraId="18927487">
                  <w:pPr>
                    <w:adjustRightInd w:val="0"/>
                    <w:snapToGrid w:val="0"/>
                    <w:jc w:val="center"/>
                    <w:rPr>
                      <w:szCs w:val="21"/>
                    </w:rPr>
                  </w:pPr>
                  <w:r>
                    <w:rPr>
                      <w:szCs w:val="21"/>
                      <w:lang w:bidi="ar"/>
                    </w:rPr>
                    <w:t>颗粒物、SO</w:t>
                  </w:r>
                  <w:r>
                    <w:rPr>
                      <w:szCs w:val="21"/>
                      <w:vertAlign w:val="subscript"/>
                      <w:lang w:bidi="ar"/>
                    </w:rPr>
                    <w:t>2</w:t>
                  </w:r>
                  <w:r>
                    <w:rPr>
                      <w:szCs w:val="21"/>
                      <w:lang w:bidi="ar"/>
                    </w:rPr>
                    <w:t>、NOx</w:t>
                  </w:r>
                  <w:r>
                    <w:rPr>
                      <w:rFonts w:hint="eastAsia"/>
                    </w:rPr>
                    <w:t>、</w:t>
                  </w:r>
                  <w:r>
                    <w:rPr>
                      <w:szCs w:val="21"/>
                    </w:rPr>
                    <w:t>臭气浓度</w:t>
                  </w:r>
                </w:p>
              </w:tc>
            </w:tr>
            <w:tr w14:paraId="3E8131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397" w:hRule="atLeast"/>
                <w:jc w:val="center"/>
              </w:trPr>
              <w:tc>
                <w:tcPr>
                  <w:tcW w:w="362" w:type="dxa"/>
                  <w:vAlign w:val="center"/>
                </w:tcPr>
                <w:p w14:paraId="378D5295">
                  <w:pPr>
                    <w:adjustRightInd w:val="0"/>
                    <w:snapToGrid w:val="0"/>
                    <w:jc w:val="center"/>
                    <w:rPr>
                      <w:szCs w:val="21"/>
                    </w:rPr>
                  </w:pPr>
                  <w:r>
                    <w:rPr>
                      <w:rFonts w:hint="eastAsia"/>
                      <w:szCs w:val="21"/>
                    </w:rPr>
                    <w:t>3</w:t>
                  </w:r>
                </w:p>
              </w:tc>
              <w:tc>
                <w:tcPr>
                  <w:tcW w:w="356" w:type="dxa"/>
                  <w:vMerge w:val="continue"/>
                  <w:vAlign w:val="center"/>
                </w:tcPr>
                <w:p w14:paraId="7BEE9A75">
                  <w:pPr>
                    <w:adjustRightInd w:val="0"/>
                    <w:snapToGrid w:val="0"/>
                    <w:jc w:val="center"/>
                    <w:rPr>
                      <w:szCs w:val="21"/>
                    </w:rPr>
                  </w:pPr>
                </w:p>
              </w:tc>
              <w:tc>
                <w:tcPr>
                  <w:tcW w:w="576" w:type="dxa"/>
                  <w:vAlign w:val="center"/>
                </w:tcPr>
                <w:p w14:paraId="139C3893">
                  <w:pPr>
                    <w:adjustRightInd w:val="0"/>
                    <w:snapToGrid w:val="0"/>
                    <w:jc w:val="center"/>
                    <w:rPr>
                      <w:szCs w:val="21"/>
                    </w:rPr>
                  </w:pPr>
                  <w:r>
                    <w:rPr>
                      <w:szCs w:val="21"/>
                    </w:rPr>
                    <w:t>G3</w:t>
                  </w:r>
                </w:p>
              </w:tc>
              <w:tc>
                <w:tcPr>
                  <w:tcW w:w="1937" w:type="dxa"/>
                  <w:vAlign w:val="center"/>
                </w:tcPr>
                <w:p w14:paraId="28E9E737">
                  <w:pPr>
                    <w:adjustRightInd w:val="0"/>
                    <w:snapToGrid w:val="0"/>
                    <w:jc w:val="center"/>
                    <w:rPr>
                      <w:szCs w:val="21"/>
                    </w:rPr>
                  </w:pPr>
                  <w:r>
                    <w:rPr>
                      <w:szCs w:val="21"/>
                    </w:rPr>
                    <w:t>生产区</w:t>
                  </w:r>
                </w:p>
              </w:tc>
              <w:tc>
                <w:tcPr>
                  <w:tcW w:w="2373" w:type="dxa"/>
                  <w:vAlign w:val="center"/>
                </w:tcPr>
                <w:p w14:paraId="4917400F">
                  <w:pPr>
                    <w:adjustRightInd w:val="0"/>
                    <w:snapToGrid w:val="0"/>
                    <w:jc w:val="center"/>
                    <w:rPr>
                      <w:szCs w:val="21"/>
                    </w:rPr>
                  </w:pPr>
                  <w:r>
                    <w:rPr>
                      <w:szCs w:val="21"/>
                    </w:rPr>
                    <w:t>车间异味</w:t>
                  </w:r>
                </w:p>
              </w:tc>
              <w:tc>
                <w:tcPr>
                  <w:tcW w:w="2857" w:type="dxa"/>
                  <w:vAlign w:val="center"/>
                </w:tcPr>
                <w:p w14:paraId="64438A03">
                  <w:pPr>
                    <w:adjustRightInd w:val="0"/>
                    <w:snapToGrid w:val="0"/>
                    <w:jc w:val="center"/>
                    <w:rPr>
                      <w:szCs w:val="21"/>
                    </w:rPr>
                  </w:pPr>
                  <w:r>
                    <w:rPr>
                      <w:szCs w:val="21"/>
                    </w:rPr>
                    <w:t>臭气浓度</w:t>
                  </w:r>
                </w:p>
              </w:tc>
            </w:tr>
            <w:tr w14:paraId="6E0F7C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397" w:hRule="atLeast"/>
                <w:jc w:val="center"/>
              </w:trPr>
              <w:tc>
                <w:tcPr>
                  <w:tcW w:w="362" w:type="dxa"/>
                  <w:vAlign w:val="center"/>
                </w:tcPr>
                <w:p w14:paraId="7BEE3732">
                  <w:pPr>
                    <w:adjustRightInd w:val="0"/>
                    <w:snapToGrid w:val="0"/>
                    <w:jc w:val="center"/>
                    <w:rPr>
                      <w:szCs w:val="21"/>
                    </w:rPr>
                  </w:pPr>
                  <w:r>
                    <w:rPr>
                      <w:rFonts w:hint="eastAsia"/>
                      <w:szCs w:val="21"/>
                    </w:rPr>
                    <w:t>4</w:t>
                  </w:r>
                </w:p>
              </w:tc>
              <w:tc>
                <w:tcPr>
                  <w:tcW w:w="356" w:type="dxa"/>
                  <w:vMerge w:val="continue"/>
                  <w:vAlign w:val="center"/>
                </w:tcPr>
                <w:p w14:paraId="7B22BF9C">
                  <w:pPr>
                    <w:adjustRightInd w:val="0"/>
                    <w:snapToGrid w:val="0"/>
                    <w:jc w:val="center"/>
                    <w:rPr>
                      <w:szCs w:val="21"/>
                    </w:rPr>
                  </w:pPr>
                </w:p>
              </w:tc>
              <w:tc>
                <w:tcPr>
                  <w:tcW w:w="576" w:type="dxa"/>
                  <w:vAlign w:val="center"/>
                </w:tcPr>
                <w:p w14:paraId="541C368C">
                  <w:pPr>
                    <w:adjustRightInd w:val="0"/>
                    <w:snapToGrid w:val="0"/>
                    <w:jc w:val="center"/>
                    <w:rPr>
                      <w:szCs w:val="21"/>
                    </w:rPr>
                  </w:pPr>
                  <w:r>
                    <w:rPr>
                      <w:rFonts w:hint="eastAsia"/>
                      <w:szCs w:val="21"/>
                    </w:rPr>
                    <w:t>G4</w:t>
                  </w:r>
                </w:p>
              </w:tc>
              <w:tc>
                <w:tcPr>
                  <w:tcW w:w="1937" w:type="dxa"/>
                  <w:vAlign w:val="center"/>
                </w:tcPr>
                <w:p w14:paraId="1DA94672">
                  <w:pPr>
                    <w:adjustRightInd w:val="0"/>
                    <w:snapToGrid w:val="0"/>
                    <w:jc w:val="center"/>
                    <w:rPr>
                      <w:szCs w:val="21"/>
                    </w:rPr>
                  </w:pPr>
                  <w:r>
                    <w:rPr>
                      <w:rFonts w:hint="eastAsia"/>
                      <w:szCs w:val="21"/>
                    </w:rPr>
                    <w:t>熬制</w:t>
                  </w:r>
                </w:p>
              </w:tc>
              <w:tc>
                <w:tcPr>
                  <w:tcW w:w="2373" w:type="dxa"/>
                  <w:vAlign w:val="center"/>
                </w:tcPr>
                <w:p w14:paraId="0758D863">
                  <w:pPr>
                    <w:adjustRightInd w:val="0"/>
                    <w:snapToGrid w:val="0"/>
                    <w:jc w:val="center"/>
                    <w:rPr>
                      <w:szCs w:val="21"/>
                    </w:rPr>
                  </w:pPr>
                  <w:r>
                    <w:rPr>
                      <w:rFonts w:hint="eastAsia"/>
                      <w:szCs w:val="21"/>
                    </w:rPr>
                    <w:t>熬制废气</w:t>
                  </w:r>
                </w:p>
              </w:tc>
              <w:tc>
                <w:tcPr>
                  <w:tcW w:w="2857" w:type="dxa"/>
                  <w:vAlign w:val="center"/>
                </w:tcPr>
                <w:p w14:paraId="4FB04201">
                  <w:pPr>
                    <w:adjustRightInd w:val="0"/>
                    <w:snapToGrid w:val="0"/>
                    <w:jc w:val="center"/>
                    <w:rPr>
                      <w:szCs w:val="21"/>
                    </w:rPr>
                  </w:pPr>
                  <w:r>
                    <w:rPr>
                      <w:rFonts w:hint="eastAsia"/>
                      <w:szCs w:val="21"/>
                    </w:rPr>
                    <w:t>油烟</w:t>
                  </w:r>
                </w:p>
              </w:tc>
            </w:tr>
            <w:tr w14:paraId="61A392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397" w:hRule="atLeast"/>
                <w:jc w:val="center"/>
              </w:trPr>
              <w:tc>
                <w:tcPr>
                  <w:tcW w:w="362" w:type="dxa"/>
                  <w:vAlign w:val="center"/>
                </w:tcPr>
                <w:p w14:paraId="20D914E5">
                  <w:pPr>
                    <w:adjustRightInd w:val="0"/>
                    <w:snapToGrid w:val="0"/>
                    <w:jc w:val="center"/>
                    <w:rPr>
                      <w:szCs w:val="21"/>
                    </w:rPr>
                  </w:pPr>
                  <w:r>
                    <w:rPr>
                      <w:szCs w:val="21"/>
                    </w:rPr>
                    <w:t>1</w:t>
                  </w:r>
                </w:p>
              </w:tc>
              <w:tc>
                <w:tcPr>
                  <w:tcW w:w="356" w:type="dxa"/>
                  <w:vMerge w:val="restart"/>
                  <w:vAlign w:val="center"/>
                </w:tcPr>
                <w:p w14:paraId="6EC4E5D4">
                  <w:pPr>
                    <w:adjustRightInd w:val="0"/>
                    <w:snapToGrid w:val="0"/>
                    <w:jc w:val="center"/>
                    <w:rPr>
                      <w:szCs w:val="21"/>
                    </w:rPr>
                  </w:pPr>
                  <w:r>
                    <w:rPr>
                      <w:szCs w:val="21"/>
                    </w:rPr>
                    <w:t>废水</w:t>
                  </w:r>
                </w:p>
              </w:tc>
              <w:tc>
                <w:tcPr>
                  <w:tcW w:w="576" w:type="dxa"/>
                  <w:vAlign w:val="center"/>
                </w:tcPr>
                <w:p w14:paraId="2439CBCE">
                  <w:pPr>
                    <w:adjustRightInd w:val="0"/>
                    <w:snapToGrid w:val="0"/>
                    <w:jc w:val="center"/>
                    <w:rPr>
                      <w:szCs w:val="21"/>
                    </w:rPr>
                  </w:pPr>
                  <w:r>
                    <w:rPr>
                      <w:szCs w:val="21"/>
                    </w:rPr>
                    <w:t>W1</w:t>
                  </w:r>
                </w:p>
              </w:tc>
              <w:tc>
                <w:tcPr>
                  <w:tcW w:w="1937" w:type="dxa"/>
                  <w:vMerge w:val="restart"/>
                  <w:vAlign w:val="center"/>
                </w:tcPr>
                <w:p w14:paraId="1F50F010">
                  <w:pPr>
                    <w:adjustRightInd w:val="0"/>
                    <w:snapToGrid w:val="0"/>
                    <w:jc w:val="center"/>
                    <w:rPr>
                      <w:szCs w:val="21"/>
                    </w:rPr>
                  </w:pPr>
                  <w:r>
                    <w:rPr>
                      <w:szCs w:val="21"/>
                    </w:rPr>
                    <w:t>生产车间</w:t>
                  </w:r>
                </w:p>
              </w:tc>
              <w:tc>
                <w:tcPr>
                  <w:tcW w:w="2373" w:type="dxa"/>
                  <w:vAlign w:val="center"/>
                </w:tcPr>
                <w:p w14:paraId="7EA26365">
                  <w:pPr>
                    <w:adjustRightInd w:val="0"/>
                    <w:snapToGrid w:val="0"/>
                    <w:jc w:val="center"/>
                    <w:rPr>
                      <w:szCs w:val="21"/>
                    </w:rPr>
                  </w:pPr>
                  <w:r>
                    <w:rPr>
                      <w:szCs w:val="21"/>
                      <w:lang w:bidi="ar"/>
                    </w:rPr>
                    <w:t>浓水、锅炉定排水</w:t>
                  </w:r>
                </w:p>
              </w:tc>
              <w:tc>
                <w:tcPr>
                  <w:tcW w:w="2857" w:type="dxa"/>
                  <w:vAlign w:val="center"/>
                </w:tcPr>
                <w:p w14:paraId="1535EE50">
                  <w:pPr>
                    <w:pStyle w:val="21"/>
                    <w:widowControl w:val="0"/>
                    <w:adjustRightInd w:val="0"/>
                    <w:snapToGrid w:val="0"/>
                    <w:spacing w:before="0" w:beforeAutospacing="0" w:after="0" w:afterAutospacing="0"/>
                    <w:jc w:val="center"/>
                    <w:rPr>
                      <w:rFonts w:ascii="Times New Roman" w:hAnsi="Times New Roman"/>
                      <w:szCs w:val="21"/>
                    </w:rPr>
                  </w:pPr>
                  <w:r>
                    <w:rPr>
                      <w:rFonts w:ascii="Times New Roman" w:hAnsi="Times New Roman"/>
                      <w:sz w:val="21"/>
                      <w:szCs w:val="21"/>
                      <w:lang w:bidi="ar"/>
                    </w:rPr>
                    <w:t>pH、COD</w:t>
                  </w:r>
                  <w:r>
                    <w:rPr>
                      <w:rFonts w:hint="eastAsia" w:ascii="Times New Roman" w:hAnsi="Times New Roman"/>
                      <w:sz w:val="21"/>
                      <w:szCs w:val="21"/>
                      <w:lang w:bidi="ar"/>
                    </w:rPr>
                    <w:t>、全盐量</w:t>
                  </w:r>
                  <w:r>
                    <w:rPr>
                      <w:rFonts w:ascii="Times New Roman" w:hAnsi="Times New Roman"/>
                      <w:sz w:val="21"/>
                      <w:szCs w:val="21"/>
                      <w:lang w:bidi="ar"/>
                    </w:rPr>
                    <w:t>等</w:t>
                  </w:r>
                </w:p>
              </w:tc>
            </w:tr>
            <w:tr w14:paraId="61CF64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397" w:hRule="atLeast"/>
                <w:jc w:val="center"/>
              </w:trPr>
              <w:tc>
                <w:tcPr>
                  <w:tcW w:w="362" w:type="dxa"/>
                  <w:vAlign w:val="center"/>
                </w:tcPr>
                <w:p w14:paraId="468BC6D0">
                  <w:pPr>
                    <w:adjustRightInd w:val="0"/>
                    <w:snapToGrid w:val="0"/>
                    <w:jc w:val="center"/>
                    <w:rPr>
                      <w:szCs w:val="21"/>
                    </w:rPr>
                  </w:pPr>
                  <w:r>
                    <w:rPr>
                      <w:szCs w:val="21"/>
                    </w:rPr>
                    <w:t>2</w:t>
                  </w:r>
                </w:p>
              </w:tc>
              <w:tc>
                <w:tcPr>
                  <w:tcW w:w="356" w:type="dxa"/>
                  <w:vMerge w:val="continue"/>
                  <w:vAlign w:val="center"/>
                </w:tcPr>
                <w:p w14:paraId="5A148D1C">
                  <w:pPr>
                    <w:adjustRightInd w:val="0"/>
                    <w:snapToGrid w:val="0"/>
                    <w:jc w:val="center"/>
                    <w:rPr>
                      <w:szCs w:val="21"/>
                    </w:rPr>
                  </w:pPr>
                </w:p>
              </w:tc>
              <w:tc>
                <w:tcPr>
                  <w:tcW w:w="576" w:type="dxa"/>
                  <w:vAlign w:val="center"/>
                </w:tcPr>
                <w:p w14:paraId="522286BB">
                  <w:pPr>
                    <w:adjustRightInd w:val="0"/>
                    <w:snapToGrid w:val="0"/>
                    <w:jc w:val="center"/>
                    <w:rPr>
                      <w:szCs w:val="21"/>
                    </w:rPr>
                  </w:pPr>
                  <w:r>
                    <w:rPr>
                      <w:szCs w:val="21"/>
                    </w:rPr>
                    <w:t>W2</w:t>
                  </w:r>
                </w:p>
              </w:tc>
              <w:tc>
                <w:tcPr>
                  <w:tcW w:w="1937" w:type="dxa"/>
                  <w:vMerge w:val="continue"/>
                  <w:vAlign w:val="center"/>
                </w:tcPr>
                <w:p w14:paraId="421064E7">
                  <w:pPr>
                    <w:adjustRightInd w:val="0"/>
                    <w:snapToGrid w:val="0"/>
                    <w:jc w:val="center"/>
                    <w:rPr>
                      <w:szCs w:val="21"/>
                    </w:rPr>
                  </w:pPr>
                </w:p>
              </w:tc>
              <w:tc>
                <w:tcPr>
                  <w:tcW w:w="2373" w:type="dxa"/>
                  <w:vAlign w:val="center"/>
                </w:tcPr>
                <w:p w14:paraId="3294F277">
                  <w:pPr>
                    <w:adjustRightInd w:val="0"/>
                    <w:snapToGrid w:val="0"/>
                    <w:jc w:val="center"/>
                    <w:rPr>
                      <w:szCs w:val="21"/>
                      <w:lang w:bidi="ar"/>
                    </w:rPr>
                  </w:pPr>
                  <w:r>
                    <w:rPr>
                      <w:szCs w:val="21"/>
                      <w:lang w:bidi="ar"/>
                    </w:rPr>
                    <w:t>肉类卤制品解冻废水</w:t>
                  </w:r>
                </w:p>
              </w:tc>
              <w:tc>
                <w:tcPr>
                  <w:tcW w:w="2857" w:type="dxa"/>
                  <w:vAlign w:val="center"/>
                </w:tcPr>
                <w:p w14:paraId="25C225AD">
                  <w:pPr>
                    <w:adjustRightInd w:val="0"/>
                    <w:snapToGrid w:val="0"/>
                    <w:jc w:val="center"/>
                    <w:rPr>
                      <w:szCs w:val="21"/>
                    </w:rPr>
                  </w:pPr>
                  <w:r>
                    <w:t>pH、SS、BOD</w:t>
                  </w:r>
                  <w:r>
                    <w:rPr>
                      <w:vertAlign w:val="subscript"/>
                    </w:rPr>
                    <w:t>5</w:t>
                  </w:r>
                  <w:r>
                    <w:t>、COD、NH</w:t>
                  </w:r>
                  <w:r>
                    <w:rPr>
                      <w:vertAlign w:val="subscript"/>
                    </w:rPr>
                    <w:t>3</w:t>
                  </w:r>
                  <w:r>
                    <w:t>-N、TP、TN、动植物油等</w:t>
                  </w:r>
                </w:p>
              </w:tc>
            </w:tr>
            <w:tr w14:paraId="18A320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397" w:hRule="atLeast"/>
                <w:jc w:val="center"/>
              </w:trPr>
              <w:tc>
                <w:tcPr>
                  <w:tcW w:w="362" w:type="dxa"/>
                  <w:vAlign w:val="center"/>
                </w:tcPr>
                <w:p w14:paraId="3AE91983">
                  <w:pPr>
                    <w:adjustRightInd w:val="0"/>
                    <w:snapToGrid w:val="0"/>
                    <w:jc w:val="center"/>
                    <w:rPr>
                      <w:szCs w:val="21"/>
                    </w:rPr>
                  </w:pPr>
                  <w:r>
                    <w:rPr>
                      <w:szCs w:val="21"/>
                    </w:rPr>
                    <w:t>3</w:t>
                  </w:r>
                </w:p>
              </w:tc>
              <w:tc>
                <w:tcPr>
                  <w:tcW w:w="356" w:type="dxa"/>
                  <w:vMerge w:val="continue"/>
                  <w:vAlign w:val="center"/>
                </w:tcPr>
                <w:p w14:paraId="309BFAE2">
                  <w:pPr>
                    <w:adjustRightInd w:val="0"/>
                    <w:snapToGrid w:val="0"/>
                    <w:jc w:val="center"/>
                    <w:rPr>
                      <w:szCs w:val="21"/>
                    </w:rPr>
                  </w:pPr>
                </w:p>
              </w:tc>
              <w:tc>
                <w:tcPr>
                  <w:tcW w:w="576" w:type="dxa"/>
                  <w:vAlign w:val="center"/>
                </w:tcPr>
                <w:p w14:paraId="53335E7E">
                  <w:pPr>
                    <w:adjustRightInd w:val="0"/>
                    <w:snapToGrid w:val="0"/>
                    <w:jc w:val="center"/>
                    <w:rPr>
                      <w:szCs w:val="21"/>
                    </w:rPr>
                  </w:pPr>
                  <w:r>
                    <w:rPr>
                      <w:szCs w:val="21"/>
                    </w:rPr>
                    <w:t>W3</w:t>
                  </w:r>
                </w:p>
              </w:tc>
              <w:tc>
                <w:tcPr>
                  <w:tcW w:w="1937" w:type="dxa"/>
                  <w:vMerge w:val="continue"/>
                  <w:vAlign w:val="center"/>
                </w:tcPr>
                <w:p w14:paraId="5401E501">
                  <w:pPr>
                    <w:adjustRightInd w:val="0"/>
                    <w:snapToGrid w:val="0"/>
                    <w:jc w:val="center"/>
                    <w:rPr>
                      <w:szCs w:val="21"/>
                    </w:rPr>
                  </w:pPr>
                </w:p>
              </w:tc>
              <w:tc>
                <w:tcPr>
                  <w:tcW w:w="2373" w:type="dxa"/>
                  <w:vAlign w:val="center"/>
                </w:tcPr>
                <w:p w14:paraId="53E4524E">
                  <w:pPr>
                    <w:adjustRightInd w:val="0"/>
                    <w:snapToGrid w:val="0"/>
                    <w:jc w:val="center"/>
                    <w:rPr>
                      <w:szCs w:val="21"/>
                      <w:lang w:bidi="ar"/>
                    </w:rPr>
                  </w:pPr>
                  <w:r>
                    <w:rPr>
                      <w:szCs w:val="21"/>
                      <w:lang w:bidi="ar"/>
                    </w:rPr>
                    <w:t>肉类卤制品清洗</w:t>
                  </w:r>
                </w:p>
              </w:tc>
              <w:tc>
                <w:tcPr>
                  <w:tcW w:w="2857" w:type="dxa"/>
                  <w:vAlign w:val="center"/>
                </w:tcPr>
                <w:p w14:paraId="40AA6883">
                  <w:pPr>
                    <w:adjustRightInd w:val="0"/>
                    <w:snapToGrid w:val="0"/>
                    <w:jc w:val="center"/>
                    <w:rPr>
                      <w:szCs w:val="21"/>
                    </w:rPr>
                  </w:pPr>
                  <w:r>
                    <w:t>pH、SS、BOD</w:t>
                  </w:r>
                  <w:r>
                    <w:rPr>
                      <w:vertAlign w:val="subscript"/>
                    </w:rPr>
                    <w:t>5</w:t>
                  </w:r>
                  <w:r>
                    <w:t>、COD、NH</w:t>
                  </w:r>
                  <w:r>
                    <w:rPr>
                      <w:vertAlign w:val="subscript"/>
                    </w:rPr>
                    <w:t>3</w:t>
                  </w:r>
                  <w:r>
                    <w:t>-N、TP、TN、动植物油等</w:t>
                  </w:r>
                </w:p>
              </w:tc>
            </w:tr>
            <w:tr w14:paraId="59AC78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397" w:hRule="atLeast"/>
                <w:jc w:val="center"/>
              </w:trPr>
              <w:tc>
                <w:tcPr>
                  <w:tcW w:w="362" w:type="dxa"/>
                  <w:vAlign w:val="center"/>
                </w:tcPr>
                <w:p w14:paraId="1803875A">
                  <w:pPr>
                    <w:adjustRightInd w:val="0"/>
                    <w:snapToGrid w:val="0"/>
                    <w:jc w:val="center"/>
                    <w:rPr>
                      <w:szCs w:val="21"/>
                    </w:rPr>
                  </w:pPr>
                  <w:r>
                    <w:rPr>
                      <w:szCs w:val="21"/>
                    </w:rPr>
                    <w:t>4</w:t>
                  </w:r>
                </w:p>
              </w:tc>
              <w:tc>
                <w:tcPr>
                  <w:tcW w:w="356" w:type="dxa"/>
                  <w:vMerge w:val="continue"/>
                  <w:vAlign w:val="center"/>
                </w:tcPr>
                <w:p w14:paraId="1BD412A9">
                  <w:pPr>
                    <w:adjustRightInd w:val="0"/>
                    <w:snapToGrid w:val="0"/>
                    <w:jc w:val="center"/>
                    <w:rPr>
                      <w:szCs w:val="21"/>
                    </w:rPr>
                  </w:pPr>
                </w:p>
              </w:tc>
              <w:tc>
                <w:tcPr>
                  <w:tcW w:w="576" w:type="dxa"/>
                  <w:vAlign w:val="center"/>
                </w:tcPr>
                <w:p w14:paraId="7A36533B">
                  <w:pPr>
                    <w:adjustRightInd w:val="0"/>
                    <w:snapToGrid w:val="0"/>
                    <w:jc w:val="center"/>
                    <w:rPr>
                      <w:szCs w:val="21"/>
                    </w:rPr>
                  </w:pPr>
                  <w:r>
                    <w:rPr>
                      <w:szCs w:val="21"/>
                    </w:rPr>
                    <w:t>W4</w:t>
                  </w:r>
                </w:p>
              </w:tc>
              <w:tc>
                <w:tcPr>
                  <w:tcW w:w="1937" w:type="dxa"/>
                  <w:vMerge w:val="continue"/>
                  <w:vAlign w:val="center"/>
                </w:tcPr>
                <w:p w14:paraId="4B6F5E3A">
                  <w:pPr>
                    <w:adjustRightInd w:val="0"/>
                    <w:snapToGrid w:val="0"/>
                    <w:jc w:val="center"/>
                    <w:rPr>
                      <w:szCs w:val="21"/>
                    </w:rPr>
                  </w:pPr>
                </w:p>
              </w:tc>
              <w:tc>
                <w:tcPr>
                  <w:tcW w:w="2373" w:type="dxa"/>
                  <w:vAlign w:val="center"/>
                </w:tcPr>
                <w:p w14:paraId="79D6F5B3">
                  <w:pPr>
                    <w:adjustRightInd w:val="0"/>
                    <w:snapToGrid w:val="0"/>
                    <w:jc w:val="center"/>
                    <w:rPr>
                      <w:szCs w:val="21"/>
                      <w:lang w:bidi="ar"/>
                    </w:rPr>
                  </w:pPr>
                  <w:r>
                    <w:rPr>
                      <w:szCs w:val="21"/>
                      <w:lang w:bidi="ar"/>
                    </w:rPr>
                    <w:t>肉类卤制品焯水</w:t>
                  </w:r>
                </w:p>
              </w:tc>
              <w:tc>
                <w:tcPr>
                  <w:tcW w:w="2857" w:type="dxa"/>
                  <w:vAlign w:val="center"/>
                </w:tcPr>
                <w:p w14:paraId="7146BFFE">
                  <w:pPr>
                    <w:adjustRightInd w:val="0"/>
                    <w:snapToGrid w:val="0"/>
                    <w:jc w:val="center"/>
                    <w:rPr>
                      <w:szCs w:val="21"/>
                    </w:rPr>
                  </w:pPr>
                  <w:r>
                    <w:t>pH、SS、BOD</w:t>
                  </w:r>
                  <w:r>
                    <w:rPr>
                      <w:vertAlign w:val="subscript"/>
                    </w:rPr>
                    <w:t>5</w:t>
                  </w:r>
                  <w:r>
                    <w:t>、COD、NH</w:t>
                  </w:r>
                  <w:r>
                    <w:rPr>
                      <w:vertAlign w:val="subscript"/>
                    </w:rPr>
                    <w:t>3</w:t>
                  </w:r>
                  <w:r>
                    <w:t>-N、TP、TN、动植物油、氯化物等</w:t>
                  </w:r>
                </w:p>
              </w:tc>
            </w:tr>
            <w:tr w14:paraId="2A3146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397" w:hRule="atLeast"/>
                <w:jc w:val="center"/>
              </w:trPr>
              <w:tc>
                <w:tcPr>
                  <w:tcW w:w="362" w:type="dxa"/>
                  <w:vAlign w:val="center"/>
                </w:tcPr>
                <w:p w14:paraId="317B9B8F">
                  <w:pPr>
                    <w:adjustRightInd w:val="0"/>
                    <w:snapToGrid w:val="0"/>
                    <w:jc w:val="center"/>
                    <w:rPr>
                      <w:szCs w:val="21"/>
                    </w:rPr>
                  </w:pPr>
                  <w:r>
                    <w:rPr>
                      <w:szCs w:val="21"/>
                    </w:rPr>
                    <w:t>5</w:t>
                  </w:r>
                </w:p>
              </w:tc>
              <w:tc>
                <w:tcPr>
                  <w:tcW w:w="356" w:type="dxa"/>
                  <w:vMerge w:val="continue"/>
                  <w:vAlign w:val="center"/>
                </w:tcPr>
                <w:p w14:paraId="725F7D98">
                  <w:pPr>
                    <w:adjustRightInd w:val="0"/>
                    <w:snapToGrid w:val="0"/>
                    <w:jc w:val="center"/>
                    <w:rPr>
                      <w:szCs w:val="21"/>
                    </w:rPr>
                  </w:pPr>
                </w:p>
              </w:tc>
              <w:tc>
                <w:tcPr>
                  <w:tcW w:w="576" w:type="dxa"/>
                  <w:vAlign w:val="center"/>
                </w:tcPr>
                <w:p w14:paraId="40F159D3">
                  <w:pPr>
                    <w:adjustRightInd w:val="0"/>
                    <w:snapToGrid w:val="0"/>
                    <w:jc w:val="center"/>
                    <w:rPr>
                      <w:szCs w:val="21"/>
                    </w:rPr>
                  </w:pPr>
                  <w:r>
                    <w:rPr>
                      <w:szCs w:val="21"/>
                    </w:rPr>
                    <w:t>W5</w:t>
                  </w:r>
                </w:p>
              </w:tc>
              <w:tc>
                <w:tcPr>
                  <w:tcW w:w="1937" w:type="dxa"/>
                  <w:vMerge w:val="continue"/>
                  <w:vAlign w:val="center"/>
                </w:tcPr>
                <w:p w14:paraId="585ADB36">
                  <w:pPr>
                    <w:adjustRightInd w:val="0"/>
                    <w:snapToGrid w:val="0"/>
                    <w:jc w:val="center"/>
                    <w:rPr>
                      <w:szCs w:val="21"/>
                    </w:rPr>
                  </w:pPr>
                </w:p>
              </w:tc>
              <w:tc>
                <w:tcPr>
                  <w:tcW w:w="2373" w:type="dxa"/>
                  <w:vAlign w:val="center"/>
                </w:tcPr>
                <w:p w14:paraId="5C009D7F">
                  <w:pPr>
                    <w:adjustRightInd w:val="0"/>
                    <w:snapToGrid w:val="0"/>
                    <w:jc w:val="center"/>
                    <w:rPr>
                      <w:szCs w:val="21"/>
                      <w:lang w:bidi="ar"/>
                    </w:rPr>
                  </w:pPr>
                  <w:r>
                    <w:rPr>
                      <w:szCs w:val="21"/>
                      <w:lang w:bidi="ar"/>
                    </w:rPr>
                    <w:t>蒸汽冷凝水</w:t>
                  </w:r>
                </w:p>
              </w:tc>
              <w:tc>
                <w:tcPr>
                  <w:tcW w:w="2857" w:type="dxa"/>
                  <w:vAlign w:val="center"/>
                </w:tcPr>
                <w:p w14:paraId="5A3C4BE5">
                  <w:pPr>
                    <w:pStyle w:val="21"/>
                    <w:widowControl w:val="0"/>
                    <w:adjustRightInd w:val="0"/>
                    <w:snapToGrid w:val="0"/>
                    <w:spacing w:before="0" w:beforeAutospacing="0" w:after="0" w:afterAutospacing="0"/>
                    <w:jc w:val="center"/>
                    <w:rPr>
                      <w:rFonts w:ascii="Times New Roman" w:hAnsi="Times New Roman"/>
                      <w:sz w:val="21"/>
                      <w:szCs w:val="21"/>
                      <w:lang w:bidi="ar"/>
                    </w:rPr>
                  </w:pPr>
                  <w:r>
                    <w:rPr>
                      <w:rFonts w:ascii="Times New Roman" w:hAnsi="Times New Roman"/>
                      <w:sz w:val="21"/>
                      <w:szCs w:val="21"/>
                      <w:lang w:bidi="ar"/>
                    </w:rPr>
                    <w:t>pH、COD等</w:t>
                  </w:r>
                </w:p>
              </w:tc>
            </w:tr>
            <w:tr w14:paraId="3E93A9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397" w:hRule="atLeast"/>
                <w:jc w:val="center"/>
              </w:trPr>
              <w:tc>
                <w:tcPr>
                  <w:tcW w:w="362" w:type="dxa"/>
                  <w:vAlign w:val="center"/>
                </w:tcPr>
                <w:p w14:paraId="504AF136">
                  <w:pPr>
                    <w:adjustRightInd w:val="0"/>
                    <w:snapToGrid w:val="0"/>
                    <w:jc w:val="center"/>
                    <w:rPr>
                      <w:szCs w:val="21"/>
                    </w:rPr>
                  </w:pPr>
                  <w:r>
                    <w:rPr>
                      <w:szCs w:val="21"/>
                    </w:rPr>
                    <w:t>6</w:t>
                  </w:r>
                </w:p>
              </w:tc>
              <w:tc>
                <w:tcPr>
                  <w:tcW w:w="356" w:type="dxa"/>
                  <w:vMerge w:val="continue"/>
                  <w:vAlign w:val="center"/>
                </w:tcPr>
                <w:p w14:paraId="52CCC2FB">
                  <w:pPr>
                    <w:adjustRightInd w:val="0"/>
                    <w:snapToGrid w:val="0"/>
                    <w:jc w:val="center"/>
                    <w:rPr>
                      <w:szCs w:val="21"/>
                    </w:rPr>
                  </w:pPr>
                </w:p>
              </w:tc>
              <w:tc>
                <w:tcPr>
                  <w:tcW w:w="576" w:type="dxa"/>
                  <w:vAlign w:val="center"/>
                </w:tcPr>
                <w:p w14:paraId="0FB86270">
                  <w:pPr>
                    <w:adjustRightInd w:val="0"/>
                    <w:snapToGrid w:val="0"/>
                    <w:jc w:val="center"/>
                    <w:rPr>
                      <w:szCs w:val="21"/>
                    </w:rPr>
                  </w:pPr>
                  <w:r>
                    <w:rPr>
                      <w:szCs w:val="21"/>
                    </w:rPr>
                    <w:t>W6</w:t>
                  </w:r>
                </w:p>
              </w:tc>
              <w:tc>
                <w:tcPr>
                  <w:tcW w:w="1937" w:type="dxa"/>
                  <w:vMerge w:val="continue"/>
                  <w:vAlign w:val="center"/>
                </w:tcPr>
                <w:p w14:paraId="79C39BA4">
                  <w:pPr>
                    <w:adjustRightInd w:val="0"/>
                    <w:snapToGrid w:val="0"/>
                    <w:jc w:val="center"/>
                    <w:rPr>
                      <w:szCs w:val="21"/>
                    </w:rPr>
                  </w:pPr>
                </w:p>
              </w:tc>
              <w:tc>
                <w:tcPr>
                  <w:tcW w:w="2373" w:type="dxa"/>
                  <w:vAlign w:val="center"/>
                </w:tcPr>
                <w:p w14:paraId="39A0A0ED">
                  <w:pPr>
                    <w:adjustRightInd w:val="0"/>
                    <w:snapToGrid w:val="0"/>
                    <w:jc w:val="center"/>
                    <w:rPr>
                      <w:szCs w:val="21"/>
                      <w:lang w:bidi="ar"/>
                    </w:rPr>
                  </w:pPr>
                  <w:r>
                    <w:rPr>
                      <w:szCs w:val="21"/>
                      <w:lang w:bidi="ar"/>
                    </w:rPr>
                    <w:t>洗袋废水</w:t>
                  </w:r>
                </w:p>
              </w:tc>
              <w:tc>
                <w:tcPr>
                  <w:tcW w:w="2857" w:type="dxa"/>
                  <w:vAlign w:val="center"/>
                </w:tcPr>
                <w:p w14:paraId="17FB0F72">
                  <w:pPr>
                    <w:adjustRightInd w:val="0"/>
                    <w:snapToGrid w:val="0"/>
                    <w:jc w:val="center"/>
                    <w:rPr>
                      <w:szCs w:val="21"/>
                    </w:rPr>
                  </w:pPr>
                  <w:r>
                    <w:t>pH、SS、BOD</w:t>
                  </w:r>
                  <w:r>
                    <w:rPr>
                      <w:vertAlign w:val="subscript"/>
                    </w:rPr>
                    <w:t>5</w:t>
                  </w:r>
                  <w:r>
                    <w:t>、COD、NH</w:t>
                  </w:r>
                  <w:r>
                    <w:rPr>
                      <w:vertAlign w:val="subscript"/>
                    </w:rPr>
                    <w:t>3</w:t>
                  </w:r>
                  <w:r>
                    <w:t>-N、TP、TN、动植物油、氯化物等</w:t>
                  </w:r>
                </w:p>
              </w:tc>
            </w:tr>
            <w:tr w14:paraId="444526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397" w:hRule="atLeast"/>
                <w:jc w:val="center"/>
              </w:trPr>
              <w:tc>
                <w:tcPr>
                  <w:tcW w:w="362" w:type="dxa"/>
                  <w:vAlign w:val="center"/>
                </w:tcPr>
                <w:p w14:paraId="5F2CD2A0">
                  <w:pPr>
                    <w:adjustRightInd w:val="0"/>
                    <w:snapToGrid w:val="0"/>
                    <w:jc w:val="center"/>
                    <w:rPr>
                      <w:szCs w:val="21"/>
                    </w:rPr>
                  </w:pPr>
                  <w:r>
                    <w:rPr>
                      <w:szCs w:val="21"/>
                    </w:rPr>
                    <w:t>7</w:t>
                  </w:r>
                </w:p>
              </w:tc>
              <w:tc>
                <w:tcPr>
                  <w:tcW w:w="356" w:type="dxa"/>
                  <w:vMerge w:val="continue"/>
                  <w:vAlign w:val="center"/>
                </w:tcPr>
                <w:p w14:paraId="19F7A500">
                  <w:pPr>
                    <w:adjustRightInd w:val="0"/>
                    <w:snapToGrid w:val="0"/>
                    <w:jc w:val="center"/>
                    <w:rPr>
                      <w:szCs w:val="21"/>
                    </w:rPr>
                  </w:pPr>
                </w:p>
              </w:tc>
              <w:tc>
                <w:tcPr>
                  <w:tcW w:w="576" w:type="dxa"/>
                  <w:vAlign w:val="center"/>
                </w:tcPr>
                <w:p w14:paraId="0E5989FD">
                  <w:pPr>
                    <w:adjustRightInd w:val="0"/>
                    <w:snapToGrid w:val="0"/>
                    <w:jc w:val="center"/>
                    <w:rPr>
                      <w:szCs w:val="21"/>
                    </w:rPr>
                  </w:pPr>
                  <w:r>
                    <w:rPr>
                      <w:szCs w:val="21"/>
                    </w:rPr>
                    <w:t>W7</w:t>
                  </w:r>
                </w:p>
              </w:tc>
              <w:tc>
                <w:tcPr>
                  <w:tcW w:w="1937" w:type="dxa"/>
                  <w:vMerge w:val="continue"/>
                  <w:vAlign w:val="center"/>
                </w:tcPr>
                <w:p w14:paraId="4DF6D79E">
                  <w:pPr>
                    <w:adjustRightInd w:val="0"/>
                    <w:snapToGrid w:val="0"/>
                    <w:jc w:val="center"/>
                    <w:rPr>
                      <w:szCs w:val="21"/>
                    </w:rPr>
                  </w:pPr>
                </w:p>
              </w:tc>
              <w:tc>
                <w:tcPr>
                  <w:tcW w:w="2373" w:type="dxa"/>
                  <w:vAlign w:val="center"/>
                </w:tcPr>
                <w:p w14:paraId="60C5B505">
                  <w:pPr>
                    <w:adjustRightInd w:val="0"/>
                    <w:snapToGrid w:val="0"/>
                    <w:jc w:val="center"/>
                    <w:rPr>
                      <w:szCs w:val="21"/>
                      <w:lang w:bidi="ar"/>
                    </w:rPr>
                  </w:pPr>
                  <w:r>
                    <w:rPr>
                      <w:szCs w:val="21"/>
                      <w:lang w:bidi="ar"/>
                    </w:rPr>
                    <w:t>非即食性生制调理品解冻清洗用水</w:t>
                  </w:r>
                </w:p>
              </w:tc>
              <w:tc>
                <w:tcPr>
                  <w:tcW w:w="2857" w:type="dxa"/>
                  <w:vAlign w:val="center"/>
                </w:tcPr>
                <w:p w14:paraId="7B1AF5BE">
                  <w:pPr>
                    <w:pStyle w:val="21"/>
                    <w:widowControl w:val="0"/>
                    <w:adjustRightInd w:val="0"/>
                    <w:snapToGrid w:val="0"/>
                    <w:spacing w:before="0" w:beforeAutospacing="0" w:after="0" w:afterAutospacing="0"/>
                    <w:jc w:val="center"/>
                    <w:rPr>
                      <w:rFonts w:ascii="Times New Roman" w:hAnsi="Times New Roman"/>
                      <w:sz w:val="21"/>
                      <w:szCs w:val="21"/>
                      <w:lang w:bidi="ar"/>
                    </w:rPr>
                  </w:pPr>
                  <w:r>
                    <w:rPr>
                      <w:rFonts w:ascii="Times New Roman" w:hAnsi="Times New Roman"/>
                      <w:sz w:val="21"/>
                      <w:szCs w:val="21"/>
                      <w:lang w:bidi="ar"/>
                    </w:rPr>
                    <w:t>pH、SS、BOD5、COD、NH3-N、TP、TN、动植物油等</w:t>
                  </w:r>
                </w:p>
              </w:tc>
            </w:tr>
            <w:tr w14:paraId="36F442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397" w:hRule="atLeast"/>
                <w:jc w:val="center"/>
              </w:trPr>
              <w:tc>
                <w:tcPr>
                  <w:tcW w:w="362" w:type="dxa"/>
                  <w:vAlign w:val="center"/>
                </w:tcPr>
                <w:p w14:paraId="1A02636E">
                  <w:pPr>
                    <w:adjustRightInd w:val="0"/>
                    <w:snapToGrid w:val="0"/>
                    <w:jc w:val="center"/>
                    <w:rPr>
                      <w:szCs w:val="21"/>
                    </w:rPr>
                  </w:pPr>
                  <w:r>
                    <w:rPr>
                      <w:szCs w:val="21"/>
                    </w:rPr>
                    <w:t>8</w:t>
                  </w:r>
                </w:p>
              </w:tc>
              <w:tc>
                <w:tcPr>
                  <w:tcW w:w="356" w:type="dxa"/>
                  <w:vMerge w:val="continue"/>
                  <w:vAlign w:val="center"/>
                </w:tcPr>
                <w:p w14:paraId="447BFED9">
                  <w:pPr>
                    <w:adjustRightInd w:val="0"/>
                    <w:snapToGrid w:val="0"/>
                    <w:jc w:val="center"/>
                    <w:rPr>
                      <w:szCs w:val="21"/>
                    </w:rPr>
                  </w:pPr>
                </w:p>
              </w:tc>
              <w:tc>
                <w:tcPr>
                  <w:tcW w:w="576" w:type="dxa"/>
                  <w:vAlign w:val="center"/>
                </w:tcPr>
                <w:p w14:paraId="46D672DC">
                  <w:pPr>
                    <w:adjustRightInd w:val="0"/>
                    <w:snapToGrid w:val="0"/>
                    <w:jc w:val="center"/>
                    <w:rPr>
                      <w:szCs w:val="21"/>
                    </w:rPr>
                  </w:pPr>
                  <w:r>
                    <w:rPr>
                      <w:szCs w:val="21"/>
                    </w:rPr>
                    <w:t>W8</w:t>
                  </w:r>
                </w:p>
              </w:tc>
              <w:tc>
                <w:tcPr>
                  <w:tcW w:w="1937" w:type="dxa"/>
                  <w:vMerge w:val="continue"/>
                  <w:vAlign w:val="center"/>
                </w:tcPr>
                <w:p w14:paraId="4810DFF5">
                  <w:pPr>
                    <w:adjustRightInd w:val="0"/>
                    <w:snapToGrid w:val="0"/>
                    <w:jc w:val="center"/>
                    <w:rPr>
                      <w:szCs w:val="21"/>
                    </w:rPr>
                  </w:pPr>
                </w:p>
              </w:tc>
              <w:tc>
                <w:tcPr>
                  <w:tcW w:w="2373" w:type="dxa"/>
                  <w:vAlign w:val="center"/>
                </w:tcPr>
                <w:p w14:paraId="7FCD7DE9">
                  <w:pPr>
                    <w:adjustRightInd w:val="0"/>
                    <w:snapToGrid w:val="0"/>
                    <w:jc w:val="center"/>
                    <w:rPr>
                      <w:szCs w:val="21"/>
                      <w:lang w:bidi="ar"/>
                    </w:rPr>
                  </w:pPr>
                  <w:r>
                    <w:rPr>
                      <w:szCs w:val="21"/>
                      <w:lang w:bidi="ar"/>
                    </w:rPr>
                    <w:t>黄豆浸泡</w:t>
                  </w:r>
                  <w:r>
                    <w:rPr>
                      <w:rFonts w:hint="eastAsia"/>
                      <w:szCs w:val="21"/>
                      <w:lang w:bidi="ar"/>
                    </w:rPr>
                    <w:t>废水</w:t>
                  </w:r>
                </w:p>
              </w:tc>
              <w:tc>
                <w:tcPr>
                  <w:tcW w:w="2857" w:type="dxa"/>
                  <w:vAlign w:val="center"/>
                </w:tcPr>
                <w:p w14:paraId="49A71828">
                  <w:pPr>
                    <w:pStyle w:val="21"/>
                    <w:widowControl w:val="0"/>
                    <w:adjustRightInd w:val="0"/>
                    <w:snapToGrid w:val="0"/>
                    <w:spacing w:before="0" w:beforeAutospacing="0" w:after="0" w:afterAutospacing="0"/>
                    <w:jc w:val="center"/>
                    <w:rPr>
                      <w:rFonts w:ascii="Times New Roman" w:hAnsi="Times New Roman"/>
                      <w:sz w:val="21"/>
                      <w:szCs w:val="21"/>
                      <w:lang w:bidi="ar"/>
                    </w:rPr>
                  </w:pPr>
                  <w:r>
                    <w:rPr>
                      <w:rFonts w:ascii="Times New Roman" w:hAnsi="Times New Roman"/>
                      <w:sz w:val="21"/>
                      <w:szCs w:val="21"/>
                      <w:lang w:bidi="ar"/>
                    </w:rPr>
                    <w:t>pH、SS、BOD5、COD</w:t>
                  </w:r>
                  <w:r>
                    <w:rPr>
                      <w:rFonts w:hint="eastAsia" w:ascii="Times New Roman" w:hAnsi="Times New Roman"/>
                      <w:sz w:val="21"/>
                      <w:szCs w:val="21"/>
                      <w:lang w:bidi="ar"/>
                    </w:rPr>
                    <w:t>、氯化物</w:t>
                  </w:r>
                  <w:r>
                    <w:rPr>
                      <w:rFonts w:ascii="Times New Roman" w:hAnsi="Times New Roman"/>
                      <w:sz w:val="21"/>
                      <w:szCs w:val="21"/>
                      <w:lang w:bidi="ar"/>
                    </w:rPr>
                    <w:t>等</w:t>
                  </w:r>
                </w:p>
              </w:tc>
            </w:tr>
            <w:tr w14:paraId="14080A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397" w:hRule="atLeast"/>
                <w:jc w:val="center"/>
              </w:trPr>
              <w:tc>
                <w:tcPr>
                  <w:tcW w:w="362" w:type="dxa"/>
                  <w:vAlign w:val="center"/>
                </w:tcPr>
                <w:p w14:paraId="6786AD27">
                  <w:pPr>
                    <w:adjustRightInd w:val="0"/>
                    <w:snapToGrid w:val="0"/>
                    <w:jc w:val="center"/>
                    <w:rPr>
                      <w:szCs w:val="21"/>
                    </w:rPr>
                  </w:pPr>
                  <w:r>
                    <w:rPr>
                      <w:szCs w:val="21"/>
                    </w:rPr>
                    <w:t>9</w:t>
                  </w:r>
                </w:p>
              </w:tc>
              <w:tc>
                <w:tcPr>
                  <w:tcW w:w="356" w:type="dxa"/>
                  <w:vMerge w:val="continue"/>
                  <w:vAlign w:val="center"/>
                </w:tcPr>
                <w:p w14:paraId="2C46FE7D">
                  <w:pPr>
                    <w:adjustRightInd w:val="0"/>
                    <w:snapToGrid w:val="0"/>
                    <w:jc w:val="center"/>
                    <w:rPr>
                      <w:szCs w:val="21"/>
                    </w:rPr>
                  </w:pPr>
                </w:p>
              </w:tc>
              <w:tc>
                <w:tcPr>
                  <w:tcW w:w="576" w:type="dxa"/>
                  <w:vAlign w:val="center"/>
                </w:tcPr>
                <w:p w14:paraId="3E672B69">
                  <w:pPr>
                    <w:adjustRightInd w:val="0"/>
                    <w:snapToGrid w:val="0"/>
                    <w:jc w:val="center"/>
                    <w:rPr>
                      <w:szCs w:val="21"/>
                    </w:rPr>
                  </w:pPr>
                  <w:r>
                    <w:rPr>
                      <w:szCs w:val="21"/>
                    </w:rPr>
                    <w:t>W9</w:t>
                  </w:r>
                </w:p>
              </w:tc>
              <w:tc>
                <w:tcPr>
                  <w:tcW w:w="1937" w:type="dxa"/>
                  <w:vMerge w:val="continue"/>
                  <w:vAlign w:val="center"/>
                </w:tcPr>
                <w:p w14:paraId="43E00F74">
                  <w:pPr>
                    <w:adjustRightInd w:val="0"/>
                    <w:snapToGrid w:val="0"/>
                    <w:jc w:val="center"/>
                    <w:rPr>
                      <w:szCs w:val="21"/>
                    </w:rPr>
                  </w:pPr>
                </w:p>
              </w:tc>
              <w:tc>
                <w:tcPr>
                  <w:tcW w:w="2373" w:type="dxa"/>
                  <w:vAlign w:val="center"/>
                </w:tcPr>
                <w:p w14:paraId="1D30BFE3">
                  <w:pPr>
                    <w:adjustRightInd w:val="0"/>
                    <w:snapToGrid w:val="0"/>
                    <w:jc w:val="center"/>
                    <w:rPr>
                      <w:szCs w:val="21"/>
                      <w:lang w:bidi="ar"/>
                    </w:rPr>
                  </w:pPr>
                  <w:r>
                    <w:rPr>
                      <w:rFonts w:hint="eastAsia"/>
                      <w:szCs w:val="21"/>
                      <w:lang w:bidi="ar"/>
                    </w:rPr>
                    <w:t>调味品清洗废水</w:t>
                  </w:r>
                </w:p>
              </w:tc>
              <w:tc>
                <w:tcPr>
                  <w:tcW w:w="2857" w:type="dxa"/>
                  <w:vAlign w:val="center"/>
                </w:tcPr>
                <w:p w14:paraId="7F5DEDE1">
                  <w:pPr>
                    <w:pStyle w:val="21"/>
                    <w:widowControl w:val="0"/>
                    <w:adjustRightInd w:val="0"/>
                    <w:snapToGrid w:val="0"/>
                    <w:spacing w:before="0" w:beforeAutospacing="0" w:after="0" w:afterAutospacing="0"/>
                    <w:jc w:val="center"/>
                    <w:rPr>
                      <w:rFonts w:ascii="Times New Roman" w:hAnsi="Times New Roman"/>
                      <w:sz w:val="21"/>
                      <w:szCs w:val="21"/>
                      <w:lang w:bidi="ar"/>
                    </w:rPr>
                  </w:pPr>
                  <w:r>
                    <w:rPr>
                      <w:rFonts w:ascii="Times New Roman" w:hAnsi="Times New Roman"/>
                      <w:lang w:eastAsia="en-US"/>
                    </w:rPr>
                    <w:t>pH、SS、BOD</w:t>
                  </w:r>
                  <w:r>
                    <w:rPr>
                      <w:rFonts w:ascii="Times New Roman" w:hAnsi="Times New Roman"/>
                      <w:vertAlign w:val="subscript"/>
                      <w:lang w:eastAsia="en-US"/>
                    </w:rPr>
                    <w:t>5</w:t>
                  </w:r>
                  <w:r>
                    <w:rPr>
                      <w:rFonts w:ascii="Times New Roman" w:hAnsi="Times New Roman"/>
                      <w:lang w:eastAsia="en-US"/>
                    </w:rPr>
                    <w:t>、COD、NH</w:t>
                  </w:r>
                  <w:r>
                    <w:rPr>
                      <w:rFonts w:ascii="Times New Roman" w:hAnsi="Times New Roman"/>
                      <w:vertAlign w:val="subscript"/>
                      <w:lang w:eastAsia="en-US"/>
                    </w:rPr>
                    <w:t>3</w:t>
                  </w:r>
                  <w:r>
                    <w:rPr>
                      <w:rFonts w:ascii="Times New Roman" w:hAnsi="Times New Roman"/>
                      <w:lang w:eastAsia="en-US"/>
                    </w:rPr>
                    <w:t>-N、TP、TN</w:t>
                  </w:r>
                  <w:r>
                    <w:rPr>
                      <w:rFonts w:hint="eastAsia" w:ascii="Times New Roman" w:hAnsi="Times New Roman"/>
                    </w:rPr>
                    <w:t>等</w:t>
                  </w:r>
                </w:p>
              </w:tc>
            </w:tr>
            <w:tr w14:paraId="659780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397" w:hRule="atLeast"/>
                <w:jc w:val="center"/>
              </w:trPr>
              <w:tc>
                <w:tcPr>
                  <w:tcW w:w="362" w:type="dxa"/>
                  <w:vAlign w:val="center"/>
                </w:tcPr>
                <w:p w14:paraId="2EBF2801">
                  <w:pPr>
                    <w:adjustRightInd w:val="0"/>
                    <w:snapToGrid w:val="0"/>
                    <w:jc w:val="center"/>
                    <w:rPr>
                      <w:szCs w:val="21"/>
                    </w:rPr>
                  </w:pPr>
                  <w:r>
                    <w:rPr>
                      <w:szCs w:val="21"/>
                    </w:rPr>
                    <w:t>10</w:t>
                  </w:r>
                </w:p>
              </w:tc>
              <w:tc>
                <w:tcPr>
                  <w:tcW w:w="356" w:type="dxa"/>
                  <w:vMerge w:val="continue"/>
                  <w:vAlign w:val="center"/>
                </w:tcPr>
                <w:p w14:paraId="7A704534">
                  <w:pPr>
                    <w:adjustRightInd w:val="0"/>
                    <w:snapToGrid w:val="0"/>
                    <w:jc w:val="center"/>
                    <w:rPr>
                      <w:szCs w:val="21"/>
                    </w:rPr>
                  </w:pPr>
                </w:p>
              </w:tc>
              <w:tc>
                <w:tcPr>
                  <w:tcW w:w="576" w:type="dxa"/>
                  <w:vAlign w:val="center"/>
                </w:tcPr>
                <w:p w14:paraId="236DDAE7">
                  <w:pPr>
                    <w:adjustRightInd w:val="0"/>
                    <w:snapToGrid w:val="0"/>
                    <w:jc w:val="center"/>
                    <w:rPr>
                      <w:szCs w:val="21"/>
                    </w:rPr>
                  </w:pPr>
                  <w:r>
                    <w:rPr>
                      <w:szCs w:val="21"/>
                    </w:rPr>
                    <w:t>W10</w:t>
                  </w:r>
                </w:p>
              </w:tc>
              <w:tc>
                <w:tcPr>
                  <w:tcW w:w="1937" w:type="dxa"/>
                  <w:vMerge w:val="continue"/>
                  <w:vAlign w:val="center"/>
                </w:tcPr>
                <w:p w14:paraId="0DFA8B2E">
                  <w:pPr>
                    <w:adjustRightInd w:val="0"/>
                    <w:snapToGrid w:val="0"/>
                    <w:jc w:val="center"/>
                    <w:rPr>
                      <w:szCs w:val="21"/>
                    </w:rPr>
                  </w:pPr>
                </w:p>
              </w:tc>
              <w:tc>
                <w:tcPr>
                  <w:tcW w:w="2373" w:type="dxa"/>
                  <w:vAlign w:val="center"/>
                </w:tcPr>
                <w:p w14:paraId="475F757A">
                  <w:pPr>
                    <w:adjustRightInd w:val="0"/>
                    <w:snapToGrid w:val="0"/>
                    <w:jc w:val="center"/>
                    <w:rPr>
                      <w:szCs w:val="21"/>
                      <w:lang w:bidi="ar"/>
                    </w:rPr>
                  </w:pPr>
                  <w:r>
                    <w:rPr>
                      <w:szCs w:val="21"/>
                      <w:lang w:bidi="ar"/>
                    </w:rPr>
                    <w:t>设备清洗</w:t>
                  </w:r>
                </w:p>
              </w:tc>
              <w:tc>
                <w:tcPr>
                  <w:tcW w:w="2857" w:type="dxa"/>
                  <w:vAlign w:val="center"/>
                </w:tcPr>
                <w:p w14:paraId="2320E715">
                  <w:pPr>
                    <w:adjustRightInd w:val="0"/>
                    <w:snapToGrid w:val="0"/>
                    <w:jc w:val="center"/>
                    <w:rPr>
                      <w:color w:val="000000"/>
                      <w:szCs w:val="21"/>
                      <w:lang w:eastAsia="en-US"/>
                    </w:rPr>
                  </w:pPr>
                  <w:r>
                    <w:rPr>
                      <w:color w:val="000000"/>
                      <w:lang w:eastAsia="en-US"/>
                    </w:rPr>
                    <w:t>pH、SS、BOD</w:t>
                  </w:r>
                  <w:r>
                    <w:rPr>
                      <w:color w:val="000000"/>
                      <w:vertAlign w:val="subscript"/>
                      <w:lang w:eastAsia="en-US"/>
                    </w:rPr>
                    <w:t>5</w:t>
                  </w:r>
                  <w:r>
                    <w:rPr>
                      <w:color w:val="000000"/>
                      <w:lang w:eastAsia="en-US"/>
                    </w:rPr>
                    <w:t>、COD、NH</w:t>
                  </w:r>
                  <w:r>
                    <w:rPr>
                      <w:color w:val="000000"/>
                      <w:vertAlign w:val="subscript"/>
                      <w:lang w:eastAsia="en-US"/>
                    </w:rPr>
                    <w:t>3</w:t>
                  </w:r>
                  <w:r>
                    <w:rPr>
                      <w:color w:val="000000"/>
                      <w:lang w:eastAsia="en-US"/>
                    </w:rPr>
                    <w:t>-N、TP、TN、动植物油、氯化物等</w:t>
                  </w:r>
                </w:p>
              </w:tc>
            </w:tr>
            <w:tr w14:paraId="03B71C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397" w:hRule="atLeast"/>
                <w:jc w:val="center"/>
              </w:trPr>
              <w:tc>
                <w:tcPr>
                  <w:tcW w:w="362" w:type="dxa"/>
                  <w:vAlign w:val="center"/>
                </w:tcPr>
                <w:p w14:paraId="05F6CA61">
                  <w:pPr>
                    <w:adjustRightInd w:val="0"/>
                    <w:snapToGrid w:val="0"/>
                    <w:jc w:val="center"/>
                    <w:rPr>
                      <w:szCs w:val="21"/>
                    </w:rPr>
                  </w:pPr>
                  <w:r>
                    <w:rPr>
                      <w:szCs w:val="21"/>
                    </w:rPr>
                    <w:t>11</w:t>
                  </w:r>
                </w:p>
              </w:tc>
              <w:tc>
                <w:tcPr>
                  <w:tcW w:w="356" w:type="dxa"/>
                  <w:vMerge w:val="continue"/>
                  <w:vAlign w:val="center"/>
                </w:tcPr>
                <w:p w14:paraId="42FAD01A">
                  <w:pPr>
                    <w:adjustRightInd w:val="0"/>
                    <w:snapToGrid w:val="0"/>
                    <w:jc w:val="center"/>
                    <w:rPr>
                      <w:szCs w:val="21"/>
                    </w:rPr>
                  </w:pPr>
                </w:p>
              </w:tc>
              <w:tc>
                <w:tcPr>
                  <w:tcW w:w="576" w:type="dxa"/>
                  <w:vAlign w:val="center"/>
                </w:tcPr>
                <w:p w14:paraId="4EE6FE15">
                  <w:pPr>
                    <w:adjustRightInd w:val="0"/>
                    <w:snapToGrid w:val="0"/>
                    <w:jc w:val="center"/>
                    <w:rPr>
                      <w:szCs w:val="21"/>
                    </w:rPr>
                  </w:pPr>
                  <w:r>
                    <w:rPr>
                      <w:szCs w:val="21"/>
                    </w:rPr>
                    <w:t>W11</w:t>
                  </w:r>
                </w:p>
              </w:tc>
              <w:tc>
                <w:tcPr>
                  <w:tcW w:w="1937" w:type="dxa"/>
                  <w:vMerge w:val="continue"/>
                  <w:vAlign w:val="center"/>
                </w:tcPr>
                <w:p w14:paraId="7FE94F39">
                  <w:pPr>
                    <w:adjustRightInd w:val="0"/>
                    <w:snapToGrid w:val="0"/>
                    <w:jc w:val="center"/>
                    <w:rPr>
                      <w:szCs w:val="21"/>
                    </w:rPr>
                  </w:pPr>
                </w:p>
              </w:tc>
              <w:tc>
                <w:tcPr>
                  <w:tcW w:w="2373" w:type="dxa"/>
                  <w:vAlign w:val="center"/>
                </w:tcPr>
                <w:p w14:paraId="5EF27F34">
                  <w:pPr>
                    <w:adjustRightInd w:val="0"/>
                    <w:snapToGrid w:val="0"/>
                    <w:jc w:val="center"/>
                    <w:rPr>
                      <w:szCs w:val="21"/>
                      <w:lang w:bidi="ar"/>
                    </w:rPr>
                  </w:pPr>
                  <w:r>
                    <w:rPr>
                      <w:szCs w:val="21"/>
                      <w:lang w:bidi="ar"/>
                    </w:rPr>
                    <w:t>地面清洁</w:t>
                  </w:r>
                  <w:r>
                    <w:rPr>
                      <w:rFonts w:hint="eastAsia"/>
                      <w:szCs w:val="21"/>
                      <w:lang w:bidi="ar"/>
                    </w:rPr>
                    <w:t>废水</w:t>
                  </w:r>
                </w:p>
              </w:tc>
              <w:tc>
                <w:tcPr>
                  <w:tcW w:w="2857" w:type="dxa"/>
                  <w:vAlign w:val="center"/>
                </w:tcPr>
                <w:p w14:paraId="7A58692A">
                  <w:pPr>
                    <w:adjustRightInd w:val="0"/>
                    <w:snapToGrid w:val="0"/>
                    <w:jc w:val="center"/>
                    <w:rPr>
                      <w:color w:val="000000"/>
                      <w:lang w:eastAsia="en-US"/>
                    </w:rPr>
                  </w:pPr>
                  <w:r>
                    <w:rPr>
                      <w:color w:val="000000"/>
                      <w:lang w:eastAsia="en-US"/>
                    </w:rPr>
                    <w:t>pH、SS、BOD</w:t>
                  </w:r>
                  <w:r>
                    <w:rPr>
                      <w:color w:val="000000"/>
                      <w:vertAlign w:val="subscript"/>
                      <w:lang w:eastAsia="en-US"/>
                    </w:rPr>
                    <w:t>5</w:t>
                  </w:r>
                  <w:r>
                    <w:rPr>
                      <w:color w:val="000000"/>
                      <w:lang w:eastAsia="en-US"/>
                    </w:rPr>
                    <w:t>、COD、NH</w:t>
                  </w:r>
                  <w:r>
                    <w:rPr>
                      <w:color w:val="000000"/>
                      <w:vertAlign w:val="subscript"/>
                      <w:lang w:eastAsia="en-US"/>
                    </w:rPr>
                    <w:t>3</w:t>
                  </w:r>
                  <w:r>
                    <w:rPr>
                      <w:color w:val="000000"/>
                      <w:lang w:eastAsia="en-US"/>
                    </w:rPr>
                    <w:t>-N、TP、TN、动植物油等</w:t>
                  </w:r>
                </w:p>
              </w:tc>
            </w:tr>
            <w:tr w14:paraId="36495A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397" w:hRule="atLeast"/>
                <w:jc w:val="center"/>
              </w:trPr>
              <w:tc>
                <w:tcPr>
                  <w:tcW w:w="362" w:type="dxa"/>
                  <w:vAlign w:val="center"/>
                </w:tcPr>
                <w:p w14:paraId="5D82BE0B">
                  <w:pPr>
                    <w:adjustRightInd w:val="0"/>
                    <w:snapToGrid w:val="0"/>
                    <w:jc w:val="center"/>
                    <w:rPr>
                      <w:szCs w:val="21"/>
                    </w:rPr>
                  </w:pPr>
                  <w:r>
                    <w:rPr>
                      <w:szCs w:val="21"/>
                    </w:rPr>
                    <w:t>1</w:t>
                  </w:r>
                </w:p>
              </w:tc>
              <w:tc>
                <w:tcPr>
                  <w:tcW w:w="356" w:type="dxa"/>
                  <w:vAlign w:val="center"/>
                </w:tcPr>
                <w:p w14:paraId="3BC64B4A">
                  <w:pPr>
                    <w:adjustRightInd w:val="0"/>
                    <w:snapToGrid w:val="0"/>
                    <w:jc w:val="center"/>
                    <w:rPr>
                      <w:szCs w:val="21"/>
                    </w:rPr>
                  </w:pPr>
                  <w:r>
                    <w:rPr>
                      <w:szCs w:val="21"/>
                    </w:rPr>
                    <w:t>噪声</w:t>
                  </w:r>
                </w:p>
              </w:tc>
              <w:tc>
                <w:tcPr>
                  <w:tcW w:w="576" w:type="dxa"/>
                  <w:vAlign w:val="center"/>
                </w:tcPr>
                <w:p w14:paraId="065291E0">
                  <w:pPr>
                    <w:adjustRightInd w:val="0"/>
                    <w:snapToGrid w:val="0"/>
                    <w:jc w:val="center"/>
                    <w:rPr>
                      <w:szCs w:val="21"/>
                    </w:rPr>
                  </w:pPr>
                  <w:r>
                    <w:rPr>
                      <w:szCs w:val="21"/>
                    </w:rPr>
                    <w:t>N</w:t>
                  </w:r>
                </w:p>
              </w:tc>
              <w:tc>
                <w:tcPr>
                  <w:tcW w:w="1937" w:type="dxa"/>
                  <w:vAlign w:val="center"/>
                </w:tcPr>
                <w:p w14:paraId="781C3CF7">
                  <w:pPr>
                    <w:adjustRightInd w:val="0"/>
                    <w:snapToGrid w:val="0"/>
                    <w:jc w:val="center"/>
                    <w:rPr>
                      <w:szCs w:val="21"/>
                    </w:rPr>
                  </w:pPr>
                  <w:r>
                    <w:rPr>
                      <w:szCs w:val="21"/>
                    </w:rPr>
                    <w:t>生产车间</w:t>
                  </w:r>
                </w:p>
              </w:tc>
              <w:tc>
                <w:tcPr>
                  <w:tcW w:w="2373" w:type="dxa"/>
                  <w:vAlign w:val="center"/>
                </w:tcPr>
                <w:p w14:paraId="71DAEB31">
                  <w:pPr>
                    <w:adjustRightInd w:val="0"/>
                    <w:snapToGrid w:val="0"/>
                    <w:jc w:val="center"/>
                    <w:rPr>
                      <w:szCs w:val="21"/>
                    </w:rPr>
                  </w:pPr>
                  <w:r>
                    <w:rPr>
                      <w:szCs w:val="21"/>
                    </w:rPr>
                    <w:t>设备运行</w:t>
                  </w:r>
                </w:p>
              </w:tc>
              <w:tc>
                <w:tcPr>
                  <w:tcW w:w="2857" w:type="dxa"/>
                  <w:vAlign w:val="center"/>
                </w:tcPr>
                <w:p w14:paraId="2105D1C1">
                  <w:pPr>
                    <w:adjustRightInd w:val="0"/>
                    <w:snapToGrid w:val="0"/>
                    <w:jc w:val="center"/>
                    <w:rPr>
                      <w:szCs w:val="21"/>
                    </w:rPr>
                  </w:pPr>
                  <w:r>
                    <w:rPr>
                      <w:szCs w:val="21"/>
                    </w:rPr>
                    <w:t>设备噪声</w:t>
                  </w:r>
                </w:p>
              </w:tc>
            </w:tr>
            <w:tr w14:paraId="25FA68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397" w:hRule="atLeast"/>
                <w:jc w:val="center"/>
              </w:trPr>
              <w:tc>
                <w:tcPr>
                  <w:tcW w:w="362" w:type="dxa"/>
                  <w:vAlign w:val="center"/>
                </w:tcPr>
                <w:p w14:paraId="6003AC78">
                  <w:pPr>
                    <w:adjustRightInd w:val="0"/>
                    <w:snapToGrid w:val="0"/>
                    <w:jc w:val="center"/>
                    <w:rPr>
                      <w:szCs w:val="21"/>
                    </w:rPr>
                  </w:pPr>
                  <w:r>
                    <w:rPr>
                      <w:szCs w:val="21"/>
                    </w:rPr>
                    <w:t>1</w:t>
                  </w:r>
                </w:p>
              </w:tc>
              <w:tc>
                <w:tcPr>
                  <w:tcW w:w="356" w:type="dxa"/>
                  <w:vMerge w:val="restart"/>
                  <w:vAlign w:val="center"/>
                </w:tcPr>
                <w:p w14:paraId="658E93E8">
                  <w:pPr>
                    <w:adjustRightInd w:val="0"/>
                    <w:snapToGrid w:val="0"/>
                    <w:jc w:val="center"/>
                    <w:rPr>
                      <w:szCs w:val="21"/>
                    </w:rPr>
                  </w:pPr>
                  <w:r>
                    <w:rPr>
                      <w:szCs w:val="21"/>
                    </w:rPr>
                    <w:t>固废</w:t>
                  </w:r>
                </w:p>
              </w:tc>
              <w:tc>
                <w:tcPr>
                  <w:tcW w:w="576" w:type="dxa"/>
                  <w:vAlign w:val="center"/>
                </w:tcPr>
                <w:p w14:paraId="36DDFF03">
                  <w:pPr>
                    <w:adjustRightInd w:val="0"/>
                    <w:snapToGrid w:val="0"/>
                    <w:jc w:val="center"/>
                    <w:rPr>
                      <w:szCs w:val="21"/>
                    </w:rPr>
                  </w:pPr>
                  <w:r>
                    <w:rPr>
                      <w:szCs w:val="21"/>
                    </w:rPr>
                    <w:t>S1</w:t>
                  </w:r>
                </w:p>
              </w:tc>
              <w:tc>
                <w:tcPr>
                  <w:tcW w:w="1937" w:type="dxa"/>
                  <w:vAlign w:val="center"/>
                </w:tcPr>
                <w:p w14:paraId="7F051FFB">
                  <w:pPr>
                    <w:adjustRightInd w:val="0"/>
                    <w:snapToGrid w:val="0"/>
                    <w:jc w:val="center"/>
                    <w:rPr>
                      <w:szCs w:val="21"/>
                    </w:rPr>
                  </w:pPr>
                  <w:r>
                    <w:rPr>
                      <w:kern w:val="0"/>
                      <w:szCs w:val="21"/>
                      <w:lang w:bidi="ar"/>
                    </w:rPr>
                    <w:t>软水制备</w:t>
                  </w:r>
                </w:p>
              </w:tc>
              <w:tc>
                <w:tcPr>
                  <w:tcW w:w="2373" w:type="dxa"/>
                  <w:vAlign w:val="center"/>
                </w:tcPr>
                <w:p w14:paraId="34A88DC4">
                  <w:pPr>
                    <w:pStyle w:val="21"/>
                    <w:widowControl w:val="0"/>
                    <w:adjustRightInd w:val="0"/>
                    <w:snapToGrid w:val="0"/>
                    <w:spacing w:before="0" w:beforeAutospacing="0" w:after="0" w:afterAutospacing="0"/>
                    <w:jc w:val="center"/>
                    <w:rPr>
                      <w:rFonts w:ascii="Times New Roman" w:hAnsi="Times New Roman"/>
                      <w:sz w:val="21"/>
                      <w:szCs w:val="21"/>
                    </w:rPr>
                  </w:pPr>
                  <w:r>
                    <w:rPr>
                      <w:rFonts w:ascii="Times New Roman" w:hAnsi="Times New Roman"/>
                      <w:kern w:val="0"/>
                      <w:sz w:val="21"/>
                      <w:szCs w:val="21"/>
                      <w:lang w:bidi="ar"/>
                    </w:rPr>
                    <w:t>软水制备</w:t>
                  </w:r>
                </w:p>
              </w:tc>
              <w:tc>
                <w:tcPr>
                  <w:tcW w:w="2857" w:type="dxa"/>
                  <w:vAlign w:val="center"/>
                </w:tcPr>
                <w:p w14:paraId="7A9BA6A0">
                  <w:pPr>
                    <w:pStyle w:val="21"/>
                    <w:widowControl w:val="0"/>
                    <w:adjustRightInd w:val="0"/>
                    <w:snapToGrid w:val="0"/>
                    <w:spacing w:before="0" w:beforeAutospacing="0" w:after="0" w:afterAutospacing="0"/>
                    <w:jc w:val="center"/>
                    <w:rPr>
                      <w:rFonts w:ascii="Times New Roman" w:hAnsi="Times New Roman"/>
                      <w:sz w:val="21"/>
                      <w:szCs w:val="21"/>
                    </w:rPr>
                  </w:pPr>
                  <w:r>
                    <w:rPr>
                      <w:rFonts w:ascii="Times New Roman" w:hAnsi="Times New Roman"/>
                      <w:kern w:val="0"/>
                      <w:sz w:val="21"/>
                      <w:szCs w:val="21"/>
                      <w:lang w:bidi="ar"/>
                    </w:rPr>
                    <w:t>废离子交换树脂</w:t>
                  </w:r>
                </w:p>
              </w:tc>
            </w:tr>
            <w:tr w14:paraId="4F877F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397" w:hRule="atLeast"/>
                <w:jc w:val="center"/>
              </w:trPr>
              <w:tc>
                <w:tcPr>
                  <w:tcW w:w="362" w:type="dxa"/>
                  <w:vAlign w:val="center"/>
                </w:tcPr>
                <w:p w14:paraId="004681D3">
                  <w:pPr>
                    <w:adjustRightInd w:val="0"/>
                    <w:snapToGrid w:val="0"/>
                    <w:jc w:val="center"/>
                    <w:rPr>
                      <w:szCs w:val="21"/>
                    </w:rPr>
                  </w:pPr>
                  <w:r>
                    <w:rPr>
                      <w:szCs w:val="21"/>
                    </w:rPr>
                    <w:t>2</w:t>
                  </w:r>
                </w:p>
              </w:tc>
              <w:tc>
                <w:tcPr>
                  <w:tcW w:w="356" w:type="dxa"/>
                  <w:vMerge w:val="continue"/>
                  <w:vAlign w:val="center"/>
                </w:tcPr>
                <w:p w14:paraId="5327DF12">
                  <w:pPr>
                    <w:adjustRightInd w:val="0"/>
                    <w:snapToGrid w:val="0"/>
                    <w:jc w:val="center"/>
                    <w:rPr>
                      <w:szCs w:val="21"/>
                    </w:rPr>
                  </w:pPr>
                </w:p>
              </w:tc>
              <w:tc>
                <w:tcPr>
                  <w:tcW w:w="576" w:type="dxa"/>
                  <w:vAlign w:val="center"/>
                </w:tcPr>
                <w:p w14:paraId="14959401">
                  <w:pPr>
                    <w:adjustRightInd w:val="0"/>
                    <w:snapToGrid w:val="0"/>
                    <w:jc w:val="center"/>
                    <w:rPr>
                      <w:szCs w:val="21"/>
                    </w:rPr>
                  </w:pPr>
                  <w:r>
                    <w:rPr>
                      <w:szCs w:val="21"/>
                    </w:rPr>
                    <w:t>S2</w:t>
                  </w:r>
                </w:p>
              </w:tc>
              <w:tc>
                <w:tcPr>
                  <w:tcW w:w="1937" w:type="dxa"/>
                  <w:vAlign w:val="center"/>
                </w:tcPr>
                <w:p w14:paraId="03758892">
                  <w:pPr>
                    <w:adjustRightInd w:val="0"/>
                    <w:snapToGrid w:val="0"/>
                    <w:jc w:val="center"/>
                    <w:rPr>
                      <w:color w:val="000000"/>
                      <w:szCs w:val="21"/>
                    </w:rPr>
                  </w:pPr>
                  <w:r>
                    <w:rPr>
                      <w:color w:val="000000"/>
                    </w:rPr>
                    <w:t>生物质燃烧</w:t>
                  </w:r>
                </w:p>
              </w:tc>
              <w:tc>
                <w:tcPr>
                  <w:tcW w:w="2373" w:type="dxa"/>
                  <w:vAlign w:val="center"/>
                </w:tcPr>
                <w:p w14:paraId="47CF1D05">
                  <w:pPr>
                    <w:adjustRightInd w:val="0"/>
                    <w:snapToGrid w:val="0"/>
                    <w:jc w:val="center"/>
                    <w:rPr>
                      <w:color w:val="000000"/>
                    </w:rPr>
                  </w:pPr>
                  <w:r>
                    <w:rPr>
                      <w:color w:val="000000"/>
                    </w:rPr>
                    <w:t>生物质</w:t>
                  </w:r>
                  <w:r>
                    <w:rPr>
                      <w:rFonts w:hint="eastAsia"/>
                      <w:color w:val="000000"/>
                    </w:rPr>
                    <w:t>气化</w:t>
                  </w:r>
                </w:p>
              </w:tc>
              <w:tc>
                <w:tcPr>
                  <w:tcW w:w="2857" w:type="dxa"/>
                  <w:vAlign w:val="center"/>
                </w:tcPr>
                <w:p w14:paraId="014A9500">
                  <w:pPr>
                    <w:pStyle w:val="50"/>
                    <w:spacing w:beforeLines="0" w:line="240" w:lineRule="auto"/>
                    <w:rPr>
                      <w:rFonts w:ascii="Times New Roman" w:hAnsi="Times New Roman"/>
                      <w:color w:val="000000"/>
                    </w:rPr>
                  </w:pPr>
                  <w:r>
                    <w:rPr>
                      <w:rFonts w:ascii="Times New Roman" w:hAnsi="Times New Roman"/>
                      <w:color w:val="000000"/>
                    </w:rPr>
                    <w:t>炉渣</w:t>
                  </w:r>
                </w:p>
              </w:tc>
            </w:tr>
            <w:tr w14:paraId="4AE90E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397" w:hRule="atLeast"/>
                <w:jc w:val="center"/>
              </w:trPr>
              <w:tc>
                <w:tcPr>
                  <w:tcW w:w="362" w:type="dxa"/>
                  <w:vAlign w:val="center"/>
                </w:tcPr>
                <w:p w14:paraId="0E120BD6">
                  <w:pPr>
                    <w:adjustRightInd w:val="0"/>
                    <w:snapToGrid w:val="0"/>
                    <w:jc w:val="center"/>
                    <w:rPr>
                      <w:szCs w:val="21"/>
                    </w:rPr>
                  </w:pPr>
                  <w:r>
                    <w:rPr>
                      <w:szCs w:val="21"/>
                    </w:rPr>
                    <w:t>3</w:t>
                  </w:r>
                </w:p>
              </w:tc>
              <w:tc>
                <w:tcPr>
                  <w:tcW w:w="356" w:type="dxa"/>
                  <w:vMerge w:val="continue"/>
                  <w:vAlign w:val="center"/>
                </w:tcPr>
                <w:p w14:paraId="77490B49">
                  <w:pPr>
                    <w:adjustRightInd w:val="0"/>
                    <w:snapToGrid w:val="0"/>
                    <w:jc w:val="center"/>
                    <w:rPr>
                      <w:szCs w:val="21"/>
                    </w:rPr>
                  </w:pPr>
                </w:p>
              </w:tc>
              <w:tc>
                <w:tcPr>
                  <w:tcW w:w="576" w:type="dxa"/>
                  <w:vAlign w:val="center"/>
                </w:tcPr>
                <w:p w14:paraId="2F82DCC6">
                  <w:pPr>
                    <w:adjustRightInd w:val="0"/>
                    <w:snapToGrid w:val="0"/>
                    <w:jc w:val="center"/>
                    <w:rPr>
                      <w:szCs w:val="21"/>
                    </w:rPr>
                  </w:pPr>
                  <w:r>
                    <w:rPr>
                      <w:szCs w:val="21"/>
                    </w:rPr>
                    <w:t>S3</w:t>
                  </w:r>
                </w:p>
              </w:tc>
              <w:tc>
                <w:tcPr>
                  <w:tcW w:w="1937" w:type="dxa"/>
                  <w:vAlign w:val="center"/>
                </w:tcPr>
                <w:p w14:paraId="57BCACC8">
                  <w:pPr>
                    <w:pStyle w:val="21"/>
                    <w:widowControl w:val="0"/>
                    <w:adjustRightInd w:val="0"/>
                    <w:snapToGrid w:val="0"/>
                    <w:spacing w:before="0" w:beforeAutospacing="0" w:after="0" w:afterAutospacing="0"/>
                    <w:jc w:val="center"/>
                    <w:rPr>
                      <w:rFonts w:ascii="Times New Roman" w:hAnsi="Times New Roman"/>
                      <w:kern w:val="0"/>
                      <w:sz w:val="21"/>
                      <w:szCs w:val="21"/>
                      <w:lang w:bidi="ar"/>
                    </w:rPr>
                  </w:pPr>
                  <w:r>
                    <w:rPr>
                      <w:rFonts w:ascii="Times New Roman" w:hAnsi="Times New Roman"/>
                      <w:kern w:val="0"/>
                      <w:sz w:val="21"/>
                      <w:szCs w:val="21"/>
                      <w:lang w:bidi="ar"/>
                    </w:rPr>
                    <w:t>原料预处理、质检</w:t>
                  </w:r>
                </w:p>
              </w:tc>
              <w:tc>
                <w:tcPr>
                  <w:tcW w:w="2373" w:type="dxa"/>
                  <w:vAlign w:val="center"/>
                </w:tcPr>
                <w:p w14:paraId="195A982E">
                  <w:pPr>
                    <w:pStyle w:val="21"/>
                    <w:widowControl w:val="0"/>
                    <w:adjustRightInd w:val="0"/>
                    <w:snapToGrid w:val="0"/>
                    <w:spacing w:before="0" w:beforeAutospacing="0" w:after="0" w:afterAutospacing="0"/>
                    <w:jc w:val="center"/>
                    <w:rPr>
                      <w:rFonts w:ascii="Times New Roman" w:hAnsi="Times New Roman"/>
                      <w:kern w:val="0"/>
                      <w:sz w:val="21"/>
                      <w:szCs w:val="21"/>
                      <w:lang w:bidi="ar"/>
                    </w:rPr>
                  </w:pPr>
                  <w:r>
                    <w:rPr>
                      <w:rFonts w:ascii="Times New Roman" w:hAnsi="Times New Roman"/>
                      <w:kern w:val="0"/>
                      <w:sz w:val="21"/>
                      <w:szCs w:val="21"/>
                      <w:lang w:bidi="ar"/>
                    </w:rPr>
                    <w:t>原料预处理、质检</w:t>
                  </w:r>
                </w:p>
              </w:tc>
              <w:tc>
                <w:tcPr>
                  <w:tcW w:w="2857" w:type="dxa"/>
                  <w:vAlign w:val="center"/>
                </w:tcPr>
                <w:p w14:paraId="185DBE08">
                  <w:pPr>
                    <w:pStyle w:val="21"/>
                    <w:widowControl w:val="0"/>
                    <w:adjustRightInd w:val="0"/>
                    <w:snapToGrid w:val="0"/>
                    <w:spacing w:before="0" w:beforeAutospacing="0" w:after="0" w:afterAutospacing="0"/>
                    <w:jc w:val="center"/>
                    <w:rPr>
                      <w:rFonts w:ascii="Times New Roman" w:hAnsi="Times New Roman"/>
                      <w:kern w:val="0"/>
                      <w:sz w:val="21"/>
                      <w:szCs w:val="21"/>
                      <w:lang w:bidi="ar"/>
                    </w:rPr>
                  </w:pPr>
                  <w:r>
                    <w:rPr>
                      <w:rFonts w:ascii="Times New Roman" w:hAnsi="Times New Roman"/>
                      <w:kern w:val="0"/>
                      <w:sz w:val="21"/>
                      <w:szCs w:val="21"/>
                      <w:lang w:bidi="ar"/>
                    </w:rPr>
                    <w:t>废边角料、不合格产品</w:t>
                  </w:r>
                </w:p>
              </w:tc>
            </w:tr>
            <w:tr w14:paraId="51CB2A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397" w:hRule="atLeast"/>
                <w:jc w:val="center"/>
              </w:trPr>
              <w:tc>
                <w:tcPr>
                  <w:tcW w:w="362" w:type="dxa"/>
                  <w:vAlign w:val="center"/>
                </w:tcPr>
                <w:p w14:paraId="11AFA5A7">
                  <w:pPr>
                    <w:adjustRightInd w:val="0"/>
                    <w:snapToGrid w:val="0"/>
                    <w:jc w:val="center"/>
                    <w:rPr>
                      <w:szCs w:val="21"/>
                    </w:rPr>
                  </w:pPr>
                  <w:r>
                    <w:rPr>
                      <w:szCs w:val="21"/>
                    </w:rPr>
                    <w:t>4</w:t>
                  </w:r>
                </w:p>
              </w:tc>
              <w:tc>
                <w:tcPr>
                  <w:tcW w:w="356" w:type="dxa"/>
                  <w:vMerge w:val="continue"/>
                  <w:vAlign w:val="center"/>
                </w:tcPr>
                <w:p w14:paraId="641DEFDA">
                  <w:pPr>
                    <w:adjustRightInd w:val="0"/>
                    <w:snapToGrid w:val="0"/>
                    <w:jc w:val="center"/>
                    <w:rPr>
                      <w:szCs w:val="21"/>
                    </w:rPr>
                  </w:pPr>
                </w:p>
              </w:tc>
              <w:tc>
                <w:tcPr>
                  <w:tcW w:w="576" w:type="dxa"/>
                  <w:vAlign w:val="center"/>
                </w:tcPr>
                <w:p w14:paraId="5AA2B945">
                  <w:pPr>
                    <w:adjustRightInd w:val="0"/>
                    <w:snapToGrid w:val="0"/>
                    <w:jc w:val="center"/>
                    <w:rPr>
                      <w:szCs w:val="21"/>
                    </w:rPr>
                  </w:pPr>
                  <w:r>
                    <w:rPr>
                      <w:szCs w:val="21"/>
                    </w:rPr>
                    <w:t>S4</w:t>
                  </w:r>
                </w:p>
              </w:tc>
              <w:tc>
                <w:tcPr>
                  <w:tcW w:w="1937" w:type="dxa"/>
                  <w:vAlign w:val="center"/>
                </w:tcPr>
                <w:p w14:paraId="711CCA9F">
                  <w:pPr>
                    <w:adjustRightInd w:val="0"/>
                    <w:snapToGrid w:val="0"/>
                    <w:jc w:val="center"/>
                  </w:pPr>
                  <w:r>
                    <w:t>拆包、包装、检验</w:t>
                  </w:r>
                </w:p>
              </w:tc>
              <w:tc>
                <w:tcPr>
                  <w:tcW w:w="2373" w:type="dxa"/>
                  <w:vAlign w:val="center"/>
                </w:tcPr>
                <w:p w14:paraId="62F45153">
                  <w:pPr>
                    <w:adjustRightInd w:val="0"/>
                    <w:snapToGrid w:val="0"/>
                    <w:jc w:val="center"/>
                  </w:pPr>
                  <w:r>
                    <w:t>拆包、包装、检验</w:t>
                  </w:r>
                </w:p>
              </w:tc>
              <w:tc>
                <w:tcPr>
                  <w:tcW w:w="2857" w:type="dxa"/>
                  <w:vAlign w:val="center"/>
                </w:tcPr>
                <w:p w14:paraId="01CFBB9B">
                  <w:pPr>
                    <w:adjustRightInd w:val="0"/>
                    <w:snapToGrid w:val="0"/>
                    <w:jc w:val="center"/>
                  </w:pPr>
                  <w:r>
                    <w:t>废包装材料</w:t>
                  </w:r>
                </w:p>
              </w:tc>
            </w:tr>
            <w:tr w14:paraId="11657B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397" w:hRule="atLeast"/>
                <w:jc w:val="center"/>
              </w:trPr>
              <w:tc>
                <w:tcPr>
                  <w:tcW w:w="362" w:type="dxa"/>
                  <w:vAlign w:val="center"/>
                </w:tcPr>
                <w:p w14:paraId="1B7B3383">
                  <w:pPr>
                    <w:adjustRightInd w:val="0"/>
                    <w:snapToGrid w:val="0"/>
                    <w:jc w:val="center"/>
                    <w:rPr>
                      <w:szCs w:val="21"/>
                    </w:rPr>
                  </w:pPr>
                  <w:r>
                    <w:rPr>
                      <w:szCs w:val="21"/>
                    </w:rPr>
                    <w:t>5</w:t>
                  </w:r>
                </w:p>
              </w:tc>
              <w:tc>
                <w:tcPr>
                  <w:tcW w:w="356" w:type="dxa"/>
                  <w:vMerge w:val="continue"/>
                  <w:vAlign w:val="center"/>
                </w:tcPr>
                <w:p w14:paraId="6D62CA3B">
                  <w:pPr>
                    <w:adjustRightInd w:val="0"/>
                    <w:snapToGrid w:val="0"/>
                    <w:jc w:val="center"/>
                    <w:rPr>
                      <w:szCs w:val="21"/>
                    </w:rPr>
                  </w:pPr>
                </w:p>
              </w:tc>
              <w:tc>
                <w:tcPr>
                  <w:tcW w:w="576" w:type="dxa"/>
                  <w:vAlign w:val="center"/>
                </w:tcPr>
                <w:p w14:paraId="2F97D4DF">
                  <w:pPr>
                    <w:adjustRightInd w:val="0"/>
                    <w:snapToGrid w:val="0"/>
                    <w:jc w:val="center"/>
                    <w:rPr>
                      <w:szCs w:val="21"/>
                    </w:rPr>
                  </w:pPr>
                  <w:r>
                    <w:rPr>
                      <w:szCs w:val="21"/>
                    </w:rPr>
                    <w:t>S5</w:t>
                  </w:r>
                </w:p>
              </w:tc>
              <w:tc>
                <w:tcPr>
                  <w:tcW w:w="1937" w:type="dxa"/>
                  <w:vAlign w:val="center"/>
                </w:tcPr>
                <w:p w14:paraId="77486591">
                  <w:pPr>
                    <w:adjustRightInd w:val="0"/>
                    <w:snapToGrid w:val="0"/>
                    <w:jc w:val="center"/>
                    <w:rPr>
                      <w:color w:val="000000"/>
                      <w:szCs w:val="21"/>
                    </w:rPr>
                  </w:pPr>
                  <w:r>
                    <w:rPr>
                      <w:color w:val="000000"/>
                    </w:rPr>
                    <w:t>卤制</w:t>
                  </w:r>
                </w:p>
              </w:tc>
              <w:tc>
                <w:tcPr>
                  <w:tcW w:w="2373" w:type="dxa"/>
                  <w:vAlign w:val="center"/>
                </w:tcPr>
                <w:p w14:paraId="2701B239">
                  <w:pPr>
                    <w:adjustRightInd w:val="0"/>
                    <w:snapToGrid w:val="0"/>
                    <w:jc w:val="center"/>
                    <w:rPr>
                      <w:color w:val="000000"/>
                      <w:szCs w:val="21"/>
                    </w:rPr>
                  </w:pPr>
                  <w:r>
                    <w:rPr>
                      <w:color w:val="000000"/>
                    </w:rPr>
                    <w:t>卤制</w:t>
                  </w:r>
                </w:p>
              </w:tc>
              <w:tc>
                <w:tcPr>
                  <w:tcW w:w="2857" w:type="dxa"/>
                  <w:vAlign w:val="center"/>
                </w:tcPr>
                <w:p w14:paraId="5181E906">
                  <w:pPr>
                    <w:adjustRightInd w:val="0"/>
                    <w:snapToGrid w:val="0"/>
                    <w:jc w:val="center"/>
                    <w:rPr>
                      <w:color w:val="000000"/>
                    </w:rPr>
                  </w:pPr>
                  <w:r>
                    <w:rPr>
                      <w:color w:val="000000"/>
                    </w:rPr>
                    <w:t>卤渣</w:t>
                  </w:r>
                </w:p>
              </w:tc>
            </w:tr>
            <w:tr w14:paraId="7820DC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397" w:hRule="atLeast"/>
                <w:jc w:val="center"/>
              </w:trPr>
              <w:tc>
                <w:tcPr>
                  <w:tcW w:w="362" w:type="dxa"/>
                  <w:vAlign w:val="center"/>
                </w:tcPr>
                <w:p w14:paraId="05CA06A3">
                  <w:pPr>
                    <w:adjustRightInd w:val="0"/>
                    <w:snapToGrid w:val="0"/>
                    <w:jc w:val="center"/>
                    <w:rPr>
                      <w:szCs w:val="21"/>
                    </w:rPr>
                  </w:pPr>
                  <w:r>
                    <w:rPr>
                      <w:szCs w:val="21"/>
                    </w:rPr>
                    <w:t>6</w:t>
                  </w:r>
                </w:p>
              </w:tc>
              <w:tc>
                <w:tcPr>
                  <w:tcW w:w="356" w:type="dxa"/>
                  <w:vMerge w:val="continue"/>
                  <w:vAlign w:val="center"/>
                </w:tcPr>
                <w:p w14:paraId="21A62A31">
                  <w:pPr>
                    <w:adjustRightInd w:val="0"/>
                    <w:snapToGrid w:val="0"/>
                    <w:jc w:val="center"/>
                    <w:rPr>
                      <w:szCs w:val="21"/>
                    </w:rPr>
                  </w:pPr>
                </w:p>
              </w:tc>
              <w:tc>
                <w:tcPr>
                  <w:tcW w:w="576" w:type="dxa"/>
                  <w:vAlign w:val="center"/>
                </w:tcPr>
                <w:p w14:paraId="716E4F5C">
                  <w:pPr>
                    <w:adjustRightInd w:val="0"/>
                    <w:snapToGrid w:val="0"/>
                    <w:jc w:val="center"/>
                    <w:rPr>
                      <w:szCs w:val="21"/>
                    </w:rPr>
                  </w:pPr>
                  <w:r>
                    <w:rPr>
                      <w:szCs w:val="21"/>
                    </w:rPr>
                    <w:t>S6</w:t>
                  </w:r>
                </w:p>
              </w:tc>
              <w:tc>
                <w:tcPr>
                  <w:tcW w:w="1937" w:type="dxa"/>
                  <w:vAlign w:val="center"/>
                </w:tcPr>
                <w:p w14:paraId="154375F3">
                  <w:pPr>
                    <w:adjustRightInd w:val="0"/>
                    <w:snapToGrid w:val="0"/>
                    <w:jc w:val="center"/>
                    <w:rPr>
                      <w:color w:val="000000"/>
                    </w:rPr>
                  </w:pPr>
                  <w:r>
                    <w:rPr>
                      <w:rFonts w:hint="eastAsia"/>
                      <w:bCs/>
                    </w:rPr>
                    <w:t>河水净化</w:t>
                  </w:r>
                </w:p>
              </w:tc>
              <w:tc>
                <w:tcPr>
                  <w:tcW w:w="2373" w:type="dxa"/>
                  <w:vAlign w:val="center"/>
                </w:tcPr>
                <w:p w14:paraId="4A3165BF">
                  <w:pPr>
                    <w:adjustRightInd w:val="0"/>
                    <w:snapToGrid w:val="0"/>
                    <w:jc w:val="center"/>
                    <w:rPr>
                      <w:color w:val="000000"/>
                    </w:rPr>
                  </w:pPr>
                  <w:r>
                    <w:rPr>
                      <w:rFonts w:hint="eastAsia"/>
                      <w:color w:val="000000"/>
                    </w:rPr>
                    <w:t>净化</w:t>
                  </w:r>
                </w:p>
              </w:tc>
              <w:tc>
                <w:tcPr>
                  <w:tcW w:w="2857" w:type="dxa"/>
                  <w:vAlign w:val="center"/>
                </w:tcPr>
                <w:p w14:paraId="01B6B68E">
                  <w:pPr>
                    <w:adjustRightInd w:val="0"/>
                    <w:snapToGrid w:val="0"/>
                    <w:jc w:val="center"/>
                    <w:rPr>
                      <w:color w:val="000000"/>
                    </w:rPr>
                  </w:pPr>
                  <w:r>
                    <w:rPr>
                      <w:rFonts w:hint="eastAsia"/>
                      <w:bCs/>
                    </w:rPr>
                    <w:t>废滤料及废RO膜</w:t>
                  </w:r>
                </w:p>
              </w:tc>
            </w:tr>
            <w:tr w14:paraId="21803E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397" w:hRule="atLeast"/>
                <w:jc w:val="center"/>
              </w:trPr>
              <w:tc>
                <w:tcPr>
                  <w:tcW w:w="362" w:type="dxa"/>
                  <w:vAlign w:val="center"/>
                </w:tcPr>
                <w:p w14:paraId="5FFCE198">
                  <w:pPr>
                    <w:adjustRightInd w:val="0"/>
                    <w:snapToGrid w:val="0"/>
                    <w:jc w:val="center"/>
                    <w:rPr>
                      <w:szCs w:val="21"/>
                    </w:rPr>
                  </w:pPr>
                  <w:r>
                    <w:rPr>
                      <w:rFonts w:hint="eastAsia"/>
                      <w:szCs w:val="21"/>
                    </w:rPr>
                    <w:t>7</w:t>
                  </w:r>
                </w:p>
              </w:tc>
              <w:tc>
                <w:tcPr>
                  <w:tcW w:w="356" w:type="dxa"/>
                  <w:vMerge w:val="continue"/>
                  <w:vAlign w:val="center"/>
                </w:tcPr>
                <w:p w14:paraId="2F403A3C">
                  <w:pPr>
                    <w:adjustRightInd w:val="0"/>
                    <w:snapToGrid w:val="0"/>
                    <w:jc w:val="center"/>
                    <w:rPr>
                      <w:szCs w:val="21"/>
                    </w:rPr>
                  </w:pPr>
                </w:p>
              </w:tc>
              <w:tc>
                <w:tcPr>
                  <w:tcW w:w="576" w:type="dxa"/>
                  <w:vAlign w:val="center"/>
                </w:tcPr>
                <w:p w14:paraId="4E44F4EA">
                  <w:pPr>
                    <w:adjustRightInd w:val="0"/>
                    <w:snapToGrid w:val="0"/>
                    <w:jc w:val="center"/>
                    <w:rPr>
                      <w:szCs w:val="21"/>
                    </w:rPr>
                  </w:pPr>
                  <w:r>
                    <w:rPr>
                      <w:szCs w:val="21"/>
                    </w:rPr>
                    <w:t>S</w:t>
                  </w:r>
                  <w:r>
                    <w:rPr>
                      <w:rFonts w:hint="eastAsia"/>
                      <w:szCs w:val="21"/>
                    </w:rPr>
                    <w:t>7</w:t>
                  </w:r>
                </w:p>
              </w:tc>
              <w:tc>
                <w:tcPr>
                  <w:tcW w:w="1937" w:type="dxa"/>
                  <w:vAlign w:val="center"/>
                </w:tcPr>
                <w:p w14:paraId="3765128F">
                  <w:pPr>
                    <w:adjustRightInd w:val="0"/>
                    <w:snapToGrid w:val="0"/>
                    <w:jc w:val="center"/>
                    <w:rPr>
                      <w:color w:val="000000"/>
                      <w:szCs w:val="21"/>
                    </w:rPr>
                  </w:pPr>
                  <w:r>
                    <w:rPr>
                      <w:color w:val="000000"/>
                    </w:rPr>
                    <w:t>办公区</w:t>
                  </w:r>
                </w:p>
              </w:tc>
              <w:tc>
                <w:tcPr>
                  <w:tcW w:w="2373" w:type="dxa"/>
                  <w:vAlign w:val="center"/>
                </w:tcPr>
                <w:p w14:paraId="18C4AE13">
                  <w:pPr>
                    <w:adjustRightInd w:val="0"/>
                    <w:snapToGrid w:val="0"/>
                    <w:jc w:val="center"/>
                    <w:rPr>
                      <w:color w:val="000000"/>
                    </w:rPr>
                  </w:pPr>
                  <w:r>
                    <w:rPr>
                      <w:color w:val="000000"/>
                    </w:rPr>
                    <w:t>办公生活</w:t>
                  </w:r>
                </w:p>
              </w:tc>
              <w:tc>
                <w:tcPr>
                  <w:tcW w:w="2857" w:type="dxa"/>
                  <w:vAlign w:val="center"/>
                </w:tcPr>
                <w:p w14:paraId="37162ECD">
                  <w:pPr>
                    <w:adjustRightInd w:val="0"/>
                    <w:snapToGrid w:val="0"/>
                    <w:jc w:val="center"/>
                    <w:rPr>
                      <w:color w:val="000000"/>
                    </w:rPr>
                  </w:pPr>
                  <w:r>
                    <w:rPr>
                      <w:color w:val="000000"/>
                    </w:rPr>
                    <w:t>生活垃圾</w:t>
                  </w:r>
                </w:p>
              </w:tc>
            </w:tr>
          </w:tbl>
          <w:p w14:paraId="33712BFA">
            <w:pPr>
              <w:spacing w:line="360" w:lineRule="auto"/>
              <w:rPr>
                <w:rFonts w:ascii="宋体" w:hAnsi="宋体" w:cs="宋体"/>
                <w:b/>
                <w:bCs/>
                <w:kern w:val="0"/>
                <w:sz w:val="24"/>
                <w:szCs w:val="24"/>
                <w:u w:val="single"/>
              </w:rPr>
            </w:pPr>
            <w:r>
              <w:rPr>
                <w:rFonts w:hint="eastAsia" w:ascii="宋体" w:hAnsi="宋体" w:cs="宋体"/>
                <w:b/>
                <w:bCs/>
                <w:kern w:val="0"/>
                <w:sz w:val="24"/>
                <w:szCs w:val="24"/>
                <w:u w:val="single"/>
              </w:rPr>
              <w:t>工艺过程含盐量分析</w:t>
            </w:r>
          </w:p>
          <w:p w14:paraId="3097C67B">
            <w:pPr>
              <w:adjustRightInd w:val="0"/>
              <w:snapToGrid w:val="0"/>
              <w:spacing w:line="360" w:lineRule="auto"/>
              <w:ind w:firstLine="480" w:firstLineChars="200"/>
              <w:rPr>
                <w:rFonts w:ascii="宋体" w:hAnsi="宋体" w:cs="宋体"/>
                <w:bCs/>
                <w:sz w:val="24"/>
                <w:szCs w:val="24"/>
                <w:u w:val="single"/>
              </w:rPr>
            </w:pPr>
            <w:r>
              <w:rPr>
                <w:rFonts w:hint="eastAsia" w:ascii="宋体" w:hAnsi="宋体" w:cs="宋体"/>
                <w:bCs/>
                <w:sz w:val="24"/>
                <w:szCs w:val="24"/>
                <w:u w:val="single"/>
              </w:rPr>
              <w:t>产品加工环节：</w:t>
            </w:r>
          </w:p>
          <w:p w14:paraId="5B392890">
            <w:pPr>
              <w:adjustRightInd w:val="0"/>
              <w:snapToGrid w:val="0"/>
              <w:spacing w:line="360" w:lineRule="auto"/>
              <w:ind w:firstLine="480" w:firstLineChars="200"/>
              <w:rPr>
                <w:rFonts w:ascii="宋体" w:hAnsi="宋体" w:cs="宋体"/>
                <w:bCs/>
                <w:sz w:val="24"/>
                <w:szCs w:val="24"/>
                <w:u w:val="single"/>
              </w:rPr>
            </w:pPr>
            <w:r>
              <w:rPr>
                <w:rFonts w:hint="eastAsia" w:ascii="宋体" w:hAnsi="宋体" w:cs="宋体"/>
                <w:bCs/>
                <w:sz w:val="24"/>
                <w:szCs w:val="24"/>
                <w:u w:val="single"/>
              </w:rPr>
              <w:t>①焯水废水：肉类卤制品原料经过</w:t>
            </w:r>
            <w:r>
              <w:rPr>
                <w:rFonts w:hint="eastAsia" w:ascii="宋体" w:hAnsi="宋体" w:cs="宋体"/>
                <w:sz w:val="24"/>
                <w:szCs w:val="24"/>
                <w:u w:val="single"/>
              </w:rPr>
              <w:t>滚揉腌制</w:t>
            </w:r>
            <w:r>
              <w:rPr>
                <w:rFonts w:hint="eastAsia" w:ascii="宋体" w:hAnsi="宋体" w:cs="宋体"/>
                <w:bCs/>
                <w:sz w:val="24"/>
                <w:szCs w:val="24"/>
                <w:u w:val="single"/>
              </w:rPr>
              <w:t>环节后，进入焯水工序，因此焯水工序产生的废水含盐量较高。</w:t>
            </w:r>
          </w:p>
          <w:p w14:paraId="134485C0">
            <w:pPr>
              <w:adjustRightInd w:val="0"/>
              <w:snapToGrid w:val="0"/>
              <w:spacing w:line="360" w:lineRule="auto"/>
              <w:ind w:firstLine="480" w:firstLineChars="200"/>
              <w:rPr>
                <w:rFonts w:ascii="宋体" w:hAnsi="宋体" w:cs="宋体"/>
                <w:bCs/>
                <w:sz w:val="24"/>
                <w:szCs w:val="24"/>
                <w:u w:val="single"/>
              </w:rPr>
            </w:pPr>
            <w:r>
              <w:rPr>
                <w:rFonts w:hint="eastAsia" w:ascii="宋体" w:hAnsi="宋体" w:cs="宋体"/>
                <w:bCs/>
                <w:sz w:val="24"/>
                <w:szCs w:val="24"/>
                <w:u w:val="single"/>
              </w:rPr>
              <w:t>②不同产地、品种的黄豆原料中天然具有含盐量。因此黄豆原料浸泡废水具有含盐量，但含盐量相对较低。</w:t>
            </w:r>
          </w:p>
          <w:p w14:paraId="6EAFBED7">
            <w:pPr>
              <w:adjustRightInd w:val="0"/>
              <w:snapToGrid w:val="0"/>
              <w:spacing w:line="360" w:lineRule="auto"/>
              <w:ind w:firstLine="480" w:firstLineChars="200"/>
              <w:rPr>
                <w:rFonts w:ascii="宋体" w:hAnsi="宋体" w:cs="宋体"/>
                <w:bCs/>
                <w:sz w:val="24"/>
                <w:szCs w:val="24"/>
                <w:u w:val="single"/>
              </w:rPr>
            </w:pPr>
            <w:r>
              <w:rPr>
                <w:rFonts w:hint="eastAsia" w:ascii="宋体" w:hAnsi="宋体" w:cs="宋体"/>
                <w:bCs/>
                <w:sz w:val="24"/>
                <w:szCs w:val="24"/>
                <w:u w:val="single"/>
              </w:rPr>
              <w:t>③洗袋废水：包装好后产品进入冷水池进行降温及清洗，主要是为了清洗包装上的污渍、检验是否有空包、漏气等情况。项目包装上的污渍及产品包装漏气等情况发生概率较低，因此洗袋废水中含盐量低。</w:t>
            </w:r>
          </w:p>
          <w:p w14:paraId="15D4742F">
            <w:pPr>
              <w:adjustRightInd w:val="0"/>
              <w:snapToGrid w:val="0"/>
              <w:spacing w:line="360" w:lineRule="auto"/>
              <w:ind w:firstLine="480" w:firstLineChars="200"/>
              <w:rPr>
                <w:rFonts w:ascii="宋体" w:hAnsi="宋体" w:cs="宋体"/>
                <w:bCs/>
                <w:sz w:val="24"/>
                <w:szCs w:val="24"/>
              </w:rPr>
            </w:pPr>
            <w:r>
              <w:rPr>
                <w:rFonts w:hint="eastAsia" w:ascii="宋体" w:hAnsi="宋体" w:cs="宋体"/>
                <w:bCs/>
                <w:sz w:val="24"/>
                <w:szCs w:val="24"/>
                <w:u w:val="single"/>
              </w:rPr>
              <w:t>④设备清洗废水：厂区内生产设备每天清洗一次，生产过程中设备接触盐、酱油等调味料，因此设备清洗废水中含盐浓度相对较低。</w:t>
            </w:r>
          </w:p>
          <w:p w14:paraId="67C5C461">
            <w:pPr>
              <w:tabs>
                <w:tab w:val="left" w:pos="0"/>
              </w:tabs>
              <w:adjustRightInd w:val="0"/>
              <w:spacing w:line="360" w:lineRule="auto"/>
              <w:ind w:firstLine="480" w:firstLineChars="200"/>
              <w:rPr>
                <w:rFonts w:ascii="宋体" w:hAnsi="宋体" w:cs="宋体"/>
                <w:sz w:val="24"/>
                <w:szCs w:val="24"/>
                <w:u w:val="single"/>
              </w:rPr>
            </w:pPr>
            <w:r>
              <w:rPr>
                <w:rFonts w:hint="eastAsia" w:ascii="宋体" w:hAnsi="宋体" w:cs="宋体"/>
                <w:sz w:val="24"/>
                <w:szCs w:val="24"/>
                <w:u w:val="single"/>
              </w:rPr>
              <w:t>生产废水中含盐废水量主要通过污水处理施中其他生产废水进行稀释，从而降低生产废水中的含盐浓度。</w:t>
            </w:r>
          </w:p>
          <w:p w14:paraId="14B24CAC">
            <w:pPr>
              <w:adjustRightInd w:val="0"/>
              <w:snapToGrid w:val="0"/>
              <w:spacing w:line="360" w:lineRule="auto"/>
              <w:rPr>
                <w:b/>
                <w:sz w:val="24"/>
                <w:szCs w:val="24"/>
              </w:rPr>
            </w:pPr>
          </w:p>
        </w:tc>
      </w:tr>
      <w:tr w14:paraId="66539C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921" w:hRule="atLeast"/>
          <w:jc w:val="center"/>
        </w:trPr>
        <w:tc>
          <w:tcPr>
            <w:tcW w:w="288" w:type="pct"/>
            <w:vAlign w:val="center"/>
          </w:tcPr>
          <w:p w14:paraId="3D8B8176">
            <w:pPr>
              <w:pStyle w:val="21"/>
              <w:adjustRightInd w:val="0"/>
              <w:snapToGrid w:val="0"/>
              <w:spacing w:before="0" w:beforeAutospacing="0" w:after="0" w:afterAutospacing="0" w:line="280" w:lineRule="exact"/>
              <w:jc w:val="center"/>
              <w:rPr>
                <w:rFonts w:ascii="Times New Roman" w:hAnsi="Times New Roman"/>
                <w:szCs w:val="24"/>
              </w:rPr>
            </w:pPr>
            <w:r>
              <w:rPr>
                <w:rFonts w:ascii="Times New Roman" w:hAnsi="Times New Roman"/>
                <w:bCs/>
                <w:szCs w:val="24"/>
              </w:rPr>
              <w:t>与项目有关的原有环境污染问题</w:t>
            </w:r>
          </w:p>
        </w:tc>
        <w:tc>
          <w:tcPr>
            <w:tcW w:w="4711" w:type="pct"/>
            <w:vAlign w:val="center"/>
          </w:tcPr>
          <w:p w14:paraId="337374D3">
            <w:pPr>
              <w:widowControl/>
              <w:ind w:firstLine="480" w:firstLineChars="200"/>
              <w:rPr>
                <w:sz w:val="24"/>
                <w:szCs w:val="24"/>
              </w:rPr>
            </w:pPr>
            <w:r>
              <w:rPr>
                <w:rFonts w:hint="eastAsia"/>
                <w:color w:val="000000"/>
                <w:sz w:val="24"/>
                <w:szCs w:val="24"/>
                <w:lang w:bidi="ar"/>
              </w:rPr>
              <w:t>根据现场勘查，未发现与本项目有关的原有环境污染问题</w:t>
            </w:r>
          </w:p>
          <w:p w14:paraId="73DBC84B">
            <w:pPr>
              <w:pStyle w:val="21"/>
              <w:widowControl w:val="0"/>
              <w:spacing w:before="0" w:beforeAutospacing="0" w:after="0" w:afterAutospacing="0" w:line="360" w:lineRule="auto"/>
              <w:ind w:firstLine="480" w:firstLineChars="200"/>
              <w:jc w:val="both"/>
              <w:rPr>
                <w:rFonts w:ascii="Times New Roman" w:hAnsi="Times New Roman"/>
                <w:szCs w:val="24"/>
                <w:u w:val="single"/>
              </w:rPr>
            </w:pPr>
          </w:p>
        </w:tc>
      </w:tr>
    </w:tbl>
    <w:p w14:paraId="069CFD2D">
      <w:pPr>
        <w:pStyle w:val="21"/>
        <w:spacing w:line="360" w:lineRule="auto"/>
        <w:outlineLvl w:val="0"/>
        <w:rPr>
          <w:rFonts w:ascii="Times New Roman" w:hAnsi="Times New Roman"/>
          <w:snapToGrid w:val="0"/>
          <w:color w:val="FF0000"/>
          <w:szCs w:val="24"/>
        </w:rPr>
        <w:sectPr>
          <w:footerReference r:id="rId5" w:type="default"/>
          <w:pgSz w:w="11907" w:h="16840"/>
          <w:pgMar w:top="1701" w:right="1440" w:bottom="1701" w:left="1440" w:header="851" w:footer="851" w:gutter="0"/>
          <w:cols w:space="720" w:num="1"/>
        </w:sectPr>
      </w:pPr>
    </w:p>
    <w:p w14:paraId="06AB7144">
      <w:pPr>
        <w:pStyle w:val="21"/>
        <w:spacing w:before="120" w:beforeLines="50" w:beforeAutospacing="0" w:after="120" w:afterLines="50" w:afterAutospacing="0"/>
        <w:jc w:val="center"/>
        <w:outlineLvl w:val="0"/>
        <w:rPr>
          <w:b/>
          <w:bCs/>
          <w:snapToGrid w:val="0"/>
          <w:color w:val="000000"/>
          <w:sz w:val="30"/>
          <w:szCs w:val="30"/>
        </w:rPr>
      </w:pPr>
      <w:bookmarkStart w:id="29" w:name="_Toc135403215"/>
      <w:r>
        <w:rPr>
          <w:rFonts w:hint="eastAsia"/>
          <w:b/>
          <w:bCs/>
          <w:snapToGrid w:val="0"/>
          <w:color w:val="000000"/>
          <w:sz w:val="30"/>
          <w:szCs w:val="30"/>
        </w:rPr>
        <w:t>三</w:t>
      </w:r>
      <w:r>
        <w:rPr>
          <w:b/>
          <w:bCs/>
          <w:snapToGrid w:val="0"/>
          <w:color w:val="000000"/>
          <w:sz w:val="30"/>
          <w:szCs w:val="30"/>
        </w:rPr>
        <w:t>、区域环境质量现状、环境保护目标及评价标准</w:t>
      </w:r>
      <w:bookmarkEnd w:id="29"/>
    </w:p>
    <w:tbl>
      <w:tblPr>
        <w:tblStyle w:val="24"/>
        <w:tblW w:w="907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9"/>
        <w:gridCol w:w="8603"/>
      </w:tblGrid>
      <w:tr w14:paraId="2F16B5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9" w:type="dxa"/>
            <w:tcBorders>
              <w:top w:val="single" w:color="auto" w:sz="8" w:space="0"/>
              <w:left w:val="single" w:color="auto" w:sz="8" w:space="0"/>
              <w:bottom w:val="single" w:color="auto" w:sz="4" w:space="0"/>
              <w:right w:val="single" w:color="auto" w:sz="4" w:space="0"/>
            </w:tcBorders>
            <w:vAlign w:val="center"/>
          </w:tcPr>
          <w:p w14:paraId="1C72D619">
            <w:pPr>
              <w:adjustRightInd w:val="0"/>
              <w:snapToGrid w:val="0"/>
              <w:spacing w:line="360" w:lineRule="auto"/>
              <w:jc w:val="center"/>
              <w:rPr>
                <w:color w:val="FF0000"/>
                <w:kern w:val="0"/>
                <w:sz w:val="24"/>
                <w:szCs w:val="24"/>
              </w:rPr>
            </w:pPr>
            <w:r>
              <w:rPr>
                <w:color w:val="000000"/>
                <w:kern w:val="0"/>
                <w:sz w:val="24"/>
                <w:szCs w:val="24"/>
              </w:rPr>
              <w:t>区域环境质量现状</w:t>
            </w:r>
          </w:p>
        </w:tc>
        <w:tc>
          <w:tcPr>
            <w:tcW w:w="8603" w:type="dxa"/>
            <w:tcBorders>
              <w:top w:val="single" w:color="auto" w:sz="8" w:space="0"/>
              <w:left w:val="single" w:color="auto" w:sz="4" w:space="0"/>
              <w:bottom w:val="single" w:color="auto" w:sz="4" w:space="0"/>
              <w:right w:val="single" w:color="auto" w:sz="8" w:space="0"/>
            </w:tcBorders>
            <w:vAlign w:val="center"/>
          </w:tcPr>
          <w:p w14:paraId="2A6A3C0C">
            <w:pPr>
              <w:adjustRightInd w:val="0"/>
              <w:snapToGrid w:val="0"/>
              <w:spacing w:line="360" w:lineRule="auto"/>
              <w:rPr>
                <w:b/>
                <w:color w:val="000000"/>
                <w:sz w:val="24"/>
                <w:szCs w:val="24"/>
              </w:rPr>
            </w:pPr>
            <w:r>
              <w:rPr>
                <w:b/>
                <w:color w:val="000000"/>
                <w:sz w:val="24"/>
                <w:szCs w:val="24"/>
              </w:rPr>
              <w:t>1 环境空气质量现状</w:t>
            </w:r>
          </w:p>
          <w:p w14:paraId="332AF3D3">
            <w:pPr>
              <w:widowControl/>
              <w:spacing w:line="360" w:lineRule="auto"/>
              <w:ind w:firstLine="480" w:firstLineChars="200"/>
              <w:rPr>
                <w:color w:val="000000"/>
                <w:sz w:val="24"/>
                <w:szCs w:val="24"/>
              </w:rPr>
            </w:pPr>
            <w:r>
              <w:rPr>
                <w:color w:val="000000"/>
                <w:sz w:val="24"/>
                <w:szCs w:val="24"/>
              </w:rPr>
              <w:t>根据《建设项目环境影响报告表编制技术指南》（2021年），常规污染物引用与建设项目距离近的有效数据，包括近3年的规划环境影响评价的监测数据，国家、地方环境空气质量监测网数据或生态环境主管部门公开发布的质量数据等。本项目引用益阳市生态环境局发布的2023年度益阳市安化县环境空气污染浓度均值统计数据，其统计分析结果见表3-1。</w:t>
            </w:r>
          </w:p>
          <w:p w14:paraId="12C08FA5">
            <w:pPr>
              <w:widowControl/>
              <w:spacing w:line="360" w:lineRule="auto"/>
              <w:jc w:val="center"/>
              <w:rPr>
                <w:b/>
                <w:color w:val="000000"/>
                <w:sz w:val="24"/>
                <w:szCs w:val="24"/>
              </w:rPr>
            </w:pPr>
            <w:r>
              <w:rPr>
                <w:b/>
                <w:color w:val="000000"/>
                <w:sz w:val="24"/>
                <w:szCs w:val="24"/>
              </w:rPr>
              <w:t>表3-1  安化县2023年空气质量情况  单位:μg/m</w:t>
            </w:r>
            <w:r>
              <w:rPr>
                <w:b/>
                <w:color w:val="000000"/>
                <w:sz w:val="24"/>
                <w:szCs w:val="24"/>
                <w:vertAlign w:val="superscript"/>
              </w:rPr>
              <w:t>3</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fixed"/>
              <w:tblCellMar>
                <w:top w:w="0" w:type="dxa"/>
                <w:left w:w="0" w:type="dxa"/>
                <w:bottom w:w="0" w:type="dxa"/>
                <w:right w:w="0" w:type="dxa"/>
              </w:tblCellMar>
            </w:tblPr>
            <w:tblGrid>
              <w:gridCol w:w="790"/>
              <w:gridCol w:w="2459"/>
              <w:gridCol w:w="1648"/>
              <w:gridCol w:w="1517"/>
              <w:gridCol w:w="952"/>
              <w:gridCol w:w="991"/>
            </w:tblGrid>
            <w:tr w14:paraId="643C40F1">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794" w:type="dxa"/>
                  <w:vAlign w:val="center"/>
                </w:tcPr>
                <w:p w14:paraId="182022C8">
                  <w:pPr>
                    <w:pStyle w:val="115"/>
                    <w:jc w:val="center"/>
                    <w:rPr>
                      <w:rFonts w:ascii="Times New Roman" w:hAnsi="Times New Roman" w:cs="Times New Roman"/>
                      <w:b/>
                      <w:bCs/>
                      <w:sz w:val="21"/>
                      <w:szCs w:val="21"/>
                    </w:rPr>
                  </w:pPr>
                  <w:r>
                    <w:rPr>
                      <w:rFonts w:ascii="Times New Roman" w:hAnsi="Times New Roman" w:cs="Times New Roman"/>
                      <w:b/>
                      <w:bCs/>
                      <w:spacing w:val="6"/>
                      <w:sz w:val="21"/>
                      <w:szCs w:val="21"/>
                    </w:rPr>
                    <w:t>污染物</w:t>
                  </w:r>
                </w:p>
              </w:tc>
              <w:tc>
                <w:tcPr>
                  <w:tcW w:w="2468" w:type="dxa"/>
                  <w:vAlign w:val="center"/>
                </w:tcPr>
                <w:p w14:paraId="5AACE0CF">
                  <w:pPr>
                    <w:pStyle w:val="115"/>
                    <w:jc w:val="center"/>
                    <w:rPr>
                      <w:rFonts w:ascii="Times New Roman" w:hAnsi="Times New Roman" w:cs="Times New Roman"/>
                      <w:b/>
                      <w:bCs/>
                      <w:sz w:val="21"/>
                      <w:szCs w:val="21"/>
                    </w:rPr>
                  </w:pPr>
                  <w:r>
                    <w:rPr>
                      <w:rFonts w:ascii="Times New Roman" w:hAnsi="Times New Roman" w:cs="Times New Roman"/>
                      <w:b/>
                      <w:bCs/>
                      <w:spacing w:val="7"/>
                      <w:sz w:val="21"/>
                      <w:szCs w:val="21"/>
                    </w:rPr>
                    <w:t>年评价指标</w:t>
                  </w:r>
                </w:p>
              </w:tc>
              <w:tc>
                <w:tcPr>
                  <w:tcW w:w="1654" w:type="dxa"/>
                  <w:vAlign w:val="center"/>
                </w:tcPr>
                <w:p w14:paraId="2C0E8212">
                  <w:pPr>
                    <w:pStyle w:val="115"/>
                    <w:jc w:val="center"/>
                    <w:rPr>
                      <w:rFonts w:ascii="Times New Roman" w:hAnsi="Times New Roman" w:cs="Times New Roman"/>
                      <w:b/>
                      <w:bCs/>
                      <w:spacing w:val="7"/>
                      <w:position w:val="2"/>
                      <w:sz w:val="21"/>
                      <w:szCs w:val="21"/>
                    </w:rPr>
                  </w:pPr>
                  <w:r>
                    <w:rPr>
                      <w:rFonts w:ascii="Times New Roman" w:hAnsi="Times New Roman" w:cs="Times New Roman"/>
                      <w:b/>
                      <w:bCs/>
                      <w:spacing w:val="7"/>
                      <w:position w:val="2"/>
                      <w:sz w:val="21"/>
                      <w:szCs w:val="21"/>
                    </w:rPr>
                    <w:t>现状浓度</w:t>
                  </w:r>
                </w:p>
                <w:p w14:paraId="65AA4680">
                  <w:pPr>
                    <w:pStyle w:val="115"/>
                    <w:jc w:val="center"/>
                    <w:rPr>
                      <w:rFonts w:ascii="Times New Roman" w:hAnsi="Times New Roman" w:cs="Times New Roman"/>
                      <w:b/>
                      <w:bCs/>
                      <w:sz w:val="21"/>
                      <w:szCs w:val="21"/>
                    </w:rPr>
                  </w:pPr>
                  <w:r>
                    <w:rPr>
                      <w:rFonts w:ascii="Times New Roman" w:hAnsi="Times New Roman" w:cs="Times New Roman"/>
                      <w:b/>
                      <w:bCs/>
                      <w:spacing w:val="7"/>
                      <w:position w:val="2"/>
                      <w:sz w:val="21"/>
                      <w:szCs w:val="21"/>
                    </w:rPr>
                    <w:t>（</w:t>
                  </w:r>
                  <w:r>
                    <w:rPr>
                      <w:rFonts w:ascii="Times New Roman" w:hAnsi="Times New Roman" w:cs="Times New Roman"/>
                      <w:b/>
                      <w:bCs/>
                      <w:position w:val="2"/>
                      <w:sz w:val="21"/>
                      <w:szCs w:val="21"/>
                    </w:rPr>
                    <w:t>ug</w:t>
                  </w:r>
                  <w:r>
                    <w:rPr>
                      <w:rFonts w:ascii="Times New Roman" w:hAnsi="Times New Roman" w:cs="Times New Roman"/>
                      <w:b/>
                      <w:bCs/>
                      <w:spacing w:val="7"/>
                      <w:position w:val="2"/>
                      <w:sz w:val="21"/>
                      <w:szCs w:val="21"/>
                    </w:rPr>
                    <w:t>/m</w:t>
                  </w:r>
                  <w:r>
                    <w:rPr>
                      <w:rFonts w:ascii="Times New Roman" w:hAnsi="Times New Roman" w:cs="Times New Roman"/>
                      <w:b/>
                      <w:bCs/>
                      <w:spacing w:val="7"/>
                      <w:position w:val="8"/>
                      <w:sz w:val="21"/>
                      <w:szCs w:val="21"/>
                      <w:vertAlign w:val="superscript"/>
                    </w:rPr>
                    <w:t>3</w:t>
                  </w:r>
                  <w:r>
                    <w:rPr>
                      <w:rFonts w:ascii="Times New Roman" w:hAnsi="Times New Roman" w:cs="Times New Roman"/>
                      <w:b/>
                      <w:bCs/>
                      <w:spacing w:val="7"/>
                      <w:position w:val="2"/>
                      <w:sz w:val="21"/>
                      <w:szCs w:val="21"/>
                    </w:rPr>
                    <w:t>）</w:t>
                  </w:r>
                </w:p>
              </w:tc>
              <w:tc>
                <w:tcPr>
                  <w:tcW w:w="1522" w:type="dxa"/>
                  <w:vAlign w:val="center"/>
                </w:tcPr>
                <w:p w14:paraId="1FD7CE3B">
                  <w:pPr>
                    <w:pStyle w:val="115"/>
                    <w:jc w:val="center"/>
                    <w:rPr>
                      <w:rFonts w:ascii="Times New Roman" w:hAnsi="Times New Roman" w:cs="Times New Roman"/>
                      <w:b/>
                      <w:bCs/>
                      <w:spacing w:val="6"/>
                      <w:position w:val="2"/>
                      <w:sz w:val="21"/>
                      <w:szCs w:val="21"/>
                    </w:rPr>
                  </w:pPr>
                  <w:r>
                    <w:rPr>
                      <w:rFonts w:ascii="Times New Roman" w:hAnsi="Times New Roman" w:cs="Times New Roman"/>
                      <w:b/>
                      <w:bCs/>
                      <w:spacing w:val="6"/>
                      <w:position w:val="2"/>
                      <w:sz w:val="21"/>
                      <w:szCs w:val="21"/>
                    </w:rPr>
                    <w:t>标准值</w:t>
                  </w:r>
                </w:p>
                <w:p w14:paraId="31B51529">
                  <w:pPr>
                    <w:pStyle w:val="115"/>
                    <w:jc w:val="center"/>
                    <w:rPr>
                      <w:rFonts w:ascii="Times New Roman" w:hAnsi="Times New Roman" w:cs="Times New Roman"/>
                      <w:b/>
                      <w:bCs/>
                      <w:sz w:val="21"/>
                      <w:szCs w:val="21"/>
                    </w:rPr>
                  </w:pPr>
                  <w:r>
                    <w:rPr>
                      <w:rFonts w:ascii="Times New Roman" w:hAnsi="Times New Roman" w:cs="Times New Roman"/>
                      <w:b/>
                      <w:bCs/>
                      <w:spacing w:val="6"/>
                      <w:position w:val="2"/>
                      <w:sz w:val="21"/>
                      <w:szCs w:val="21"/>
                    </w:rPr>
                    <w:t>（</w:t>
                  </w:r>
                  <w:r>
                    <w:rPr>
                      <w:rFonts w:ascii="Times New Roman" w:hAnsi="Times New Roman" w:cs="Times New Roman"/>
                      <w:b/>
                      <w:bCs/>
                      <w:position w:val="2"/>
                      <w:sz w:val="21"/>
                      <w:szCs w:val="21"/>
                    </w:rPr>
                    <w:t>ug</w:t>
                  </w:r>
                  <w:r>
                    <w:rPr>
                      <w:rFonts w:ascii="Times New Roman" w:hAnsi="Times New Roman" w:cs="Times New Roman"/>
                      <w:b/>
                      <w:bCs/>
                      <w:spacing w:val="6"/>
                      <w:position w:val="2"/>
                      <w:sz w:val="21"/>
                      <w:szCs w:val="21"/>
                    </w:rPr>
                    <w:t>/m</w:t>
                  </w:r>
                  <w:r>
                    <w:rPr>
                      <w:rFonts w:ascii="Times New Roman" w:hAnsi="Times New Roman" w:cs="Times New Roman"/>
                      <w:b/>
                      <w:bCs/>
                      <w:spacing w:val="6"/>
                      <w:position w:val="8"/>
                      <w:sz w:val="21"/>
                      <w:szCs w:val="21"/>
                      <w:vertAlign w:val="superscript"/>
                    </w:rPr>
                    <w:t>3</w:t>
                  </w:r>
                  <w:r>
                    <w:rPr>
                      <w:rFonts w:ascii="Times New Roman" w:hAnsi="Times New Roman" w:cs="Times New Roman"/>
                      <w:b/>
                      <w:bCs/>
                      <w:spacing w:val="6"/>
                      <w:position w:val="2"/>
                      <w:sz w:val="21"/>
                      <w:szCs w:val="21"/>
                    </w:rPr>
                    <w:t>）</w:t>
                  </w:r>
                </w:p>
              </w:tc>
              <w:tc>
                <w:tcPr>
                  <w:tcW w:w="955" w:type="dxa"/>
                  <w:vAlign w:val="center"/>
                </w:tcPr>
                <w:p w14:paraId="726ED04B">
                  <w:pPr>
                    <w:pStyle w:val="115"/>
                    <w:jc w:val="center"/>
                    <w:rPr>
                      <w:rFonts w:ascii="Times New Roman" w:hAnsi="Times New Roman" w:cs="Times New Roman"/>
                      <w:b/>
                      <w:bCs/>
                      <w:spacing w:val="-5"/>
                      <w:sz w:val="21"/>
                      <w:szCs w:val="21"/>
                    </w:rPr>
                  </w:pPr>
                  <w:r>
                    <w:rPr>
                      <w:rFonts w:ascii="Times New Roman" w:hAnsi="Times New Roman" w:cs="Times New Roman"/>
                      <w:b/>
                      <w:bCs/>
                      <w:spacing w:val="-5"/>
                      <w:sz w:val="21"/>
                      <w:szCs w:val="21"/>
                    </w:rPr>
                    <w:t>占标率</w:t>
                  </w:r>
                </w:p>
                <w:p w14:paraId="6242B51B">
                  <w:pPr>
                    <w:pStyle w:val="115"/>
                    <w:jc w:val="center"/>
                    <w:rPr>
                      <w:rFonts w:ascii="Times New Roman" w:hAnsi="Times New Roman" w:cs="Times New Roman"/>
                      <w:b/>
                      <w:bCs/>
                      <w:sz w:val="21"/>
                      <w:szCs w:val="21"/>
                    </w:rPr>
                  </w:pPr>
                  <w:r>
                    <w:rPr>
                      <w:rFonts w:ascii="Times New Roman" w:hAnsi="Times New Roman" w:cs="Times New Roman"/>
                      <w:b/>
                      <w:bCs/>
                      <w:sz w:val="21"/>
                      <w:szCs w:val="21"/>
                    </w:rPr>
                    <w:t>（%）</w:t>
                  </w:r>
                </w:p>
              </w:tc>
              <w:tc>
                <w:tcPr>
                  <w:tcW w:w="994" w:type="dxa"/>
                  <w:vAlign w:val="center"/>
                </w:tcPr>
                <w:p w14:paraId="40744B13">
                  <w:pPr>
                    <w:pStyle w:val="115"/>
                    <w:jc w:val="center"/>
                    <w:rPr>
                      <w:rFonts w:ascii="Times New Roman" w:hAnsi="Times New Roman" w:cs="Times New Roman"/>
                      <w:b/>
                      <w:bCs/>
                      <w:spacing w:val="7"/>
                      <w:sz w:val="21"/>
                      <w:szCs w:val="21"/>
                    </w:rPr>
                  </w:pPr>
                  <w:r>
                    <w:rPr>
                      <w:rFonts w:ascii="Times New Roman" w:hAnsi="Times New Roman" w:cs="Times New Roman"/>
                      <w:b/>
                      <w:bCs/>
                      <w:spacing w:val="7"/>
                      <w:sz w:val="21"/>
                      <w:szCs w:val="21"/>
                    </w:rPr>
                    <w:t>达标</w:t>
                  </w:r>
                </w:p>
                <w:p w14:paraId="7C6811B5">
                  <w:pPr>
                    <w:pStyle w:val="115"/>
                    <w:jc w:val="center"/>
                    <w:rPr>
                      <w:rFonts w:ascii="Times New Roman" w:hAnsi="Times New Roman" w:cs="Times New Roman"/>
                      <w:b/>
                      <w:bCs/>
                      <w:sz w:val="21"/>
                      <w:szCs w:val="21"/>
                    </w:rPr>
                  </w:pPr>
                  <w:r>
                    <w:rPr>
                      <w:rFonts w:ascii="Times New Roman" w:hAnsi="Times New Roman" w:cs="Times New Roman"/>
                      <w:b/>
                      <w:bCs/>
                      <w:spacing w:val="7"/>
                      <w:sz w:val="21"/>
                      <w:szCs w:val="21"/>
                    </w:rPr>
                    <w:t>情况</w:t>
                  </w:r>
                </w:p>
              </w:tc>
            </w:tr>
            <w:tr w14:paraId="6F97A11D">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794" w:type="dxa"/>
                  <w:vAlign w:val="center"/>
                </w:tcPr>
                <w:p w14:paraId="5C47F7D0">
                  <w:pPr>
                    <w:jc w:val="center"/>
                    <w:rPr>
                      <w:szCs w:val="21"/>
                    </w:rPr>
                  </w:pPr>
                  <w:r>
                    <w:rPr>
                      <w:szCs w:val="21"/>
                    </w:rPr>
                    <w:t>SO</w:t>
                  </w:r>
                  <w:r>
                    <w:rPr>
                      <w:spacing w:val="3"/>
                      <w:position w:val="-1"/>
                      <w:szCs w:val="21"/>
                      <w:vertAlign w:val="subscript"/>
                    </w:rPr>
                    <w:t>2</w:t>
                  </w:r>
                </w:p>
              </w:tc>
              <w:tc>
                <w:tcPr>
                  <w:tcW w:w="2468" w:type="dxa"/>
                  <w:vAlign w:val="center"/>
                </w:tcPr>
                <w:p w14:paraId="5077C85F">
                  <w:pPr>
                    <w:pStyle w:val="115"/>
                    <w:jc w:val="center"/>
                    <w:rPr>
                      <w:rFonts w:ascii="Times New Roman" w:hAnsi="Times New Roman" w:cs="Times New Roman"/>
                      <w:sz w:val="21"/>
                      <w:szCs w:val="21"/>
                    </w:rPr>
                  </w:pPr>
                  <w:r>
                    <w:rPr>
                      <w:rFonts w:ascii="Times New Roman" w:hAnsi="Times New Roman" w:cs="Times New Roman"/>
                      <w:spacing w:val="8"/>
                      <w:sz w:val="21"/>
                      <w:szCs w:val="21"/>
                    </w:rPr>
                    <w:t>年平均质量</w:t>
                  </w:r>
                  <w:r>
                    <w:rPr>
                      <w:rFonts w:ascii="Times New Roman" w:hAnsi="Times New Roman" w:cs="Times New Roman"/>
                      <w:spacing w:val="7"/>
                      <w:position w:val="2"/>
                      <w:sz w:val="21"/>
                      <w:szCs w:val="21"/>
                    </w:rPr>
                    <w:t>浓度</w:t>
                  </w:r>
                </w:p>
              </w:tc>
              <w:tc>
                <w:tcPr>
                  <w:tcW w:w="1654" w:type="dxa"/>
                  <w:vAlign w:val="center"/>
                </w:tcPr>
                <w:p w14:paraId="0BCC72C2">
                  <w:pPr>
                    <w:autoSpaceDE w:val="0"/>
                    <w:autoSpaceDN w:val="0"/>
                    <w:jc w:val="center"/>
                    <w:rPr>
                      <w:color w:val="000000"/>
                      <w:szCs w:val="21"/>
                      <w:lang w:val="zh-CN"/>
                    </w:rPr>
                  </w:pPr>
                  <w:r>
                    <w:rPr>
                      <w:color w:val="000000"/>
                      <w:szCs w:val="21"/>
                      <w:lang w:val="zh-CN"/>
                    </w:rPr>
                    <w:t>5</w:t>
                  </w:r>
                </w:p>
              </w:tc>
              <w:tc>
                <w:tcPr>
                  <w:tcW w:w="1522" w:type="dxa"/>
                  <w:vAlign w:val="center"/>
                </w:tcPr>
                <w:p w14:paraId="5399A1A0">
                  <w:pPr>
                    <w:autoSpaceDE w:val="0"/>
                    <w:autoSpaceDN w:val="0"/>
                    <w:jc w:val="center"/>
                    <w:rPr>
                      <w:color w:val="000000"/>
                      <w:szCs w:val="21"/>
                      <w:lang w:val="zh-CN"/>
                    </w:rPr>
                  </w:pPr>
                  <w:r>
                    <w:rPr>
                      <w:color w:val="000000"/>
                      <w:szCs w:val="21"/>
                      <w:lang w:val="zh-CN"/>
                    </w:rPr>
                    <w:t>60</w:t>
                  </w:r>
                </w:p>
              </w:tc>
              <w:tc>
                <w:tcPr>
                  <w:tcW w:w="955" w:type="dxa"/>
                  <w:vAlign w:val="center"/>
                </w:tcPr>
                <w:p w14:paraId="5B66476D">
                  <w:pPr>
                    <w:autoSpaceDE w:val="0"/>
                    <w:autoSpaceDN w:val="0"/>
                    <w:jc w:val="center"/>
                    <w:rPr>
                      <w:color w:val="000000"/>
                      <w:szCs w:val="21"/>
                      <w:lang w:val="zh-CN"/>
                    </w:rPr>
                  </w:pPr>
                  <w:r>
                    <w:rPr>
                      <w:color w:val="000000"/>
                      <w:szCs w:val="21"/>
                      <w:lang w:val="zh-CN"/>
                    </w:rPr>
                    <w:t>8.33</w:t>
                  </w:r>
                </w:p>
              </w:tc>
              <w:tc>
                <w:tcPr>
                  <w:tcW w:w="994" w:type="dxa"/>
                  <w:vAlign w:val="center"/>
                </w:tcPr>
                <w:p w14:paraId="577826E1">
                  <w:pPr>
                    <w:autoSpaceDE w:val="0"/>
                    <w:autoSpaceDN w:val="0"/>
                    <w:jc w:val="center"/>
                    <w:rPr>
                      <w:color w:val="000000"/>
                      <w:szCs w:val="21"/>
                    </w:rPr>
                  </w:pPr>
                  <w:r>
                    <w:rPr>
                      <w:color w:val="000000"/>
                      <w:szCs w:val="21"/>
                    </w:rPr>
                    <w:t>达标</w:t>
                  </w:r>
                </w:p>
              </w:tc>
            </w:tr>
            <w:tr w14:paraId="6FA97723">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794" w:type="dxa"/>
                  <w:vAlign w:val="center"/>
                </w:tcPr>
                <w:p w14:paraId="185B7723">
                  <w:pPr>
                    <w:jc w:val="center"/>
                    <w:rPr>
                      <w:szCs w:val="21"/>
                    </w:rPr>
                  </w:pPr>
                  <w:r>
                    <w:rPr>
                      <w:spacing w:val="7"/>
                      <w:szCs w:val="21"/>
                    </w:rPr>
                    <w:t>NO</w:t>
                  </w:r>
                  <w:r>
                    <w:rPr>
                      <w:spacing w:val="7"/>
                      <w:position w:val="-1"/>
                      <w:szCs w:val="21"/>
                      <w:vertAlign w:val="subscript"/>
                    </w:rPr>
                    <w:t>2</w:t>
                  </w:r>
                </w:p>
              </w:tc>
              <w:tc>
                <w:tcPr>
                  <w:tcW w:w="2468" w:type="dxa"/>
                  <w:vAlign w:val="center"/>
                </w:tcPr>
                <w:p w14:paraId="20A67A9C">
                  <w:pPr>
                    <w:pStyle w:val="115"/>
                    <w:jc w:val="center"/>
                    <w:rPr>
                      <w:rFonts w:ascii="Times New Roman" w:hAnsi="Times New Roman" w:cs="Times New Roman"/>
                      <w:sz w:val="21"/>
                      <w:szCs w:val="21"/>
                    </w:rPr>
                  </w:pPr>
                  <w:r>
                    <w:rPr>
                      <w:rFonts w:ascii="Times New Roman" w:hAnsi="Times New Roman" w:cs="Times New Roman"/>
                      <w:spacing w:val="8"/>
                      <w:sz w:val="21"/>
                      <w:szCs w:val="21"/>
                    </w:rPr>
                    <w:t>年平均质量</w:t>
                  </w:r>
                  <w:r>
                    <w:rPr>
                      <w:rFonts w:ascii="Times New Roman" w:hAnsi="Times New Roman" w:cs="Times New Roman"/>
                      <w:spacing w:val="7"/>
                      <w:position w:val="2"/>
                      <w:sz w:val="21"/>
                      <w:szCs w:val="21"/>
                    </w:rPr>
                    <w:t>浓度</w:t>
                  </w:r>
                </w:p>
              </w:tc>
              <w:tc>
                <w:tcPr>
                  <w:tcW w:w="1654" w:type="dxa"/>
                  <w:vAlign w:val="center"/>
                </w:tcPr>
                <w:p w14:paraId="20A7E3EE">
                  <w:pPr>
                    <w:autoSpaceDE w:val="0"/>
                    <w:autoSpaceDN w:val="0"/>
                    <w:jc w:val="center"/>
                    <w:rPr>
                      <w:color w:val="000000"/>
                      <w:szCs w:val="21"/>
                      <w:lang w:val="zh-CN"/>
                    </w:rPr>
                  </w:pPr>
                  <w:r>
                    <w:rPr>
                      <w:color w:val="000000"/>
                      <w:szCs w:val="21"/>
                      <w:lang w:val="zh-CN"/>
                    </w:rPr>
                    <w:t>10</w:t>
                  </w:r>
                </w:p>
              </w:tc>
              <w:tc>
                <w:tcPr>
                  <w:tcW w:w="1522" w:type="dxa"/>
                  <w:vAlign w:val="center"/>
                </w:tcPr>
                <w:p w14:paraId="4BC0E34F">
                  <w:pPr>
                    <w:autoSpaceDE w:val="0"/>
                    <w:autoSpaceDN w:val="0"/>
                    <w:jc w:val="center"/>
                    <w:rPr>
                      <w:color w:val="000000"/>
                      <w:szCs w:val="21"/>
                      <w:lang w:val="zh-CN"/>
                    </w:rPr>
                  </w:pPr>
                  <w:r>
                    <w:rPr>
                      <w:color w:val="000000"/>
                      <w:szCs w:val="21"/>
                      <w:lang w:val="zh-CN"/>
                    </w:rPr>
                    <w:t>40</w:t>
                  </w:r>
                </w:p>
              </w:tc>
              <w:tc>
                <w:tcPr>
                  <w:tcW w:w="955" w:type="dxa"/>
                  <w:vAlign w:val="center"/>
                </w:tcPr>
                <w:p w14:paraId="7872D328">
                  <w:pPr>
                    <w:autoSpaceDE w:val="0"/>
                    <w:autoSpaceDN w:val="0"/>
                    <w:jc w:val="center"/>
                    <w:rPr>
                      <w:color w:val="000000"/>
                      <w:szCs w:val="21"/>
                      <w:lang w:val="zh-CN"/>
                    </w:rPr>
                  </w:pPr>
                  <w:r>
                    <w:rPr>
                      <w:color w:val="000000"/>
                      <w:szCs w:val="21"/>
                      <w:lang w:val="zh-CN"/>
                    </w:rPr>
                    <w:t>25</w:t>
                  </w:r>
                </w:p>
              </w:tc>
              <w:tc>
                <w:tcPr>
                  <w:tcW w:w="994" w:type="dxa"/>
                  <w:vAlign w:val="center"/>
                </w:tcPr>
                <w:p w14:paraId="1161B2F7">
                  <w:pPr>
                    <w:autoSpaceDE w:val="0"/>
                    <w:autoSpaceDN w:val="0"/>
                    <w:jc w:val="center"/>
                    <w:rPr>
                      <w:color w:val="000000"/>
                      <w:szCs w:val="21"/>
                    </w:rPr>
                  </w:pPr>
                  <w:r>
                    <w:rPr>
                      <w:color w:val="000000"/>
                      <w:szCs w:val="21"/>
                    </w:rPr>
                    <w:t>达标</w:t>
                  </w:r>
                </w:p>
              </w:tc>
            </w:tr>
            <w:tr w14:paraId="5ED33A17">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794" w:type="dxa"/>
                  <w:vAlign w:val="center"/>
                </w:tcPr>
                <w:p w14:paraId="172FE46B">
                  <w:pPr>
                    <w:jc w:val="center"/>
                    <w:rPr>
                      <w:szCs w:val="21"/>
                    </w:rPr>
                  </w:pPr>
                  <w:r>
                    <w:rPr>
                      <w:szCs w:val="21"/>
                    </w:rPr>
                    <w:t>PM</w:t>
                  </w:r>
                  <w:r>
                    <w:rPr>
                      <w:spacing w:val="8"/>
                      <w:position w:val="-1"/>
                      <w:szCs w:val="21"/>
                      <w:vertAlign w:val="subscript"/>
                    </w:rPr>
                    <w:t>10</w:t>
                  </w:r>
                </w:p>
              </w:tc>
              <w:tc>
                <w:tcPr>
                  <w:tcW w:w="2468" w:type="dxa"/>
                  <w:vAlign w:val="center"/>
                </w:tcPr>
                <w:p w14:paraId="148C1EE0">
                  <w:pPr>
                    <w:pStyle w:val="115"/>
                    <w:jc w:val="center"/>
                    <w:rPr>
                      <w:rFonts w:ascii="Times New Roman" w:hAnsi="Times New Roman" w:cs="Times New Roman"/>
                      <w:sz w:val="21"/>
                      <w:szCs w:val="21"/>
                    </w:rPr>
                  </w:pPr>
                  <w:r>
                    <w:rPr>
                      <w:rFonts w:ascii="Times New Roman" w:hAnsi="Times New Roman" w:cs="Times New Roman"/>
                      <w:spacing w:val="8"/>
                      <w:sz w:val="21"/>
                      <w:szCs w:val="21"/>
                    </w:rPr>
                    <w:t>年平均质量</w:t>
                  </w:r>
                  <w:r>
                    <w:rPr>
                      <w:rFonts w:ascii="Times New Roman" w:hAnsi="Times New Roman" w:cs="Times New Roman"/>
                      <w:spacing w:val="7"/>
                      <w:position w:val="2"/>
                      <w:sz w:val="21"/>
                      <w:szCs w:val="21"/>
                    </w:rPr>
                    <w:t>浓度</w:t>
                  </w:r>
                </w:p>
              </w:tc>
              <w:tc>
                <w:tcPr>
                  <w:tcW w:w="1654" w:type="dxa"/>
                  <w:vAlign w:val="center"/>
                </w:tcPr>
                <w:p w14:paraId="27C45DFD">
                  <w:pPr>
                    <w:autoSpaceDE w:val="0"/>
                    <w:autoSpaceDN w:val="0"/>
                    <w:jc w:val="center"/>
                    <w:rPr>
                      <w:color w:val="000000"/>
                      <w:szCs w:val="21"/>
                      <w:lang w:val="zh-CN"/>
                    </w:rPr>
                  </w:pPr>
                  <w:r>
                    <w:rPr>
                      <w:color w:val="000000"/>
                      <w:szCs w:val="21"/>
                      <w:lang w:val="zh-CN"/>
                    </w:rPr>
                    <w:t>43</w:t>
                  </w:r>
                </w:p>
              </w:tc>
              <w:tc>
                <w:tcPr>
                  <w:tcW w:w="1522" w:type="dxa"/>
                  <w:vAlign w:val="center"/>
                </w:tcPr>
                <w:p w14:paraId="6ABE97E2">
                  <w:pPr>
                    <w:autoSpaceDE w:val="0"/>
                    <w:autoSpaceDN w:val="0"/>
                    <w:jc w:val="center"/>
                    <w:rPr>
                      <w:color w:val="000000"/>
                      <w:szCs w:val="21"/>
                      <w:lang w:val="zh-CN"/>
                    </w:rPr>
                  </w:pPr>
                  <w:r>
                    <w:rPr>
                      <w:color w:val="000000"/>
                      <w:szCs w:val="21"/>
                      <w:lang w:val="zh-CN"/>
                    </w:rPr>
                    <w:t>70</w:t>
                  </w:r>
                </w:p>
              </w:tc>
              <w:tc>
                <w:tcPr>
                  <w:tcW w:w="955" w:type="dxa"/>
                  <w:vAlign w:val="center"/>
                </w:tcPr>
                <w:p w14:paraId="0879FBAB">
                  <w:pPr>
                    <w:autoSpaceDE w:val="0"/>
                    <w:autoSpaceDN w:val="0"/>
                    <w:jc w:val="center"/>
                    <w:rPr>
                      <w:color w:val="000000"/>
                      <w:szCs w:val="21"/>
                      <w:lang w:val="zh-CN"/>
                    </w:rPr>
                  </w:pPr>
                  <w:r>
                    <w:rPr>
                      <w:color w:val="000000"/>
                      <w:szCs w:val="21"/>
                      <w:lang w:val="zh-CN"/>
                    </w:rPr>
                    <w:t>61.43</w:t>
                  </w:r>
                </w:p>
              </w:tc>
              <w:tc>
                <w:tcPr>
                  <w:tcW w:w="994" w:type="dxa"/>
                  <w:vAlign w:val="center"/>
                </w:tcPr>
                <w:p w14:paraId="687DDB6E">
                  <w:pPr>
                    <w:autoSpaceDE w:val="0"/>
                    <w:autoSpaceDN w:val="0"/>
                    <w:jc w:val="center"/>
                    <w:rPr>
                      <w:color w:val="000000"/>
                      <w:szCs w:val="21"/>
                    </w:rPr>
                  </w:pPr>
                  <w:r>
                    <w:rPr>
                      <w:color w:val="000000"/>
                      <w:szCs w:val="21"/>
                    </w:rPr>
                    <w:t>达标</w:t>
                  </w:r>
                </w:p>
              </w:tc>
            </w:tr>
            <w:tr w14:paraId="36F01F08">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794" w:type="dxa"/>
                  <w:vAlign w:val="center"/>
                </w:tcPr>
                <w:p w14:paraId="118EBE7D">
                  <w:pPr>
                    <w:jc w:val="center"/>
                    <w:rPr>
                      <w:szCs w:val="21"/>
                    </w:rPr>
                  </w:pPr>
                  <w:r>
                    <w:rPr>
                      <w:szCs w:val="21"/>
                    </w:rPr>
                    <w:t>PM</w:t>
                  </w:r>
                  <w:r>
                    <w:rPr>
                      <w:spacing w:val="8"/>
                      <w:position w:val="-1"/>
                      <w:szCs w:val="21"/>
                      <w:vertAlign w:val="subscript"/>
                    </w:rPr>
                    <w:t>2.5</w:t>
                  </w:r>
                </w:p>
              </w:tc>
              <w:tc>
                <w:tcPr>
                  <w:tcW w:w="2468" w:type="dxa"/>
                  <w:vAlign w:val="center"/>
                </w:tcPr>
                <w:p w14:paraId="4DC77AF3">
                  <w:pPr>
                    <w:pStyle w:val="115"/>
                    <w:jc w:val="center"/>
                    <w:rPr>
                      <w:rFonts w:ascii="Times New Roman" w:hAnsi="Times New Roman" w:cs="Times New Roman"/>
                      <w:spacing w:val="8"/>
                      <w:sz w:val="21"/>
                      <w:szCs w:val="21"/>
                    </w:rPr>
                  </w:pPr>
                  <w:r>
                    <w:rPr>
                      <w:rFonts w:ascii="Times New Roman" w:hAnsi="Times New Roman" w:cs="Times New Roman"/>
                      <w:spacing w:val="8"/>
                      <w:sz w:val="21"/>
                      <w:szCs w:val="21"/>
                    </w:rPr>
                    <w:t>年平均质量</w:t>
                  </w:r>
                  <w:r>
                    <w:rPr>
                      <w:rFonts w:ascii="Times New Roman" w:hAnsi="Times New Roman" w:cs="Times New Roman"/>
                      <w:spacing w:val="7"/>
                      <w:position w:val="2"/>
                      <w:sz w:val="21"/>
                      <w:szCs w:val="21"/>
                    </w:rPr>
                    <w:t>浓度</w:t>
                  </w:r>
                </w:p>
              </w:tc>
              <w:tc>
                <w:tcPr>
                  <w:tcW w:w="1654" w:type="dxa"/>
                  <w:vAlign w:val="center"/>
                </w:tcPr>
                <w:p w14:paraId="29F922B8">
                  <w:pPr>
                    <w:autoSpaceDE w:val="0"/>
                    <w:autoSpaceDN w:val="0"/>
                    <w:jc w:val="center"/>
                    <w:rPr>
                      <w:color w:val="000000"/>
                      <w:szCs w:val="21"/>
                      <w:lang w:val="zh-CN"/>
                    </w:rPr>
                  </w:pPr>
                  <w:r>
                    <w:rPr>
                      <w:color w:val="000000"/>
                      <w:szCs w:val="21"/>
                      <w:lang w:val="zh-CN"/>
                    </w:rPr>
                    <w:t>31</w:t>
                  </w:r>
                </w:p>
              </w:tc>
              <w:tc>
                <w:tcPr>
                  <w:tcW w:w="1522" w:type="dxa"/>
                  <w:vAlign w:val="center"/>
                </w:tcPr>
                <w:p w14:paraId="65244913">
                  <w:pPr>
                    <w:autoSpaceDE w:val="0"/>
                    <w:autoSpaceDN w:val="0"/>
                    <w:jc w:val="center"/>
                    <w:rPr>
                      <w:color w:val="000000"/>
                      <w:szCs w:val="21"/>
                      <w:lang w:val="zh-CN"/>
                    </w:rPr>
                  </w:pPr>
                  <w:r>
                    <w:rPr>
                      <w:color w:val="000000"/>
                      <w:szCs w:val="21"/>
                      <w:lang w:val="zh-CN"/>
                    </w:rPr>
                    <w:t>35</w:t>
                  </w:r>
                </w:p>
              </w:tc>
              <w:tc>
                <w:tcPr>
                  <w:tcW w:w="955" w:type="dxa"/>
                  <w:vAlign w:val="center"/>
                </w:tcPr>
                <w:p w14:paraId="0A263ADF">
                  <w:pPr>
                    <w:autoSpaceDE w:val="0"/>
                    <w:autoSpaceDN w:val="0"/>
                    <w:jc w:val="center"/>
                    <w:rPr>
                      <w:color w:val="000000"/>
                      <w:szCs w:val="21"/>
                      <w:lang w:val="zh-CN"/>
                    </w:rPr>
                  </w:pPr>
                  <w:r>
                    <w:rPr>
                      <w:color w:val="000000"/>
                      <w:szCs w:val="21"/>
                      <w:lang w:val="zh-CN"/>
                    </w:rPr>
                    <w:t>88.57</w:t>
                  </w:r>
                </w:p>
              </w:tc>
              <w:tc>
                <w:tcPr>
                  <w:tcW w:w="994" w:type="dxa"/>
                  <w:vAlign w:val="center"/>
                </w:tcPr>
                <w:p w14:paraId="5BA1C9E9">
                  <w:pPr>
                    <w:autoSpaceDE w:val="0"/>
                    <w:autoSpaceDN w:val="0"/>
                    <w:jc w:val="center"/>
                    <w:rPr>
                      <w:color w:val="000000"/>
                      <w:szCs w:val="21"/>
                    </w:rPr>
                  </w:pPr>
                  <w:r>
                    <w:rPr>
                      <w:color w:val="000000"/>
                      <w:szCs w:val="21"/>
                    </w:rPr>
                    <w:t>达标</w:t>
                  </w:r>
                </w:p>
              </w:tc>
            </w:tr>
            <w:tr w14:paraId="7A9D6623">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794" w:type="dxa"/>
                  <w:vAlign w:val="center"/>
                </w:tcPr>
                <w:p w14:paraId="090185A4">
                  <w:pPr>
                    <w:jc w:val="center"/>
                    <w:rPr>
                      <w:szCs w:val="21"/>
                    </w:rPr>
                  </w:pPr>
                  <w:r>
                    <w:rPr>
                      <w:spacing w:val="2"/>
                      <w:szCs w:val="21"/>
                    </w:rPr>
                    <w:t>CO</w:t>
                  </w:r>
                </w:p>
              </w:tc>
              <w:tc>
                <w:tcPr>
                  <w:tcW w:w="2468" w:type="dxa"/>
                  <w:vAlign w:val="center"/>
                </w:tcPr>
                <w:p w14:paraId="67EC9C74">
                  <w:pPr>
                    <w:pStyle w:val="115"/>
                    <w:jc w:val="center"/>
                    <w:rPr>
                      <w:rFonts w:ascii="Times New Roman" w:hAnsi="Times New Roman" w:cs="Times New Roman"/>
                      <w:sz w:val="21"/>
                      <w:szCs w:val="21"/>
                    </w:rPr>
                  </w:pPr>
                  <w:r>
                    <w:rPr>
                      <w:rFonts w:ascii="Times New Roman" w:hAnsi="Times New Roman" w:cs="Times New Roman"/>
                      <w:spacing w:val="4"/>
                      <w:sz w:val="21"/>
                      <w:szCs w:val="21"/>
                    </w:rPr>
                    <w:t>24小时平均</w:t>
                  </w:r>
                  <w:r>
                    <w:rPr>
                      <w:rFonts w:ascii="Times New Roman" w:hAnsi="Times New Roman" w:cs="Times New Roman"/>
                      <w:spacing w:val="-37"/>
                      <w:sz w:val="21"/>
                      <w:szCs w:val="21"/>
                    </w:rPr>
                    <w:t xml:space="preserve"> </w:t>
                  </w:r>
                  <w:r>
                    <w:rPr>
                      <w:rFonts w:ascii="Times New Roman" w:hAnsi="Times New Roman" w:cs="Times New Roman"/>
                      <w:spacing w:val="4"/>
                      <w:sz w:val="21"/>
                      <w:szCs w:val="21"/>
                    </w:rPr>
                    <w:t>95百分位</w:t>
                  </w:r>
                </w:p>
              </w:tc>
              <w:tc>
                <w:tcPr>
                  <w:tcW w:w="1654" w:type="dxa"/>
                  <w:vAlign w:val="center"/>
                </w:tcPr>
                <w:p w14:paraId="230B96AE">
                  <w:pPr>
                    <w:autoSpaceDE w:val="0"/>
                    <w:autoSpaceDN w:val="0"/>
                    <w:jc w:val="center"/>
                    <w:rPr>
                      <w:color w:val="000000"/>
                      <w:szCs w:val="21"/>
                      <w:lang w:val="zh-CN"/>
                    </w:rPr>
                  </w:pPr>
                  <w:r>
                    <w:rPr>
                      <w:color w:val="000000"/>
                      <w:szCs w:val="21"/>
                      <w:lang w:val="zh-CN"/>
                    </w:rPr>
                    <w:t>1100</w:t>
                  </w:r>
                </w:p>
              </w:tc>
              <w:tc>
                <w:tcPr>
                  <w:tcW w:w="1522" w:type="dxa"/>
                  <w:vAlign w:val="center"/>
                </w:tcPr>
                <w:p w14:paraId="7D73837D">
                  <w:pPr>
                    <w:autoSpaceDE w:val="0"/>
                    <w:autoSpaceDN w:val="0"/>
                    <w:jc w:val="center"/>
                    <w:rPr>
                      <w:color w:val="000000"/>
                      <w:szCs w:val="21"/>
                      <w:lang w:val="zh-CN"/>
                    </w:rPr>
                  </w:pPr>
                  <w:r>
                    <w:rPr>
                      <w:color w:val="000000"/>
                      <w:szCs w:val="21"/>
                      <w:lang w:val="zh-CN"/>
                    </w:rPr>
                    <w:t>4000</w:t>
                  </w:r>
                </w:p>
              </w:tc>
              <w:tc>
                <w:tcPr>
                  <w:tcW w:w="955" w:type="dxa"/>
                  <w:vAlign w:val="center"/>
                </w:tcPr>
                <w:p w14:paraId="65764BE9">
                  <w:pPr>
                    <w:autoSpaceDE w:val="0"/>
                    <w:autoSpaceDN w:val="0"/>
                    <w:jc w:val="center"/>
                    <w:rPr>
                      <w:color w:val="000000"/>
                      <w:szCs w:val="21"/>
                      <w:lang w:val="zh-CN"/>
                    </w:rPr>
                  </w:pPr>
                  <w:r>
                    <w:rPr>
                      <w:color w:val="000000"/>
                      <w:szCs w:val="21"/>
                      <w:lang w:val="zh-CN"/>
                    </w:rPr>
                    <w:t>27.5</w:t>
                  </w:r>
                </w:p>
              </w:tc>
              <w:tc>
                <w:tcPr>
                  <w:tcW w:w="994" w:type="dxa"/>
                  <w:vAlign w:val="center"/>
                </w:tcPr>
                <w:p w14:paraId="09D65398">
                  <w:pPr>
                    <w:autoSpaceDE w:val="0"/>
                    <w:autoSpaceDN w:val="0"/>
                    <w:jc w:val="center"/>
                    <w:rPr>
                      <w:color w:val="000000"/>
                      <w:szCs w:val="21"/>
                    </w:rPr>
                  </w:pPr>
                  <w:r>
                    <w:rPr>
                      <w:color w:val="000000"/>
                      <w:szCs w:val="21"/>
                    </w:rPr>
                    <w:t>达标</w:t>
                  </w:r>
                </w:p>
              </w:tc>
            </w:tr>
            <w:tr w14:paraId="32E43E64">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794" w:type="dxa"/>
                  <w:vAlign w:val="center"/>
                </w:tcPr>
                <w:p w14:paraId="1444A5C0">
                  <w:pPr>
                    <w:jc w:val="center"/>
                    <w:rPr>
                      <w:szCs w:val="21"/>
                    </w:rPr>
                  </w:pPr>
                  <w:r>
                    <w:rPr>
                      <w:spacing w:val="1"/>
                      <w:szCs w:val="21"/>
                    </w:rPr>
                    <w:t>O</w:t>
                  </w:r>
                  <w:r>
                    <w:rPr>
                      <w:spacing w:val="1"/>
                      <w:position w:val="-1"/>
                      <w:szCs w:val="21"/>
                      <w:vertAlign w:val="subscript"/>
                    </w:rPr>
                    <w:t>3</w:t>
                  </w:r>
                </w:p>
              </w:tc>
              <w:tc>
                <w:tcPr>
                  <w:tcW w:w="2468" w:type="dxa"/>
                  <w:vAlign w:val="center"/>
                </w:tcPr>
                <w:p w14:paraId="4817BDDC">
                  <w:pPr>
                    <w:pStyle w:val="115"/>
                    <w:jc w:val="center"/>
                    <w:rPr>
                      <w:rFonts w:ascii="Times New Roman" w:hAnsi="Times New Roman" w:cs="Times New Roman"/>
                      <w:sz w:val="21"/>
                      <w:szCs w:val="21"/>
                    </w:rPr>
                  </w:pPr>
                  <w:r>
                    <w:rPr>
                      <w:rFonts w:ascii="Times New Roman" w:hAnsi="Times New Roman" w:cs="Times New Roman"/>
                      <w:spacing w:val="1"/>
                      <w:sz w:val="21"/>
                      <w:szCs w:val="21"/>
                    </w:rPr>
                    <w:t>日最大8小时平均</w:t>
                  </w:r>
                  <w:r>
                    <w:rPr>
                      <w:rFonts w:ascii="Times New Roman" w:hAnsi="Times New Roman" w:cs="Times New Roman"/>
                      <w:spacing w:val="-39"/>
                      <w:sz w:val="21"/>
                      <w:szCs w:val="21"/>
                    </w:rPr>
                    <w:t xml:space="preserve"> </w:t>
                  </w:r>
                  <w:r>
                    <w:rPr>
                      <w:rFonts w:ascii="Times New Roman" w:hAnsi="Times New Roman" w:cs="Times New Roman"/>
                      <w:spacing w:val="1"/>
                      <w:sz w:val="21"/>
                      <w:szCs w:val="21"/>
                    </w:rPr>
                    <w:t>90</w:t>
                  </w:r>
                  <w:r>
                    <w:rPr>
                      <w:rFonts w:ascii="Times New Roman" w:hAnsi="Times New Roman" w:cs="Times New Roman"/>
                      <w:spacing w:val="4"/>
                      <w:sz w:val="21"/>
                      <w:szCs w:val="21"/>
                    </w:rPr>
                    <w:t>百</w:t>
                  </w:r>
                  <w:r>
                    <w:rPr>
                      <w:rFonts w:ascii="Times New Roman" w:hAnsi="Times New Roman" w:cs="Times New Roman"/>
                      <w:spacing w:val="1"/>
                      <w:sz w:val="21"/>
                      <w:szCs w:val="21"/>
                    </w:rPr>
                    <w:t>分位</w:t>
                  </w:r>
                </w:p>
              </w:tc>
              <w:tc>
                <w:tcPr>
                  <w:tcW w:w="1654" w:type="dxa"/>
                  <w:vAlign w:val="center"/>
                </w:tcPr>
                <w:p w14:paraId="16A1E333">
                  <w:pPr>
                    <w:autoSpaceDE w:val="0"/>
                    <w:autoSpaceDN w:val="0"/>
                    <w:jc w:val="center"/>
                    <w:rPr>
                      <w:color w:val="000000"/>
                      <w:szCs w:val="21"/>
                      <w:lang w:val="zh-CN"/>
                    </w:rPr>
                  </w:pPr>
                  <w:r>
                    <w:rPr>
                      <w:color w:val="000000"/>
                      <w:szCs w:val="21"/>
                      <w:lang w:val="zh-CN"/>
                    </w:rPr>
                    <w:t>113</w:t>
                  </w:r>
                </w:p>
              </w:tc>
              <w:tc>
                <w:tcPr>
                  <w:tcW w:w="1522" w:type="dxa"/>
                  <w:vAlign w:val="center"/>
                </w:tcPr>
                <w:p w14:paraId="045CA6A4">
                  <w:pPr>
                    <w:autoSpaceDE w:val="0"/>
                    <w:autoSpaceDN w:val="0"/>
                    <w:jc w:val="center"/>
                    <w:rPr>
                      <w:color w:val="000000"/>
                      <w:szCs w:val="21"/>
                      <w:lang w:val="zh-CN"/>
                    </w:rPr>
                  </w:pPr>
                  <w:r>
                    <w:rPr>
                      <w:color w:val="000000"/>
                      <w:szCs w:val="21"/>
                      <w:lang w:val="zh-CN"/>
                    </w:rPr>
                    <w:t>160</w:t>
                  </w:r>
                </w:p>
              </w:tc>
              <w:tc>
                <w:tcPr>
                  <w:tcW w:w="955" w:type="dxa"/>
                  <w:vAlign w:val="center"/>
                </w:tcPr>
                <w:p w14:paraId="6A8AEE3E">
                  <w:pPr>
                    <w:autoSpaceDE w:val="0"/>
                    <w:autoSpaceDN w:val="0"/>
                    <w:jc w:val="center"/>
                    <w:rPr>
                      <w:color w:val="000000"/>
                      <w:szCs w:val="21"/>
                      <w:lang w:val="zh-CN"/>
                    </w:rPr>
                  </w:pPr>
                  <w:r>
                    <w:rPr>
                      <w:color w:val="000000"/>
                      <w:szCs w:val="21"/>
                      <w:lang w:val="zh-CN"/>
                    </w:rPr>
                    <w:t>70.62</w:t>
                  </w:r>
                </w:p>
              </w:tc>
              <w:tc>
                <w:tcPr>
                  <w:tcW w:w="994" w:type="dxa"/>
                  <w:vAlign w:val="center"/>
                </w:tcPr>
                <w:p w14:paraId="4D942D88">
                  <w:pPr>
                    <w:autoSpaceDE w:val="0"/>
                    <w:autoSpaceDN w:val="0"/>
                    <w:jc w:val="center"/>
                    <w:rPr>
                      <w:color w:val="000000"/>
                      <w:szCs w:val="21"/>
                    </w:rPr>
                  </w:pPr>
                  <w:r>
                    <w:rPr>
                      <w:color w:val="000000"/>
                      <w:szCs w:val="21"/>
                    </w:rPr>
                    <w:t>达标</w:t>
                  </w:r>
                </w:p>
              </w:tc>
            </w:tr>
          </w:tbl>
          <w:p w14:paraId="16206678">
            <w:pPr>
              <w:spacing w:line="360" w:lineRule="auto"/>
              <w:ind w:firstLine="480" w:firstLineChars="200"/>
              <w:rPr>
                <w:color w:val="000000"/>
                <w:sz w:val="24"/>
                <w:szCs w:val="24"/>
              </w:rPr>
            </w:pPr>
            <w:r>
              <w:rPr>
                <w:color w:val="000000"/>
                <w:sz w:val="24"/>
                <w:szCs w:val="24"/>
              </w:rPr>
              <w:t>由上表可知，2023年益阳市安化县环境空气质量各常规监测因子的指标浓度均能满足《环境空气质量标准》（GB3095-2012）中的二级标准限值，故益阳市安化县属于达标区。</w:t>
            </w:r>
          </w:p>
          <w:p w14:paraId="2328F4FB">
            <w:pPr>
              <w:spacing w:line="360" w:lineRule="auto"/>
              <w:textAlignment w:val="baseline"/>
              <w:rPr>
                <w:b/>
                <w:color w:val="000000"/>
                <w:spacing w:val="8"/>
                <w:sz w:val="24"/>
                <w:szCs w:val="24"/>
              </w:rPr>
            </w:pPr>
            <w:r>
              <w:rPr>
                <w:b/>
                <w:color w:val="000000"/>
                <w:spacing w:val="8"/>
                <w:sz w:val="24"/>
                <w:szCs w:val="24"/>
              </w:rPr>
              <w:t>2 地表水环境质量现状</w:t>
            </w:r>
          </w:p>
          <w:p w14:paraId="731C12E1">
            <w:pPr>
              <w:spacing w:line="360" w:lineRule="auto"/>
              <w:ind w:firstLine="480" w:firstLineChars="200"/>
              <w:rPr>
                <w:color w:val="000000"/>
                <w:sz w:val="24"/>
              </w:rPr>
            </w:pPr>
            <w:r>
              <w:rPr>
                <w:color w:val="000000"/>
                <w:sz w:val="24"/>
              </w:rPr>
              <w:t>根据《建设项目环境影响报告表编制技术指南》（2021），地表水环境质量现状调查可引用与建设项目距离近的有效数据，包括近3 年的规划环境影响评价的监测数据，所在流域控制单元内国家、地方控制断面监测数据，生态环境主管部门发布的水环境质量数据或地表水达标情况的结论。项目区域地表水为资江，为了解项目附近纳污水体资江水质环境质量现状情况，本评价引用益阳市人民政府发布的《关于2023年1-12月全市环境质量状况的通报》。</w:t>
            </w:r>
          </w:p>
          <w:p w14:paraId="438F92A4">
            <w:pPr>
              <w:pStyle w:val="21"/>
              <w:spacing w:before="0" w:beforeAutospacing="0" w:after="0" w:afterAutospacing="0" w:line="360" w:lineRule="auto"/>
              <w:ind w:left="420" w:leftChars="200"/>
              <w:jc w:val="center"/>
              <w:rPr>
                <w:rFonts w:ascii="Times New Roman" w:hAnsi="Times New Roman"/>
                <w:color w:val="000000"/>
                <w:szCs w:val="24"/>
              </w:rPr>
            </w:pPr>
            <w:r>
              <w:rPr>
                <w:rFonts w:hint="eastAsia" w:ascii="Times New Roman" w:hAnsi="Times New Roman"/>
                <w:b/>
                <w:bCs/>
                <w:color w:val="000000"/>
                <w:kern w:val="0"/>
                <w:szCs w:val="24"/>
                <w:lang w:bidi="ar"/>
              </w:rPr>
              <w:t xml:space="preserve">表3-2  </w:t>
            </w:r>
            <w:r>
              <w:rPr>
                <w:rFonts w:ascii="Times New Roman" w:hAnsi="Times New Roman"/>
                <w:b/>
                <w:bCs/>
                <w:color w:val="000000"/>
                <w:kern w:val="0"/>
                <w:szCs w:val="24"/>
                <w:lang w:bidi="ar"/>
              </w:rPr>
              <w:t>地表水监测工作内容一览表  单位：（除pH为无量纲外，mg/L）</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375"/>
              <w:gridCol w:w="4982"/>
            </w:tblGrid>
            <w:tr w14:paraId="024A3F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19" w:type="pct"/>
                  <w:tcBorders>
                    <w:bottom w:val="single" w:color="auto" w:sz="4" w:space="0"/>
                    <w:right w:val="single" w:color="auto" w:sz="4" w:space="0"/>
                  </w:tcBorders>
                  <w:vAlign w:val="center"/>
                </w:tcPr>
                <w:p w14:paraId="4E88FB66">
                  <w:pPr>
                    <w:widowControl/>
                    <w:jc w:val="center"/>
                    <w:rPr>
                      <w:b/>
                      <w:bCs/>
                      <w:szCs w:val="21"/>
                    </w:rPr>
                  </w:pPr>
                  <w:r>
                    <w:rPr>
                      <w:b/>
                      <w:bCs/>
                      <w:szCs w:val="21"/>
                      <w:lang w:bidi="ar"/>
                    </w:rPr>
                    <w:t>断面名称</w:t>
                  </w:r>
                </w:p>
              </w:tc>
              <w:tc>
                <w:tcPr>
                  <w:tcW w:w="2980" w:type="pct"/>
                  <w:tcBorders>
                    <w:left w:val="single" w:color="auto" w:sz="4" w:space="0"/>
                    <w:bottom w:val="single" w:color="auto" w:sz="4" w:space="0"/>
                  </w:tcBorders>
                  <w:vAlign w:val="center"/>
                </w:tcPr>
                <w:p w14:paraId="4CFD8C4C">
                  <w:pPr>
                    <w:widowControl/>
                    <w:jc w:val="center"/>
                    <w:rPr>
                      <w:b/>
                      <w:bCs/>
                      <w:szCs w:val="21"/>
                    </w:rPr>
                  </w:pPr>
                  <w:r>
                    <w:rPr>
                      <w:b/>
                      <w:bCs/>
                    </w:rPr>
                    <w:t>坪口(国控)</w:t>
                  </w:r>
                </w:p>
              </w:tc>
            </w:tr>
            <w:tr w14:paraId="1F4853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19" w:type="pct"/>
                  <w:tcBorders>
                    <w:top w:val="single" w:color="auto" w:sz="4" w:space="0"/>
                    <w:bottom w:val="single" w:color="auto" w:sz="4" w:space="0"/>
                    <w:right w:val="single" w:color="auto" w:sz="4" w:space="0"/>
                  </w:tcBorders>
                  <w:vAlign w:val="center"/>
                </w:tcPr>
                <w:p w14:paraId="1732B7C5">
                  <w:pPr>
                    <w:widowControl/>
                    <w:jc w:val="center"/>
                    <w:rPr>
                      <w:szCs w:val="21"/>
                    </w:rPr>
                  </w:pPr>
                  <w:r>
                    <w:rPr>
                      <w:szCs w:val="21"/>
                      <w:lang w:bidi="ar"/>
                    </w:rPr>
                    <w:t>所在河流</w:t>
                  </w:r>
                </w:p>
              </w:tc>
              <w:tc>
                <w:tcPr>
                  <w:tcW w:w="2980" w:type="pct"/>
                  <w:tcBorders>
                    <w:top w:val="single" w:color="auto" w:sz="4" w:space="0"/>
                    <w:left w:val="single" w:color="auto" w:sz="4" w:space="0"/>
                    <w:bottom w:val="single" w:color="auto" w:sz="4" w:space="0"/>
                  </w:tcBorders>
                  <w:vAlign w:val="center"/>
                </w:tcPr>
                <w:p w14:paraId="1D8D49F5">
                  <w:pPr>
                    <w:widowControl/>
                    <w:jc w:val="center"/>
                    <w:rPr>
                      <w:szCs w:val="21"/>
                    </w:rPr>
                  </w:pPr>
                  <w:r>
                    <w:rPr>
                      <w:szCs w:val="21"/>
                      <w:lang w:bidi="ar"/>
                    </w:rPr>
                    <w:t>资江干流</w:t>
                  </w:r>
                </w:p>
              </w:tc>
            </w:tr>
            <w:tr w14:paraId="415D12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19" w:type="pct"/>
                  <w:tcBorders>
                    <w:top w:val="single" w:color="auto" w:sz="4" w:space="0"/>
                    <w:bottom w:val="single" w:color="auto" w:sz="4" w:space="0"/>
                    <w:right w:val="single" w:color="auto" w:sz="4" w:space="0"/>
                  </w:tcBorders>
                  <w:vAlign w:val="center"/>
                </w:tcPr>
                <w:p w14:paraId="693FA269">
                  <w:pPr>
                    <w:widowControl/>
                    <w:jc w:val="center"/>
                    <w:rPr>
                      <w:szCs w:val="21"/>
                    </w:rPr>
                  </w:pPr>
                  <w:r>
                    <w:rPr>
                      <w:szCs w:val="21"/>
                      <w:lang w:bidi="ar"/>
                    </w:rPr>
                    <w:t>2023.1</w:t>
                  </w:r>
                </w:p>
              </w:tc>
              <w:tc>
                <w:tcPr>
                  <w:tcW w:w="2980" w:type="pct"/>
                  <w:tcBorders>
                    <w:top w:val="single" w:color="auto" w:sz="4" w:space="0"/>
                    <w:left w:val="single" w:color="auto" w:sz="4" w:space="0"/>
                    <w:bottom w:val="single" w:color="auto" w:sz="4" w:space="0"/>
                  </w:tcBorders>
                  <w:vAlign w:val="center"/>
                </w:tcPr>
                <w:p w14:paraId="6D1F4454">
                  <w:pPr>
                    <w:widowControl/>
                    <w:jc w:val="center"/>
                    <w:rPr>
                      <w:szCs w:val="21"/>
                      <w:lang w:bidi="ar"/>
                    </w:rPr>
                  </w:pPr>
                  <w:r>
                    <w:rPr>
                      <w:szCs w:val="21"/>
                      <w:lang w:bidi="ar"/>
                    </w:rPr>
                    <w:fldChar w:fldCharType="begin"/>
                  </w:r>
                  <w:r>
                    <w:rPr>
                      <w:szCs w:val="21"/>
                      <w:lang w:bidi="ar"/>
                    </w:rPr>
                    <w:instrText xml:space="preserve"> = 2 \* ROMAN </w:instrText>
                  </w:r>
                  <w:r>
                    <w:rPr>
                      <w:szCs w:val="21"/>
                      <w:lang w:bidi="ar"/>
                    </w:rPr>
                    <w:fldChar w:fldCharType="separate"/>
                  </w:r>
                  <w:r>
                    <w:rPr>
                      <w:szCs w:val="21"/>
                      <w:lang w:bidi="ar"/>
                    </w:rPr>
                    <w:t>II</w:t>
                  </w:r>
                  <w:r>
                    <w:rPr>
                      <w:szCs w:val="21"/>
                      <w:lang w:bidi="ar"/>
                    </w:rPr>
                    <w:fldChar w:fldCharType="end"/>
                  </w:r>
                  <w:r>
                    <w:rPr>
                      <w:szCs w:val="21"/>
                      <w:lang w:bidi="ar"/>
                    </w:rPr>
                    <w:t>类</w:t>
                  </w:r>
                </w:p>
              </w:tc>
            </w:tr>
            <w:tr w14:paraId="49E470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19" w:type="pct"/>
                  <w:tcBorders>
                    <w:top w:val="single" w:color="auto" w:sz="4" w:space="0"/>
                    <w:bottom w:val="single" w:color="auto" w:sz="4" w:space="0"/>
                    <w:right w:val="single" w:color="auto" w:sz="4" w:space="0"/>
                  </w:tcBorders>
                  <w:vAlign w:val="center"/>
                </w:tcPr>
                <w:p w14:paraId="661FB23C">
                  <w:pPr>
                    <w:widowControl/>
                    <w:jc w:val="center"/>
                    <w:rPr>
                      <w:szCs w:val="21"/>
                    </w:rPr>
                  </w:pPr>
                  <w:r>
                    <w:rPr>
                      <w:szCs w:val="21"/>
                      <w:lang w:bidi="ar"/>
                    </w:rPr>
                    <w:t>2023.2</w:t>
                  </w:r>
                </w:p>
              </w:tc>
              <w:tc>
                <w:tcPr>
                  <w:tcW w:w="2980" w:type="pct"/>
                  <w:tcBorders>
                    <w:top w:val="single" w:color="auto" w:sz="4" w:space="0"/>
                    <w:left w:val="single" w:color="auto" w:sz="4" w:space="0"/>
                    <w:bottom w:val="single" w:color="auto" w:sz="4" w:space="0"/>
                  </w:tcBorders>
                  <w:vAlign w:val="center"/>
                </w:tcPr>
                <w:p w14:paraId="0113DE9C">
                  <w:pPr>
                    <w:widowControl/>
                    <w:jc w:val="center"/>
                    <w:rPr>
                      <w:szCs w:val="21"/>
                      <w:lang w:bidi="ar"/>
                    </w:rPr>
                  </w:pPr>
                  <w:r>
                    <w:rPr>
                      <w:szCs w:val="21"/>
                      <w:lang w:bidi="ar"/>
                    </w:rPr>
                    <w:fldChar w:fldCharType="begin"/>
                  </w:r>
                  <w:r>
                    <w:rPr>
                      <w:szCs w:val="21"/>
                      <w:lang w:bidi="ar"/>
                    </w:rPr>
                    <w:instrText xml:space="preserve"> = 2 \* ROMAN </w:instrText>
                  </w:r>
                  <w:r>
                    <w:rPr>
                      <w:szCs w:val="21"/>
                      <w:lang w:bidi="ar"/>
                    </w:rPr>
                    <w:fldChar w:fldCharType="separate"/>
                  </w:r>
                  <w:r>
                    <w:rPr>
                      <w:szCs w:val="21"/>
                      <w:lang w:bidi="ar"/>
                    </w:rPr>
                    <w:t>II</w:t>
                  </w:r>
                  <w:r>
                    <w:rPr>
                      <w:szCs w:val="21"/>
                      <w:lang w:bidi="ar"/>
                    </w:rPr>
                    <w:fldChar w:fldCharType="end"/>
                  </w:r>
                  <w:r>
                    <w:rPr>
                      <w:szCs w:val="21"/>
                      <w:lang w:bidi="ar"/>
                    </w:rPr>
                    <w:t>类</w:t>
                  </w:r>
                </w:p>
              </w:tc>
            </w:tr>
            <w:tr w14:paraId="1C21B4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19" w:type="pct"/>
                  <w:tcBorders>
                    <w:top w:val="single" w:color="auto" w:sz="4" w:space="0"/>
                    <w:bottom w:val="single" w:color="auto" w:sz="4" w:space="0"/>
                    <w:right w:val="single" w:color="auto" w:sz="4" w:space="0"/>
                  </w:tcBorders>
                  <w:vAlign w:val="center"/>
                </w:tcPr>
                <w:p w14:paraId="4D69B115">
                  <w:pPr>
                    <w:widowControl/>
                    <w:jc w:val="center"/>
                    <w:rPr>
                      <w:szCs w:val="21"/>
                    </w:rPr>
                  </w:pPr>
                  <w:r>
                    <w:rPr>
                      <w:szCs w:val="21"/>
                      <w:lang w:bidi="ar"/>
                    </w:rPr>
                    <w:t>2023.3</w:t>
                  </w:r>
                </w:p>
              </w:tc>
              <w:tc>
                <w:tcPr>
                  <w:tcW w:w="2980" w:type="pct"/>
                  <w:tcBorders>
                    <w:top w:val="single" w:color="auto" w:sz="4" w:space="0"/>
                    <w:left w:val="single" w:color="auto" w:sz="4" w:space="0"/>
                    <w:bottom w:val="single" w:color="auto" w:sz="4" w:space="0"/>
                  </w:tcBorders>
                  <w:vAlign w:val="center"/>
                </w:tcPr>
                <w:p w14:paraId="53EABD2B">
                  <w:pPr>
                    <w:widowControl/>
                    <w:jc w:val="center"/>
                    <w:rPr>
                      <w:szCs w:val="21"/>
                      <w:lang w:bidi="ar"/>
                    </w:rPr>
                  </w:pPr>
                  <w:r>
                    <w:rPr>
                      <w:szCs w:val="21"/>
                      <w:lang w:bidi="ar"/>
                    </w:rPr>
                    <w:fldChar w:fldCharType="begin"/>
                  </w:r>
                  <w:r>
                    <w:rPr>
                      <w:szCs w:val="21"/>
                      <w:lang w:bidi="ar"/>
                    </w:rPr>
                    <w:instrText xml:space="preserve"> = 2 \* ROMAN </w:instrText>
                  </w:r>
                  <w:r>
                    <w:rPr>
                      <w:szCs w:val="21"/>
                      <w:lang w:bidi="ar"/>
                    </w:rPr>
                    <w:fldChar w:fldCharType="separate"/>
                  </w:r>
                  <w:r>
                    <w:rPr>
                      <w:szCs w:val="21"/>
                      <w:lang w:bidi="ar"/>
                    </w:rPr>
                    <w:t>II</w:t>
                  </w:r>
                  <w:r>
                    <w:rPr>
                      <w:szCs w:val="21"/>
                      <w:lang w:bidi="ar"/>
                    </w:rPr>
                    <w:fldChar w:fldCharType="end"/>
                  </w:r>
                  <w:r>
                    <w:rPr>
                      <w:szCs w:val="21"/>
                      <w:lang w:bidi="ar"/>
                    </w:rPr>
                    <w:t>类</w:t>
                  </w:r>
                </w:p>
              </w:tc>
            </w:tr>
            <w:tr w14:paraId="70C036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19" w:type="pct"/>
                  <w:tcBorders>
                    <w:top w:val="single" w:color="auto" w:sz="4" w:space="0"/>
                    <w:bottom w:val="single" w:color="auto" w:sz="4" w:space="0"/>
                    <w:right w:val="single" w:color="auto" w:sz="4" w:space="0"/>
                  </w:tcBorders>
                  <w:vAlign w:val="center"/>
                </w:tcPr>
                <w:p w14:paraId="3E21F155">
                  <w:pPr>
                    <w:widowControl/>
                    <w:jc w:val="center"/>
                    <w:rPr>
                      <w:szCs w:val="21"/>
                    </w:rPr>
                  </w:pPr>
                  <w:r>
                    <w:rPr>
                      <w:szCs w:val="21"/>
                      <w:lang w:bidi="ar"/>
                    </w:rPr>
                    <w:t>2023.4</w:t>
                  </w:r>
                </w:p>
              </w:tc>
              <w:tc>
                <w:tcPr>
                  <w:tcW w:w="2980" w:type="pct"/>
                  <w:tcBorders>
                    <w:top w:val="single" w:color="auto" w:sz="4" w:space="0"/>
                    <w:left w:val="single" w:color="auto" w:sz="4" w:space="0"/>
                    <w:bottom w:val="single" w:color="auto" w:sz="4" w:space="0"/>
                  </w:tcBorders>
                  <w:vAlign w:val="center"/>
                </w:tcPr>
                <w:p w14:paraId="528299F6">
                  <w:pPr>
                    <w:widowControl/>
                    <w:jc w:val="center"/>
                    <w:rPr>
                      <w:szCs w:val="21"/>
                      <w:lang w:bidi="ar"/>
                    </w:rPr>
                  </w:pPr>
                  <w:r>
                    <w:rPr>
                      <w:szCs w:val="21"/>
                      <w:lang w:bidi="ar"/>
                    </w:rPr>
                    <w:fldChar w:fldCharType="begin"/>
                  </w:r>
                  <w:r>
                    <w:rPr>
                      <w:szCs w:val="21"/>
                      <w:lang w:bidi="ar"/>
                    </w:rPr>
                    <w:instrText xml:space="preserve"> = 2 \* ROMAN </w:instrText>
                  </w:r>
                  <w:r>
                    <w:rPr>
                      <w:szCs w:val="21"/>
                      <w:lang w:bidi="ar"/>
                    </w:rPr>
                    <w:fldChar w:fldCharType="separate"/>
                  </w:r>
                  <w:r>
                    <w:rPr>
                      <w:szCs w:val="21"/>
                      <w:lang w:bidi="ar"/>
                    </w:rPr>
                    <w:t>II</w:t>
                  </w:r>
                  <w:r>
                    <w:rPr>
                      <w:szCs w:val="21"/>
                      <w:lang w:bidi="ar"/>
                    </w:rPr>
                    <w:fldChar w:fldCharType="end"/>
                  </w:r>
                  <w:r>
                    <w:rPr>
                      <w:szCs w:val="21"/>
                      <w:lang w:bidi="ar"/>
                    </w:rPr>
                    <w:t>类</w:t>
                  </w:r>
                </w:p>
              </w:tc>
            </w:tr>
            <w:tr w14:paraId="30D68E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19" w:type="pct"/>
                  <w:tcBorders>
                    <w:top w:val="single" w:color="auto" w:sz="4" w:space="0"/>
                    <w:bottom w:val="single" w:color="auto" w:sz="4" w:space="0"/>
                    <w:right w:val="single" w:color="auto" w:sz="4" w:space="0"/>
                  </w:tcBorders>
                  <w:vAlign w:val="center"/>
                </w:tcPr>
                <w:p w14:paraId="1BBFDA64">
                  <w:pPr>
                    <w:widowControl/>
                    <w:jc w:val="center"/>
                    <w:rPr>
                      <w:szCs w:val="21"/>
                    </w:rPr>
                  </w:pPr>
                  <w:r>
                    <w:rPr>
                      <w:szCs w:val="21"/>
                      <w:lang w:bidi="ar"/>
                    </w:rPr>
                    <w:t>2023.5</w:t>
                  </w:r>
                </w:p>
              </w:tc>
              <w:tc>
                <w:tcPr>
                  <w:tcW w:w="2980" w:type="pct"/>
                  <w:tcBorders>
                    <w:top w:val="single" w:color="auto" w:sz="4" w:space="0"/>
                    <w:left w:val="single" w:color="auto" w:sz="4" w:space="0"/>
                    <w:bottom w:val="single" w:color="auto" w:sz="4" w:space="0"/>
                  </w:tcBorders>
                  <w:vAlign w:val="center"/>
                </w:tcPr>
                <w:p w14:paraId="09319FC0">
                  <w:pPr>
                    <w:widowControl/>
                    <w:jc w:val="center"/>
                    <w:rPr>
                      <w:szCs w:val="21"/>
                      <w:lang w:bidi="ar"/>
                    </w:rPr>
                  </w:pPr>
                  <w:r>
                    <w:rPr>
                      <w:szCs w:val="21"/>
                      <w:lang w:bidi="ar"/>
                    </w:rPr>
                    <w:fldChar w:fldCharType="begin"/>
                  </w:r>
                  <w:r>
                    <w:rPr>
                      <w:szCs w:val="21"/>
                      <w:lang w:bidi="ar"/>
                    </w:rPr>
                    <w:instrText xml:space="preserve"> = 2 \* ROMAN </w:instrText>
                  </w:r>
                  <w:r>
                    <w:rPr>
                      <w:szCs w:val="21"/>
                      <w:lang w:bidi="ar"/>
                    </w:rPr>
                    <w:fldChar w:fldCharType="separate"/>
                  </w:r>
                  <w:r>
                    <w:rPr>
                      <w:szCs w:val="21"/>
                      <w:lang w:bidi="ar"/>
                    </w:rPr>
                    <w:t>II</w:t>
                  </w:r>
                  <w:r>
                    <w:rPr>
                      <w:szCs w:val="21"/>
                      <w:lang w:bidi="ar"/>
                    </w:rPr>
                    <w:fldChar w:fldCharType="end"/>
                  </w:r>
                  <w:r>
                    <w:rPr>
                      <w:szCs w:val="21"/>
                      <w:lang w:bidi="ar"/>
                    </w:rPr>
                    <w:t>类</w:t>
                  </w:r>
                </w:p>
              </w:tc>
            </w:tr>
            <w:tr w14:paraId="3F24C2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19" w:type="pct"/>
                  <w:tcBorders>
                    <w:top w:val="single" w:color="auto" w:sz="4" w:space="0"/>
                    <w:bottom w:val="single" w:color="auto" w:sz="4" w:space="0"/>
                    <w:right w:val="single" w:color="auto" w:sz="4" w:space="0"/>
                  </w:tcBorders>
                  <w:vAlign w:val="center"/>
                </w:tcPr>
                <w:p w14:paraId="04499881">
                  <w:pPr>
                    <w:widowControl/>
                    <w:jc w:val="center"/>
                    <w:rPr>
                      <w:szCs w:val="21"/>
                    </w:rPr>
                  </w:pPr>
                  <w:r>
                    <w:rPr>
                      <w:szCs w:val="21"/>
                      <w:lang w:bidi="ar"/>
                    </w:rPr>
                    <w:t>2023.6</w:t>
                  </w:r>
                </w:p>
              </w:tc>
              <w:tc>
                <w:tcPr>
                  <w:tcW w:w="2980" w:type="pct"/>
                  <w:tcBorders>
                    <w:top w:val="single" w:color="auto" w:sz="4" w:space="0"/>
                    <w:left w:val="single" w:color="auto" w:sz="4" w:space="0"/>
                    <w:bottom w:val="single" w:color="auto" w:sz="4" w:space="0"/>
                  </w:tcBorders>
                  <w:vAlign w:val="center"/>
                </w:tcPr>
                <w:p w14:paraId="0450A309">
                  <w:pPr>
                    <w:widowControl/>
                    <w:jc w:val="center"/>
                    <w:rPr>
                      <w:szCs w:val="21"/>
                      <w:lang w:bidi="ar"/>
                    </w:rPr>
                  </w:pPr>
                  <w:r>
                    <w:rPr>
                      <w:szCs w:val="21"/>
                      <w:lang w:bidi="ar"/>
                    </w:rPr>
                    <w:fldChar w:fldCharType="begin"/>
                  </w:r>
                  <w:r>
                    <w:rPr>
                      <w:szCs w:val="21"/>
                      <w:lang w:bidi="ar"/>
                    </w:rPr>
                    <w:instrText xml:space="preserve"> = 2 \* ROMAN </w:instrText>
                  </w:r>
                  <w:r>
                    <w:rPr>
                      <w:szCs w:val="21"/>
                      <w:lang w:bidi="ar"/>
                    </w:rPr>
                    <w:fldChar w:fldCharType="separate"/>
                  </w:r>
                  <w:r>
                    <w:rPr>
                      <w:szCs w:val="21"/>
                      <w:lang w:bidi="ar"/>
                    </w:rPr>
                    <w:t>II</w:t>
                  </w:r>
                  <w:r>
                    <w:rPr>
                      <w:szCs w:val="21"/>
                      <w:lang w:bidi="ar"/>
                    </w:rPr>
                    <w:fldChar w:fldCharType="end"/>
                  </w:r>
                  <w:r>
                    <w:rPr>
                      <w:szCs w:val="21"/>
                      <w:lang w:bidi="ar"/>
                    </w:rPr>
                    <w:t>类</w:t>
                  </w:r>
                </w:p>
              </w:tc>
            </w:tr>
            <w:tr w14:paraId="01785D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19" w:type="pct"/>
                  <w:tcBorders>
                    <w:top w:val="single" w:color="auto" w:sz="4" w:space="0"/>
                    <w:bottom w:val="single" w:color="auto" w:sz="4" w:space="0"/>
                    <w:right w:val="single" w:color="auto" w:sz="4" w:space="0"/>
                  </w:tcBorders>
                  <w:vAlign w:val="center"/>
                </w:tcPr>
                <w:p w14:paraId="67EB6AC4">
                  <w:pPr>
                    <w:widowControl/>
                    <w:jc w:val="center"/>
                    <w:rPr>
                      <w:szCs w:val="21"/>
                    </w:rPr>
                  </w:pPr>
                  <w:r>
                    <w:rPr>
                      <w:szCs w:val="21"/>
                      <w:lang w:bidi="ar"/>
                    </w:rPr>
                    <w:t>2023.7</w:t>
                  </w:r>
                </w:p>
              </w:tc>
              <w:tc>
                <w:tcPr>
                  <w:tcW w:w="2980" w:type="pct"/>
                  <w:tcBorders>
                    <w:top w:val="single" w:color="auto" w:sz="4" w:space="0"/>
                    <w:left w:val="single" w:color="auto" w:sz="4" w:space="0"/>
                    <w:bottom w:val="single" w:color="auto" w:sz="4" w:space="0"/>
                  </w:tcBorders>
                  <w:vAlign w:val="center"/>
                </w:tcPr>
                <w:p w14:paraId="3ED2E510">
                  <w:pPr>
                    <w:widowControl/>
                    <w:jc w:val="center"/>
                    <w:rPr>
                      <w:szCs w:val="21"/>
                      <w:lang w:bidi="ar"/>
                    </w:rPr>
                  </w:pPr>
                  <w:r>
                    <w:rPr>
                      <w:szCs w:val="21"/>
                      <w:lang w:bidi="ar"/>
                    </w:rPr>
                    <w:fldChar w:fldCharType="begin"/>
                  </w:r>
                  <w:r>
                    <w:rPr>
                      <w:szCs w:val="21"/>
                      <w:lang w:bidi="ar"/>
                    </w:rPr>
                    <w:instrText xml:space="preserve"> = 2 \* ROMAN </w:instrText>
                  </w:r>
                  <w:r>
                    <w:rPr>
                      <w:szCs w:val="21"/>
                      <w:lang w:bidi="ar"/>
                    </w:rPr>
                    <w:fldChar w:fldCharType="separate"/>
                  </w:r>
                  <w:r>
                    <w:rPr>
                      <w:szCs w:val="21"/>
                      <w:lang w:bidi="ar"/>
                    </w:rPr>
                    <w:t>II</w:t>
                  </w:r>
                  <w:r>
                    <w:rPr>
                      <w:szCs w:val="21"/>
                      <w:lang w:bidi="ar"/>
                    </w:rPr>
                    <w:fldChar w:fldCharType="end"/>
                  </w:r>
                  <w:r>
                    <w:rPr>
                      <w:szCs w:val="21"/>
                      <w:lang w:bidi="ar"/>
                    </w:rPr>
                    <w:t>类</w:t>
                  </w:r>
                </w:p>
              </w:tc>
            </w:tr>
            <w:tr w14:paraId="2489FD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19" w:type="pct"/>
                  <w:tcBorders>
                    <w:top w:val="single" w:color="auto" w:sz="4" w:space="0"/>
                    <w:bottom w:val="single" w:color="auto" w:sz="4" w:space="0"/>
                    <w:right w:val="single" w:color="auto" w:sz="4" w:space="0"/>
                  </w:tcBorders>
                  <w:vAlign w:val="center"/>
                </w:tcPr>
                <w:p w14:paraId="7B3A6720">
                  <w:pPr>
                    <w:widowControl/>
                    <w:jc w:val="center"/>
                    <w:rPr>
                      <w:szCs w:val="21"/>
                    </w:rPr>
                  </w:pPr>
                  <w:r>
                    <w:rPr>
                      <w:szCs w:val="21"/>
                      <w:lang w:bidi="ar"/>
                    </w:rPr>
                    <w:t>2023.8</w:t>
                  </w:r>
                </w:p>
              </w:tc>
              <w:tc>
                <w:tcPr>
                  <w:tcW w:w="2980" w:type="pct"/>
                  <w:tcBorders>
                    <w:top w:val="single" w:color="auto" w:sz="4" w:space="0"/>
                    <w:left w:val="single" w:color="auto" w:sz="4" w:space="0"/>
                    <w:bottom w:val="single" w:color="auto" w:sz="4" w:space="0"/>
                  </w:tcBorders>
                  <w:vAlign w:val="center"/>
                </w:tcPr>
                <w:p w14:paraId="4FEA6DD1">
                  <w:pPr>
                    <w:widowControl/>
                    <w:jc w:val="center"/>
                    <w:rPr>
                      <w:szCs w:val="21"/>
                      <w:lang w:bidi="ar"/>
                    </w:rPr>
                  </w:pPr>
                  <w:r>
                    <w:rPr>
                      <w:szCs w:val="21"/>
                      <w:lang w:bidi="ar"/>
                    </w:rPr>
                    <w:fldChar w:fldCharType="begin"/>
                  </w:r>
                  <w:r>
                    <w:rPr>
                      <w:szCs w:val="21"/>
                      <w:lang w:bidi="ar"/>
                    </w:rPr>
                    <w:instrText xml:space="preserve"> = 2 \* ROMAN </w:instrText>
                  </w:r>
                  <w:r>
                    <w:rPr>
                      <w:szCs w:val="21"/>
                      <w:lang w:bidi="ar"/>
                    </w:rPr>
                    <w:fldChar w:fldCharType="separate"/>
                  </w:r>
                  <w:r>
                    <w:rPr>
                      <w:szCs w:val="21"/>
                      <w:lang w:bidi="ar"/>
                    </w:rPr>
                    <w:t>II</w:t>
                  </w:r>
                  <w:r>
                    <w:rPr>
                      <w:szCs w:val="21"/>
                      <w:lang w:bidi="ar"/>
                    </w:rPr>
                    <w:fldChar w:fldCharType="end"/>
                  </w:r>
                  <w:r>
                    <w:rPr>
                      <w:szCs w:val="21"/>
                      <w:lang w:bidi="ar"/>
                    </w:rPr>
                    <w:t>类</w:t>
                  </w:r>
                </w:p>
              </w:tc>
            </w:tr>
            <w:tr w14:paraId="56E9E2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19" w:type="pct"/>
                  <w:tcBorders>
                    <w:top w:val="single" w:color="auto" w:sz="4" w:space="0"/>
                    <w:bottom w:val="single" w:color="auto" w:sz="4" w:space="0"/>
                    <w:right w:val="single" w:color="auto" w:sz="4" w:space="0"/>
                  </w:tcBorders>
                  <w:vAlign w:val="center"/>
                </w:tcPr>
                <w:p w14:paraId="2017395B">
                  <w:pPr>
                    <w:widowControl/>
                    <w:jc w:val="center"/>
                    <w:rPr>
                      <w:szCs w:val="21"/>
                    </w:rPr>
                  </w:pPr>
                  <w:r>
                    <w:rPr>
                      <w:szCs w:val="21"/>
                      <w:lang w:bidi="ar"/>
                    </w:rPr>
                    <w:t>2023.9</w:t>
                  </w:r>
                </w:p>
              </w:tc>
              <w:tc>
                <w:tcPr>
                  <w:tcW w:w="2980" w:type="pct"/>
                  <w:tcBorders>
                    <w:top w:val="single" w:color="auto" w:sz="4" w:space="0"/>
                    <w:left w:val="single" w:color="auto" w:sz="4" w:space="0"/>
                    <w:bottom w:val="single" w:color="auto" w:sz="4" w:space="0"/>
                  </w:tcBorders>
                  <w:vAlign w:val="center"/>
                </w:tcPr>
                <w:p w14:paraId="3B3EDE1F">
                  <w:pPr>
                    <w:widowControl/>
                    <w:jc w:val="center"/>
                    <w:rPr>
                      <w:szCs w:val="21"/>
                      <w:lang w:bidi="ar"/>
                    </w:rPr>
                  </w:pPr>
                  <w:r>
                    <w:rPr>
                      <w:szCs w:val="21"/>
                      <w:lang w:bidi="ar"/>
                    </w:rPr>
                    <w:fldChar w:fldCharType="begin"/>
                  </w:r>
                  <w:r>
                    <w:rPr>
                      <w:szCs w:val="21"/>
                      <w:lang w:bidi="ar"/>
                    </w:rPr>
                    <w:instrText xml:space="preserve"> = 2 \* ROMAN </w:instrText>
                  </w:r>
                  <w:r>
                    <w:rPr>
                      <w:szCs w:val="21"/>
                      <w:lang w:bidi="ar"/>
                    </w:rPr>
                    <w:fldChar w:fldCharType="separate"/>
                  </w:r>
                  <w:r>
                    <w:rPr>
                      <w:szCs w:val="21"/>
                      <w:lang w:bidi="ar"/>
                    </w:rPr>
                    <w:t>II</w:t>
                  </w:r>
                  <w:r>
                    <w:rPr>
                      <w:szCs w:val="21"/>
                      <w:lang w:bidi="ar"/>
                    </w:rPr>
                    <w:fldChar w:fldCharType="end"/>
                  </w:r>
                  <w:r>
                    <w:rPr>
                      <w:szCs w:val="21"/>
                      <w:lang w:bidi="ar"/>
                    </w:rPr>
                    <w:t>类</w:t>
                  </w:r>
                </w:p>
              </w:tc>
            </w:tr>
            <w:tr w14:paraId="43C5F3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19" w:type="pct"/>
                  <w:tcBorders>
                    <w:top w:val="single" w:color="auto" w:sz="4" w:space="0"/>
                    <w:bottom w:val="single" w:color="auto" w:sz="4" w:space="0"/>
                    <w:right w:val="single" w:color="auto" w:sz="4" w:space="0"/>
                  </w:tcBorders>
                  <w:vAlign w:val="center"/>
                </w:tcPr>
                <w:p w14:paraId="143FF7D2">
                  <w:pPr>
                    <w:widowControl/>
                    <w:jc w:val="center"/>
                    <w:rPr>
                      <w:szCs w:val="21"/>
                    </w:rPr>
                  </w:pPr>
                  <w:r>
                    <w:rPr>
                      <w:szCs w:val="21"/>
                      <w:lang w:bidi="ar"/>
                    </w:rPr>
                    <w:t>2023.10</w:t>
                  </w:r>
                </w:p>
              </w:tc>
              <w:tc>
                <w:tcPr>
                  <w:tcW w:w="2980" w:type="pct"/>
                  <w:tcBorders>
                    <w:top w:val="single" w:color="auto" w:sz="4" w:space="0"/>
                    <w:left w:val="single" w:color="auto" w:sz="4" w:space="0"/>
                    <w:bottom w:val="single" w:color="auto" w:sz="4" w:space="0"/>
                  </w:tcBorders>
                  <w:vAlign w:val="center"/>
                </w:tcPr>
                <w:p w14:paraId="30BF96AA">
                  <w:pPr>
                    <w:widowControl/>
                    <w:jc w:val="center"/>
                    <w:rPr>
                      <w:szCs w:val="21"/>
                      <w:lang w:bidi="ar"/>
                    </w:rPr>
                  </w:pPr>
                  <w:r>
                    <w:rPr>
                      <w:szCs w:val="21"/>
                      <w:lang w:bidi="ar"/>
                    </w:rPr>
                    <w:fldChar w:fldCharType="begin"/>
                  </w:r>
                  <w:r>
                    <w:rPr>
                      <w:szCs w:val="21"/>
                      <w:lang w:bidi="ar"/>
                    </w:rPr>
                    <w:instrText xml:space="preserve"> = 2 \* ROMAN </w:instrText>
                  </w:r>
                  <w:r>
                    <w:rPr>
                      <w:szCs w:val="21"/>
                      <w:lang w:bidi="ar"/>
                    </w:rPr>
                    <w:fldChar w:fldCharType="separate"/>
                  </w:r>
                  <w:r>
                    <w:rPr>
                      <w:szCs w:val="21"/>
                      <w:lang w:bidi="ar"/>
                    </w:rPr>
                    <w:t>II</w:t>
                  </w:r>
                  <w:r>
                    <w:rPr>
                      <w:szCs w:val="21"/>
                      <w:lang w:bidi="ar"/>
                    </w:rPr>
                    <w:fldChar w:fldCharType="end"/>
                  </w:r>
                  <w:r>
                    <w:rPr>
                      <w:szCs w:val="21"/>
                      <w:lang w:bidi="ar"/>
                    </w:rPr>
                    <w:t>类</w:t>
                  </w:r>
                </w:p>
              </w:tc>
            </w:tr>
            <w:tr w14:paraId="76555A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19" w:type="pct"/>
                  <w:tcBorders>
                    <w:top w:val="single" w:color="auto" w:sz="4" w:space="0"/>
                    <w:bottom w:val="single" w:color="auto" w:sz="4" w:space="0"/>
                    <w:right w:val="single" w:color="auto" w:sz="4" w:space="0"/>
                  </w:tcBorders>
                  <w:vAlign w:val="center"/>
                </w:tcPr>
                <w:p w14:paraId="0C77DF25">
                  <w:pPr>
                    <w:widowControl/>
                    <w:jc w:val="center"/>
                    <w:rPr>
                      <w:szCs w:val="21"/>
                    </w:rPr>
                  </w:pPr>
                  <w:r>
                    <w:rPr>
                      <w:szCs w:val="21"/>
                      <w:lang w:bidi="ar"/>
                    </w:rPr>
                    <w:t>2023.11</w:t>
                  </w:r>
                </w:p>
              </w:tc>
              <w:tc>
                <w:tcPr>
                  <w:tcW w:w="2980" w:type="pct"/>
                  <w:tcBorders>
                    <w:top w:val="single" w:color="auto" w:sz="4" w:space="0"/>
                    <w:left w:val="single" w:color="auto" w:sz="4" w:space="0"/>
                    <w:bottom w:val="single" w:color="auto" w:sz="4" w:space="0"/>
                  </w:tcBorders>
                  <w:vAlign w:val="center"/>
                </w:tcPr>
                <w:p w14:paraId="722DCD1D">
                  <w:pPr>
                    <w:widowControl/>
                    <w:jc w:val="center"/>
                    <w:rPr>
                      <w:szCs w:val="21"/>
                      <w:lang w:bidi="ar"/>
                    </w:rPr>
                  </w:pPr>
                  <w:r>
                    <w:rPr>
                      <w:szCs w:val="21"/>
                      <w:lang w:bidi="ar"/>
                    </w:rPr>
                    <w:fldChar w:fldCharType="begin"/>
                  </w:r>
                  <w:r>
                    <w:rPr>
                      <w:szCs w:val="21"/>
                      <w:lang w:bidi="ar"/>
                    </w:rPr>
                    <w:instrText xml:space="preserve"> = 2 \* ROMAN </w:instrText>
                  </w:r>
                  <w:r>
                    <w:rPr>
                      <w:szCs w:val="21"/>
                      <w:lang w:bidi="ar"/>
                    </w:rPr>
                    <w:fldChar w:fldCharType="separate"/>
                  </w:r>
                  <w:r>
                    <w:rPr>
                      <w:szCs w:val="21"/>
                      <w:lang w:bidi="ar"/>
                    </w:rPr>
                    <w:t>II</w:t>
                  </w:r>
                  <w:r>
                    <w:rPr>
                      <w:szCs w:val="21"/>
                      <w:lang w:bidi="ar"/>
                    </w:rPr>
                    <w:fldChar w:fldCharType="end"/>
                  </w:r>
                  <w:r>
                    <w:rPr>
                      <w:szCs w:val="21"/>
                      <w:lang w:bidi="ar"/>
                    </w:rPr>
                    <w:t>类</w:t>
                  </w:r>
                </w:p>
              </w:tc>
            </w:tr>
            <w:tr w14:paraId="53C15D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19" w:type="pct"/>
                  <w:tcBorders>
                    <w:top w:val="single" w:color="auto" w:sz="4" w:space="0"/>
                    <w:bottom w:val="single" w:color="auto" w:sz="4" w:space="0"/>
                    <w:right w:val="single" w:color="auto" w:sz="4" w:space="0"/>
                  </w:tcBorders>
                  <w:vAlign w:val="center"/>
                </w:tcPr>
                <w:p w14:paraId="05C4C29E">
                  <w:pPr>
                    <w:widowControl/>
                    <w:jc w:val="center"/>
                    <w:rPr>
                      <w:szCs w:val="21"/>
                    </w:rPr>
                  </w:pPr>
                  <w:r>
                    <w:rPr>
                      <w:szCs w:val="21"/>
                      <w:lang w:bidi="ar"/>
                    </w:rPr>
                    <w:t>2023.12</w:t>
                  </w:r>
                </w:p>
              </w:tc>
              <w:tc>
                <w:tcPr>
                  <w:tcW w:w="2980" w:type="pct"/>
                  <w:tcBorders>
                    <w:top w:val="single" w:color="auto" w:sz="4" w:space="0"/>
                    <w:left w:val="single" w:color="auto" w:sz="4" w:space="0"/>
                    <w:bottom w:val="single" w:color="auto" w:sz="4" w:space="0"/>
                  </w:tcBorders>
                  <w:vAlign w:val="center"/>
                </w:tcPr>
                <w:p w14:paraId="4CE58C3F">
                  <w:pPr>
                    <w:widowControl/>
                    <w:jc w:val="center"/>
                    <w:rPr>
                      <w:szCs w:val="21"/>
                      <w:lang w:bidi="ar"/>
                    </w:rPr>
                  </w:pPr>
                  <w:r>
                    <w:rPr>
                      <w:szCs w:val="21"/>
                      <w:lang w:bidi="ar"/>
                    </w:rPr>
                    <w:fldChar w:fldCharType="begin"/>
                  </w:r>
                  <w:r>
                    <w:rPr>
                      <w:szCs w:val="21"/>
                      <w:lang w:bidi="ar"/>
                    </w:rPr>
                    <w:instrText xml:space="preserve"> = 2 \* ROMAN </w:instrText>
                  </w:r>
                  <w:r>
                    <w:rPr>
                      <w:szCs w:val="21"/>
                      <w:lang w:bidi="ar"/>
                    </w:rPr>
                    <w:fldChar w:fldCharType="separate"/>
                  </w:r>
                  <w:r>
                    <w:rPr>
                      <w:szCs w:val="21"/>
                      <w:lang w:bidi="ar"/>
                    </w:rPr>
                    <w:t>II</w:t>
                  </w:r>
                  <w:r>
                    <w:rPr>
                      <w:szCs w:val="21"/>
                      <w:lang w:bidi="ar"/>
                    </w:rPr>
                    <w:fldChar w:fldCharType="end"/>
                  </w:r>
                  <w:r>
                    <w:rPr>
                      <w:szCs w:val="21"/>
                      <w:lang w:bidi="ar"/>
                    </w:rPr>
                    <w:t>类</w:t>
                  </w:r>
                </w:p>
              </w:tc>
            </w:tr>
            <w:tr w14:paraId="53CF62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19" w:type="pct"/>
                  <w:tcBorders>
                    <w:top w:val="single" w:color="auto" w:sz="4" w:space="0"/>
                    <w:bottom w:val="single" w:color="auto" w:sz="4" w:space="0"/>
                    <w:right w:val="single" w:color="auto" w:sz="4" w:space="0"/>
                  </w:tcBorders>
                  <w:vAlign w:val="center"/>
                </w:tcPr>
                <w:p w14:paraId="1FE060A6">
                  <w:pPr>
                    <w:widowControl/>
                    <w:jc w:val="center"/>
                    <w:rPr>
                      <w:szCs w:val="21"/>
                    </w:rPr>
                  </w:pPr>
                  <w:r>
                    <w:rPr>
                      <w:szCs w:val="21"/>
                      <w:lang w:bidi="ar"/>
                    </w:rPr>
                    <w:t>2023年度目标</w:t>
                  </w:r>
                </w:p>
              </w:tc>
              <w:tc>
                <w:tcPr>
                  <w:tcW w:w="2980" w:type="pct"/>
                  <w:tcBorders>
                    <w:top w:val="single" w:color="auto" w:sz="4" w:space="0"/>
                    <w:left w:val="single" w:color="auto" w:sz="4" w:space="0"/>
                    <w:bottom w:val="single" w:color="auto" w:sz="4" w:space="0"/>
                  </w:tcBorders>
                  <w:vAlign w:val="center"/>
                </w:tcPr>
                <w:p w14:paraId="394EB5A0">
                  <w:pPr>
                    <w:widowControl/>
                    <w:jc w:val="center"/>
                    <w:rPr>
                      <w:szCs w:val="21"/>
                      <w:lang w:bidi="ar"/>
                    </w:rPr>
                  </w:pPr>
                  <w:r>
                    <w:rPr>
                      <w:szCs w:val="21"/>
                      <w:lang w:bidi="ar"/>
                    </w:rPr>
                    <w:fldChar w:fldCharType="begin"/>
                  </w:r>
                  <w:r>
                    <w:rPr>
                      <w:szCs w:val="21"/>
                      <w:lang w:bidi="ar"/>
                    </w:rPr>
                    <w:instrText xml:space="preserve"> = 2 \* ROMAN </w:instrText>
                  </w:r>
                  <w:r>
                    <w:rPr>
                      <w:szCs w:val="21"/>
                      <w:lang w:bidi="ar"/>
                    </w:rPr>
                    <w:fldChar w:fldCharType="separate"/>
                  </w:r>
                  <w:r>
                    <w:rPr>
                      <w:szCs w:val="21"/>
                      <w:lang w:bidi="ar"/>
                    </w:rPr>
                    <w:t>II</w:t>
                  </w:r>
                  <w:r>
                    <w:rPr>
                      <w:szCs w:val="21"/>
                      <w:lang w:bidi="ar"/>
                    </w:rPr>
                    <w:fldChar w:fldCharType="end"/>
                  </w:r>
                  <w:r>
                    <w:rPr>
                      <w:szCs w:val="21"/>
                      <w:lang w:bidi="ar"/>
                    </w:rPr>
                    <w:t>类</w:t>
                  </w:r>
                </w:p>
              </w:tc>
            </w:tr>
            <w:tr w14:paraId="18BBC7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19" w:type="pct"/>
                  <w:tcBorders>
                    <w:top w:val="single" w:color="auto" w:sz="4" w:space="0"/>
                    <w:right w:val="single" w:color="auto" w:sz="4" w:space="0"/>
                  </w:tcBorders>
                  <w:vAlign w:val="center"/>
                </w:tcPr>
                <w:p w14:paraId="296DF769">
                  <w:pPr>
                    <w:widowControl/>
                    <w:jc w:val="center"/>
                    <w:rPr>
                      <w:szCs w:val="21"/>
                    </w:rPr>
                  </w:pPr>
                  <w:r>
                    <w:rPr>
                      <w:szCs w:val="21"/>
                      <w:lang w:bidi="ar"/>
                    </w:rPr>
                    <w:t>达标情况</w:t>
                  </w:r>
                </w:p>
              </w:tc>
              <w:tc>
                <w:tcPr>
                  <w:tcW w:w="2980" w:type="pct"/>
                  <w:tcBorders>
                    <w:top w:val="single" w:color="auto" w:sz="4" w:space="0"/>
                    <w:left w:val="single" w:color="auto" w:sz="4" w:space="0"/>
                  </w:tcBorders>
                  <w:vAlign w:val="center"/>
                </w:tcPr>
                <w:p w14:paraId="3A6FE221">
                  <w:pPr>
                    <w:widowControl/>
                    <w:jc w:val="center"/>
                    <w:rPr>
                      <w:szCs w:val="21"/>
                      <w:lang w:bidi="ar"/>
                    </w:rPr>
                  </w:pPr>
                  <w:r>
                    <w:rPr>
                      <w:szCs w:val="21"/>
                      <w:lang w:bidi="ar"/>
                    </w:rPr>
                    <w:t>达标</w:t>
                  </w:r>
                </w:p>
              </w:tc>
            </w:tr>
          </w:tbl>
          <w:p w14:paraId="2FAACE63">
            <w:pPr>
              <w:spacing w:line="360" w:lineRule="auto"/>
              <w:ind w:firstLine="480" w:firstLineChars="200"/>
              <w:rPr>
                <w:color w:val="000000"/>
                <w:sz w:val="24"/>
              </w:rPr>
            </w:pPr>
            <w:r>
              <w:rPr>
                <w:color w:val="000000"/>
                <w:sz w:val="24"/>
              </w:rPr>
              <w:t>资江坪口（国控）断面监测指标达到《地表水环境质量标准》（GB 3838-2002）II类标准的限值要求，表明项目附近资江水质现状良好。</w:t>
            </w:r>
          </w:p>
          <w:p w14:paraId="510961C6">
            <w:pPr>
              <w:spacing w:line="360" w:lineRule="auto"/>
              <w:textAlignment w:val="baseline"/>
              <w:rPr>
                <w:b/>
                <w:color w:val="000000"/>
                <w:spacing w:val="8"/>
                <w:sz w:val="24"/>
                <w:szCs w:val="24"/>
              </w:rPr>
            </w:pPr>
            <w:r>
              <w:rPr>
                <w:b/>
                <w:color w:val="000000"/>
                <w:spacing w:val="8"/>
                <w:sz w:val="24"/>
                <w:szCs w:val="24"/>
              </w:rPr>
              <w:t>3 声环境质量现状</w:t>
            </w:r>
          </w:p>
          <w:p w14:paraId="5F62FE7E">
            <w:pPr>
              <w:spacing w:line="360" w:lineRule="auto"/>
              <w:ind w:firstLine="480" w:firstLineChars="200"/>
              <w:textAlignment w:val="baseline"/>
              <w:rPr>
                <w:kern w:val="0"/>
                <w:sz w:val="24"/>
                <w:szCs w:val="24"/>
              </w:rPr>
            </w:pPr>
            <w:r>
              <w:rPr>
                <w:kern w:val="0"/>
                <w:sz w:val="24"/>
                <w:szCs w:val="24"/>
              </w:rPr>
              <w:t>本项目厂界外周边50米范围内无声环境保护目标，故无需进行声环境质量现状监测。</w:t>
            </w:r>
          </w:p>
          <w:p w14:paraId="3E0F6A06">
            <w:pPr>
              <w:spacing w:line="360" w:lineRule="auto"/>
              <w:textAlignment w:val="baseline"/>
              <w:rPr>
                <w:b/>
                <w:color w:val="000000"/>
                <w:spacing w:val="8"/>
                <w:sz w:val="24"/>
                <w:szCs w:val="24"/>
              </w:rPr>
            </w:pPr>
            <w:r>
              <w:rPr>
                <w:b/>
                <w:color w:val="000000"/>
                <w:spacing w:val="8"/>
                <w:sz w:val="24"/>
                <w:szCs w:val="24"/>
              </w:rPr>
              <w:t>4 生态环境现状</w:t>
            </w:r>
          </w:p>
          <w:p w14:paraId="32612FFD">
            <w:pPr>
              <w:spacing w:line="360" w:lineRule="auto"/>
              <w:ind w:firstLine="480" w:firstLineChars="200"/>
              <w:rPr>
                <w:sz w:val="24"/>
                <w:szCs w:val="24"/>
              </w:rPr>
            </w:pPr>
            <w:r>
              <w:rPr>
                <w:color w:val="000000"/>
                <w:sz w:val="24"/>
                <w:szCs w:val="24"/>
              </w:rPr>
              <w:t>根据现场踏勘结果表明：本项目在</w:t>
            </w:r>
            <w:r>
              <w:rPr>
                <w:spacing w:val="-6"/>
                <w:sz w:val="24"/>
                <w:szCs w:val="24"/>
              </w:rPr>
              <w:t>东坪镇茶家村茶语路南茶西路北B-02栋标准化厂房内</w:t>
            </w:r>
            <w:r>
              <w:rPr>
                <w:sz w:val="24"/>
                <w:szCs w:val="24"/>
              </w:rPr>
              <w:t>进行建设，不新增用地，因此用地范围内无生态环境保护目标。</w:t>
            </w:r>
          </w:p>
          <w:p w14:paraId="7E0E7128">
            <w:pPr>
              <w:spacing w:line="360" w:lineRule="auto"/>
              <w:textAlignment w:val="baseline"/>
              <w:rPr>
                <w:b/>
                <w:color w:val="000000"/>
                <w:spacing w:val="8"/>
                <w:sz w:val="24"/>
                <w:szCs w:val="24"/>
              </w:rPr>
            </w:pPr>
            <w:r>
              <w:rPr>
                <w:b/>
                <w:color w:val="000000"/>
                <w:spacing w:val="8"/>
                <w:sz w:val="24"/>
                <w:szCs w:val="24"/>
              </w:rPr>
              <w:t>5 地下水、土壤环境质量现状</w:t>
            </w:r>
          </w:p>
          <w:p w14:paraId="55634588">
            <w:pPr>
              <w:spacing w:line="360" w:lineRule="auto"/>
              <w:ind w:firstLine="480" w:firstLineChars="200"/>
              <w:textAlignment w:val="baseline"/>
              <w:rPr>
                <w:color w:val="000000"/>
                <w:kern w:val="0"/>
                <w:sz w:val="24"/>
                <w:szCs w:val="24"/>
              </w:rPr>
            </w:pPr>
            <w:r>
              <w:rPr>
                <w:color w:val="000000"/>
                <w:kern w:val="0"/>
                <w:sz w:val="24"/>
                <w:szCs w:val="24"/>
              </w:rPr>
              <w:t>根据生态环境部办公厅2020年12月24日印发的《建设项目环境影响报告表编制技术指南（污染影响类）（试行）》中具体编制要</w:t>
            </w:r>
            <w:r>
              <w:rPr>
                <w:rFonts w:hint="eastAsia" w:ascii="宋体" w:hAnsi="宋体" w:cs="宋体"/>
                <w:color w:val="000000"/>
                <w:kern w:val="0"/>
                <w:sz w:val="24"/>
                <w:szCs w:val="24"/>
              </w:rPr>
              <w:t>求“原则上不开展环境质量现状调查。建设项目存在土壤、地下水环境污染途径的，应结合污染源、保护目标分布情况开展现状调查以留作背景值。”本项目</w:t>
            </w:r>
            <w:r>
              <w:rPr>
                <w:color w:val="000000"/>
                <w:kern w:val="0"/>
                <w:sz w:val="24"/>
                <w:szCs w:val="24"/>
              </w:rPr>
              <w:t>位于现有厂区范围内，厂区范围内除绿化带位置均进行了水泥硬化，渗漏的风险较低，本项目在正常生产工况，不存在地下水、土壤环境污染途径，故无需进行地下水、土壤环境质量现状监测。</w:t>
            </w:r>
          </w:p>
        </w:tc>
      </w:tr>
      <w:tr w14:paraId="1CF442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55" w:hRule="atLeast"/>
          <w:jc w:val="center"/>
        </w:trPr>
        <w:tc>
          <w:tcPr>
            <w:tcW w:w="469" w:type="dxa"/>
            <w:tcBorders>
              <w:top w:val="single" w:color="auto" w:sz="4" w:space="0"/>
              <w:left w:val="single" w:color="auto" w:sz="8" w:space="0"/>
              <w:bottom w:val="single" w:color="auto" w:sz="4" w:space="0"/>
              <w:right w:val="single" w:color="auto" w:sz="4" w:space="0"/>
            </w:tcBorders>
            <w:vAlign w:val="center"/>
          </w:tcPr>
          <w:p w14:paraId="2DA593D4">
            <w:pPr>
              <w:spacing w:line="360" w:lineRule="auto"/>
              <w:jc w:val="center"/>
              <w:rPr>
                <w:color w:val="000000"/>
                <w:kern w:val="0"/>
                <w:sz w:val="24"/>
                <w:szCs w:val="24"/>
              </w:rPr>
            </w:pPr>
            <w:r>
              <w:rPr>
                <w:color w:val="000000"/>
                <w:kern w:val="0"/>
                <w:sz w:val="24"/>
                <w:szCs w:val="24"/>
              </w:rPr>
              <w:t>环境保护目标</w:t>
            </w:r>
          </w:p>
        </w:tc>
        <w:tc>
          <w:tcPr>
            <w:tcW w:w="8603" w:type="dxa"/>
            <w:tcBorders>
              <w:top w:val="single" w:color="auto" w:sz="4" w:space="0"/>
              <w:left w:val="single" w:color="auto" w:sz="4" w:space="0"/>
              <w:bottom w:val="single" w:color="auto" w:sz="4" w:space="0"/>
              <w:right w:val="single" w:color="auto" w:sz="8" w:space="0"/>
            </w:tcBorders>
            <w:vAlign w:val="center"/>
          </w:tcPr>
          <w:p w14:paraId="3DE619EA">
            <w:pPr>
              <w:autoSpaceDE w:val="0"/>
              <w:autoSpaceDN w:val="0"/>
              <w:adjustRightInd w:val="0"/>
              <w:spacing w:line="360" w:lineRule="auto"/>
              <w:ind w:firstLine="482" w:firstLineChars="200"/>
              <w:textAlignment w:val="baseline"/>
              <w:rPr>
                <w:b/>
                <w:bCs/>
                <w:color w:val="000000"/>
                <w:kern w:val="0"/>
                <w:sz w:val="24"/>
                <w:szCs w:val="24"/>
              </w:rPr>
            </w:pPr>
            <w:r>
              <w:rPr>
                <w:b/>
                <w:bCs/>
                <w:color w:val="000000"/>
                <w:kern w:val="0"/>
                <w:sz w:val="24"/>
                <w:szCs w:val="24"/>
              </w:rPr>
              <w:t>环境保护目标</w:t>
            </w:r>
          </w:p>
          <w:p w14:paraId="435B0BC0">
            <w:pPr>
              <w:autoSpaceDE w:val="0"/>
              <w:autoSpaceDN w:val="0"/>
              <w:adjustRightInd w:val="0"/>
              <w:spacing w:line="360" w:lineRule="auto"/>
              <w:textAlignment w:val="baseline"/>
              <w:rPr>
                <w:b/>
                <w:bCs/>
                <w:color w:val="000000"/>
                <w:kern w:val="0"/>
                <w:sz w:val="24"/>
                <w:szCs w:val="24"/>
              </w:rPr>
            </w:pPr>
            <w:r>
              <w:rPr>
                <w:b/>
                <w:bCs/>
                <w:color w:val="000000"/>
                <w:kern w:val="0"/>
                <w:sz w:val="24"/>
                <w:szCs w:val="24"/>
              </w:rPr>
              <w:t>1 大气环境</w:t>
            </w:r>
          </w:p>
          <w:p w14:paraId="66319B82">
            <w:pPr>
              <w:tabs>
                <w:tab w:val="left" w:pos="2196"/>
              </w:tabs>
              <w:spacing w:line="360" w:lineRule="auto"/>
              <w:jc w:val="center"/>
              <w:rPr>
                <w:b/>
                <w:color w:val="000000"/>
                <w:sz w:val="24"/>
                <w:szCs w:val="24"/>
              </w:rPr>
            </w:pPr>
            <w:r>
              <w:rPr>
                <w:b/>
                <w:color w:val="000000"/>
                <w:sz w:val="24"/>
                <w:szCs w:val="24"/>
              </w:rPr>
              <w:t>表3-3  大气环境保护目标一览表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74"/>
              <w:gridCol w:w="1583"/>
              <w:gridCol w:w="1090"/>
              <w:gridCol w:w="999"/>
              <w:gridCol w:w="1116"/>
              <w:gridCol w:w="653"/>
              <w:gridCol w:w="759"/>
              <w:gridCol w:w="706"/>
              <w:gridCol w:w="977"/>
            </w:tblGrid>
            <w:tr w14:paraId="156DAE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7" w:type="dxa"/>
                  <w:vMerge w:val="restart"/>
                  <w:tcBorders>
                    <w:bottom w:val="single" w:color="auto" w:sz="6" w:space="0"/>
                    <w:right w:val="single" w:color="auto" w:sz="6" w:space="0"/>
                  </w:tcBorders>
                  <w:vAlign w:val="center"/>
                </w:tcPr>
                <w:p w14:paraId="1F65E931">
                  <w:pPr>
                    <w:jc w:val="center"/>
                    <w:rPr>
                      <w:b/>
                      <w:szCs w:val="21"/>
                    </w:rPr>
                  </w:pPr>
                  <w:r>
                    <w:rPr>
                      <w:b/>
                      <w:szCs w:val="21"/>
                      <w:lang w:bidi="ar"/>
                    </w:rPr>
                    <w:t>序号</w:t>
                  </w:r>
                </w:p>
              </w:tc>
              <w:tc>
                <w:tcPr>
                  <w:tcW w:w="1557" w:type="dxa"/>
                  <w:vMerge w:val="restart"/>
                  <w:tcBorders>
                    <w:left w:val="single" w:color="auto" w:sz="6" w:space="0"/>
                    <w:bottom w:val="single" w:color="auto" w:sz="6" w:space="0"/>
                    <w:right w:val="single" w:color="auto" w:sz="6" w:space="0"/>
                  </w:tcBorders>
                  <w:vAlign w:val="center"/>
                </w:tcPr>
                <w:p w14:paraId="4F2B5DA8">
                  <w:pPr>
                    <w:jc w:val="center"/>
                    <w:rPr>
                      <w:b/>
                      <w:szCs w:val="21"/>
                    </w:rPr>
                  </w:pPr>
                  <w:r>
                    <w:rPr>
                      <w:b/>
                      <w:szCs w:val="21"/>
                      <w:lang w:bidi="ar"/>
                    </w:rPr>
                    <w:t>名称</w:t>
                  </w:r>
                </w:p>
              </w:tc>
              <w:tc>
                <w:tcPr>
                  <w:tcW w:w="2055" w:type="dxa"/>
                  <w:gridSpan w:val="2"/>
                  <w:tcBorders>
                    <w:left w:val="single" w:color="auto" w:sz="6" w:space="0"/>
                    <w:bottom w:val="single" w:color="auto" w:sz="6" w:space="0"/>
                    <w:right w:val="single" w:color="auto" w:sz="6" w:space="0"/>
                  </w:tcBorders>
                  <w:vAlign w:val="center"/>
                </w:tcPr>
                <w:p w14:paraId="19CA5B0C">
                  <w:pPr>
                    <w:jc w:val="center"/>
                    <w:rPr>
                      <w:b/>
                      <w:szCs w:val="21"/>
                    </w:rPr>
                  </w:pPr>
                  <w:r>
                    <w:rPr>
                      <w:b/>
                      <w:szCs w:val="21"/>
                      <w:lang w:bidi="ar"/>
                    </w:rPr>
                    <w:t>坐标</w:t>
                  </w:r>
                </w:p>
              </w:tc>
              <w:tc>
                <w:tcPr>
                  <w:tcW w:w="1098" w:type="dxa"/>
                  <w:vMerge w:val="restart"/>
                  <w:tcBorders>
                    <w:left w:val="single" w:color="auto" w:sz="6" w:space="0"/>
                    <w:bottom w:val="single" w:color="auto" w:sz="6" w:space="0"/>
                    <w:right w:val="single" w:color="auto" w:sz="6" w:space="0"/>
                  </w:tcBorders>
                  <w:vAlign w:val="center"/>
                </w:tcPr>
                <w:p w14:paraId="1252C1D1">
                  <w:pPr>
                    <w:jc w:val="center"/>
                    <w:rPr>
                      <w:b/>
                      <w:szCs w:val="21"/>
                    </w:rPr>
                  </w:pPr>
                  <w:r>
                    <w:rPr>
                      <w:b/>
                      <w:szCs w:val="21"/>
                      <w:lang w:bidi="ar"/>
                    </w:rPr>
                    <w:t>保护对象</w:t>
                  </w:r>
                </w:p>
              </w:tc>
              <w:tc>
                <w:tcPr>
                  <w:tcW w:w="642" w:type="dxa"/>
                  <w:vMerge w:val="restart"/>
                  <w:tcBorders>
                    <w:left w:val="single" w:color="auto" w:sz="6" w:space="0"/>
                    <w:bottom w:val="single" w:color="auto" w:sz="6" w:space="0"/>
                    <w:right w:val="single" w:color="auto" w:sz="6" w:space="0"/>
                  </w:tcBorders>
                  <w:vAlign w:val="center"/>
                </w:tcPr>
                <w:p w14:paraId="69981955">
                  <w:pPr>
                    <w:jc w:val="center"/>
                    <w:rPr>
                      <w:b/>
                      <w:szCs w:val="21"/>
                    </w:rPr>
                  </w:pPr>
                  <w:r>
                    <w:rPr>
                      <w:b/>
                      <w:szCs w:val="21"/>
                      <w:lang w:bidi="ar"/>
                    </w:rPr>
                    <w:t>保护</w:t>
                  </w:r>
                </w:p>
                <w:p w14:paraId="3BBA8F0A">
                  <w:pPr>
                    <w:jc w:val="center"/>
                    <w:rPr>
                      <w:b/>
                      <w:szCs w:val="21"/>
                    </w:rPr>
                  </w:pPr>
                  <w:r>
                    <w:rPr>
                      <w:b/>
                      <w:szCs w:val="21"/>
                      <w:lang w:bidi="ar"/>
                    </w:rPr>
                    <w:t>内容</w:t>
                  </w:r>
                </w:p>
              </w:tc>
              <w:tc>
                <w:tcPr>
                  <w:tcW w:w="747" w:type="dxa"/>
                  <w:vMerge w:val="restart"/>
                  <w:tcBorders>
                    <w:left w:val="single" w:color="auto" w:sz="6" w:space="0"/>
                    <w:bottom w:val="single" w:color="auto" w:sz="6" w:space="0"/>
                    <w:right w:val="single" w:color="auto" w:sz="6" w:space="0"/>
                  </w:tcBorders>
                  <w:vAlign w:val="center"/>
                </w:tcPr>
                <w:p w14:paraId="297CCCA3">
                  <w:pPr>
                    <w:jc w:val="center"/>
                    <w:rPr>
                      <w:b/>
                      <w:szCs w:val="21"/>
                    </w:rPr>
                  </w:pPr>
                  <w:r>
                    <w:rPr>
                      <w:b/>
                      <w:szCs w:val="21"/>
                      <w:lang w:bidi="ar"/>
                    </w:rPr>
                    <w:t>环境功能区</w:t>
                  </w:r>
                </w:p>
              </w:tc>
              <w:tc>
                <w:tcPr>
                  <w:tcW w:w="695" w:type="dxa"/>
                  <w:vMerge w:val="restart"/>
                  <w:tcBorders>
                    <w:left w:val="single" w:color="auto" w:sz="6" w:space="0"/>
                    <w:bottom w:val="single" w:color="auto" w:sz="6" w:space="0"/>
                    <w:right w:val="single" w:color="auto" w:sz="6" w:space="0"/>
                  </w:tcBorders>
                  <w:vAlign w:val="center"/>
                </w:tcPr>
                <w:p w14:paraId="0D7612ED">
                  <w:pPr>
                    <w:jc w:val="center"/>
                    <w:rPr>
                      <w:b/>
                      <w:szCs w:val="21"/>
                    </w:rPr>
                  </w:pPr>
                  <w:r>
                    <w:rPr>
                      <w:b/>
                      <w:szCs w:val="21"/>
                      <w:lang w:bidi="ar"/>
                    </w:rPr>
                    <w:t>相对厂址方位</w:t>
                  </w:r>
                </w:p>
              </w:tc>
              <w:tc>
                <w:tcPr>
                  <w:tcW w:w="961" w:type="dxa"/>
                  <w:vMerge w:val="restart"/>
                  <w:tcBorders>
                    <w:left w:val="single" w:color="auto" w:sz="6" w:space="0"/>
                    <w:bottom w:val="single" w:color="auto" w:sz="6" w:space="0"/>
                  </w:tcBorders>
                  <w:vAlign w:val="center"/>
                </w:tcPr>
                <w:p w14:paraId="53653D7A">
                  <w:pPr>
                    <w:jc w:val="center"/>
                    <w:rPr>
                      <w:b/>
                      <w:szCs w:val="21"/>
                    </w:rPr>
                  </w:pPr>
                  <w:r>
                    <w:rPr>
                      <w:b/>
                      <w:szCs w:val="21"/>
                      <w:lang w:bidi="ar"/>
                    </w:rPr>
                    <w:t>相对厂界距离（m）</w:t>
                  </w:r>
                </w:p>
              </w:tc>
            </w:tr>
            <w:tr w14:paraId="42FD2B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7" w:type="dxa"/>
                  <w:vMerge w:val="continue"/>
                  <w:tcBorders>
                    <w:top w:val="single" w:color="auto" w:sz="12" w:space="0"/>
                    <w:bottom w:val="single" w:color="auto" w:sz="6" w:space="0"/>
                    <w:right w:val="single" w:color="auto" w:sz="6" w:space="0"/>
                  </w:tcBorders>
                  <w:vAlign w:val="center"/>
                </w:tcPr>
                <w:p w14:paraId="704DB9FC"/>
              </w:tc>
              <w:tc>
                <w:tcPr>
                  <w:tcW w:w="1557" w:type="dxa"/>
                  <w:vMerge w:val="continue"/>
                  <w:tcBorders>
                    <w:top w:val="single" w:color="auto" w:sz="12" w:space="0"/>
                    <w:left w:val="single" w:color="auto" w:sz="6" w:space="0"/>
                    <w:bottom w:val="single" w:color="auto" w:sz="6" w:space="0"/>
                    <w:right w:val="single" w:color="auto" w:sz="6" w:space="0"/>
                  </w:tcBorders>
                  <w:vAlign w:val="center"/>
                </w:tcPr>
                <w:p w14:paraId="55064345"/>
              </w:tc>
              <w:tc>
                <w:tcPr>
                  <w:tcW w:w="1072" w:type="dxa"/>
                  <w:tcBorders>
                    <w:top w:val="single" w:color="auto" w:sz="6" w:space="0"/>
                    <w:left w:val="single" w:color="auto" w:sz="6" w:space="0"/>
                    <w:bottom w:val="single" w:color="auto" w:sz="6" w:space="0"/>
                    <w:right w:val="single" w:color="auto" w:sz="6" w:space="0"/>
                  </w:tcBorders>
                  <w:vAlign w:val="center"/>
                </w:tcPr>
                <w:p w14:paraId="646A6C1C">
                  <w:pPr>
                    <w:jc w:val="center"/>
                    <w:rPr>
                      <w:b/>
                      <w:szCs w:val="21"/>
                    </w:rPr>
                  </w:pPr>
                  <w:r>
                    <w:rPr>
                      <w:b/>
                      <w:szCs w:val="21"/>
                      <w:lang w:bidi="ar"/>
                    </w:rPr>
                    <w:t>东经</w:t>
                  </w:r>
                </w:p>
              </w:tc>
              <w:tc>
                <w:tcPr>
                  <w:tcW w:w="983" w:type="dxa"/>
                  <w:tcBorders>
                    <w:top w:val="single" w:color="auto" w:sz="6" w:space="0"/>
                    <w:left w:val="single" w:color="auto" w:sz="6" w:space="0"/>
                    <w:bottom w:val="single" w:color="auto" w:sz="6" w:space="0"/>
                    <w:right w:val="single" w:color="auto" w:sz="6" w:space="0"/>
                  </w:tcBorders>
                  <w:vAlign w:val="center"/>
                </w:tcPr>
                <w:p w14:paraId="16A6A500">
                  <w:pPr>
                    <w:jc w:val="center"/>
                    <w:rPr>
                      <w:b/>
                      <w:szCs w:val="21"/>
                    </w:rPr>
                  </w:pPr>
                  <w:r>
                    <w:rPr>
                      <w:b/>
                      <w:szCs w:val="21"/>
                      <w:lang w:bidi="ar"/>
                    </w:rPr>
                    <w:t>北纬</w:t>
                  </w:r>
                </w:p>
              </w:tc>
              <w:tc>
                <w:tcPr>
                  <w:tcW w:w="1098" w:type="dxa"/>
                  <w:vMerge w:val="continue"/>
                  <w:tcBorders>
                    <w:top w:val="single" w:color="auto" w:sz="12" w:space="0"/>
                    <w:left w:val="single" w:color="auto" w:sz="6" w:space="0"/>
                    <w:bottom w:val="single" w:color="auto" w:sz="6" w:space="0"/>
                    <w:right w:val="single" w:color="auto" w:sz="6" w:space="0"/>
                  </w:tcBorders>
                  <w:vAlign w:val="center"/>
                </w:tcPr>
                <w:p w14:paraId="44D5384B"/>
              </w:tc>
              <w:tc>
                <w:tcPr>
                  <w:tcW w:w="642" w:type="dxa"/>
                  <w:vMerge w:val="continue"/>
                  <w:tcBorders>
                    <w:top w:val="single" w:color="auto" w:sz="12" w:space="0"/>
                    <w:left w:val="single" w:color="auto" w:sz="6" w:space="0"/>
                    <w:bottom w:val="single" w:color="auto" w:sz="6" w:space="0"/>
                    <w:right w:val="single" w:color="auto" w:sz="6" w:space="0"/>
                  </w:tcBorders>
                  <w:vAlign w:val="center"/>
                </w:tcPr>
                <w:p w14:paraId="5D1B7423"/>
              </w:tc>
              <w:tc>
                <w:tcPr>
                  <w:tcW w:w="747" w:type="dxa"/>
                  <w:vMerge w:val="continue"/>
                  <w:tcBorders>
                    <w:top w:val="single" w:color="auto" w:sz="12" w:space="0"/>
                    <w:left w:val="single" w:color="auto" w:sz="6" w:space="0"/>
                    <w:bottom w:val="single" w:color="auto" w:sz="6" w:space="0"/>
                    <w:right w:val="single" w:color="auto" w:sz="6" w:space="0"/>
                  </w:tcBorders>
                  <w:vAlign w:val="center"/>
                </w:tcPr>
                <w:p w14:paraId="11F4EDE1"/>
              </w:tc>
              <w:tc>
                <w:tcPr>
                  <w:tcW w:w="695" w:type="dxa"/>
                  <w:vMerge w:val="continue"/>
                  <w:tcBorders>
                    <w:top w:val="single" w:color="auto" w:sz="12" w:space="0"/>
                    <w:left w:val="single" w:color="auto" w:sz="6" w:space="0"/>
                    <w:bottom w:val="single" w:color="auto" w:sz="6" w:space="0"/>
                    <w:right w:val="single" w:color="auto" w:sz="6" w:space="0"/>
                  </w:tcBorders>
                  <w:vAlign w:val="center"/>
                </w:tcPr>
                <w:p w14:paraId="173CB235"/>
              </w:tc>
              <w:tc>
                <w:tcPr>
                  <w:tcW w:w="961" w:type="dxa"/>
                  <w:vMerge w:val="continue"/>
                  <w:tcBorders>
                    <w:top w:val="single" w:color="auto" w:sz="12" w:space="0"/>
                    <w:left w:val="single" w:color="auto" w:sz="6" w:space="0"/>
                    <w:bottom w:val="single" w:color="auto" w:sz="6" w:space="0"/>
                  </w:tcBorders>
                  <w:vAlign w:val="center"/>
                </w:tcPr>
                <w:p w14:paraId="103D6413"/>
              </w:tc>
            </w:tr>
            <w:tr w14:paraId="631838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7" w:type="dxa"/>
                  <w:tcBorders>
                    <w:top w:val="single" w:color="auto" w:sz="6" w:space="0"/>
                    <w:bottom w:val="single" w:color="auto" w:sz="6" w:space="0"/>
                    <w:right w:val="single" w:color="auto" w:sz="6" w:space="0"/>
                  </w:tcBorders>
                  <w:vAlign w:val="center"/>
                </w:tcPr>
                <w:p w14:paraId="4335055D">
                  <w:pPr>
                    <w:jc w:val="center"/>
                    <w:rPr>
                      <w:szCs w:val="21"/>
                    </w:rPr>
                  </w:pPr>
                  <w:r>
                    <w:rPr>
                      <w:szCs w:val="21"/>
                      <w:lang w:bidi="ar"/>
                    </w:rPr>
                    <w:t>1</w:t>
                  </w:r>
                </w:p>
              </w:tc>
              <w:tc>
                <w:tcPr>
                  <w:tcW w:w="1557" w:type="dxa"/>
                  <w:tcBorders>
                    <w:top w:val="single" w:color="auto" w:sz="6" w:space="0"/>
                    <w:left w:val="single" w:color="auto" w:sz="6" w:space="0"/>
                    <w:bottom w:val="single" w:color="auto" w:sz="6" w:space="0"/>
                    <w:right w:val="single" w:color="auto" w:sz="6" w:space="0"/>
                  </w:tcBorders>
                  <w:vAlign w:val="center"/>
                </w:tcPr>
                <w:p w14:paraId="5EB195F8">
                  <w:pPr>
                    <w:jc w:val="center"/>
                    <w:rPr>
                      <w:szCs w:val="21"/>
                    </w:rPr>
                  </w:pPr>
                  <w:r>
                    <w:rPr>
                      <w:szCs w:val="21"/>
                      <w:lang w:bidi="ar"/>
                    </w:rPr>
                    <w:t>茶酉村居民</w:t>
                  </w:r>
                </w:p>
              </w:tc>
              <w:tc>
                <w:tcPr>
                  <w:tcW w:w="1072" w:type="dxa"/>
                  <w:tcBorders>
                    <w:top w:val="single" w:color="auto" w:sz="6" w:space="0"/>
                    <w:left w:val="single" w:color="auto" w:sz="6" w:space="0"/>
                    <w:bottom w:val="single" w:color="auto" w:sz="6" w:space="0"/>
                    <w:right w:val="single" w:color="auto" w:sz="6" w:space="0"/>
                  </w:tcBorders>
                  <w:vAlign w:val="center"/>
                </w:tcPr>
                <w:p w14:paraId="11AC4C88">
                  <w:pPr>
                    <w:jc w:val="center"/>
                    <w:rPr>
                      <w:szCs w:val="21"/>
                    </w:rPr>
                  </w:pPr>
                  <w:r>
                    <w:rPr>
                      <w:szCs w:val="21"/>
                      <w:lang w:bidi="ar"/>
                    </w:rPr>
                    <w:t>111.3017°</w:t>
                  </w:r>
                </w:p>
              </w:tc>
              <w:tc>
                <w:tcPr>
                  <w:tcW w:w="983" w:type="dxa"/>
                  <w:tcBorders>
                    <w:top w:val="single" w:color="auto" w:sz="6" w:space="0"/>
                    <w:left w:val="single" w:color="auto" w:sz="6" w:space="0"/>
                    <w:bottom w:val="single" w:color="auto" w:sz="6" w:space="0"/>
                    <w:right w:val="single" w:color="auto" w:sz="6" w:space="0"/>
                  </w:tcBorders>
                  <w:vAlign w:val="center"/>
                </w:tcPr>
                <w:p w14:paraId="4A846995">
                  <w:pPr>
                    <w:jc w:val="center"/>
                    <w:rPr>
                      <w:szCs w:val="21"/>
                    </w:rPr>
                  </w:pPr>
                  <w:r>
                    <w:rPr>
                      <w:szCs w:val="21"/>
                      <w:lang w:bidi="ar"/>
                    </w:rPr>
                    <w:t>28.3865°</w:t>
                  </w:r>
                </w:p>
              </w:tc>
              <w:tc>
                <w:tcPr>
                  <w:tcW w:w="1098" w:type="dxa"/>
                  <w:tcBorders>
                    <w:top w:val="single" w:color="auto" w:sz="6" w:space="0"/>
                    <w:left w:val="single" w:color="auto" w:sz="6" w:space="0"/>
                    <w:bottom w:val="single" w:color="auto" w:sz="6" w:space="0"/>
                    <w:right w:val="single" w:color="auto" w:sz="6" w:space="0"/>
                  </w:tcBorders>
                  <w:vAlign w:val="center"/>
                </w:tcPr>
                <w:p w14:paraId="634D76D2">
                  <w:pPr>
                    <w:jc w:val="center"/>
                    <w:rPr>
                      <w:szCs w:val="21"/>
                    </w:rPr>
                  </w:pPr>
                  <w:r>
                    <w:rPr>
                      <w:szCs w:val="21"/>
                      <w:lang w:bidi="ar"/>
                    </w:rPr>
                    <w:t>50户居民</w:t>
                  </w:r>
                </w:p>
              </w:tc>
              <w:tc>
                <w:tcPr>
                  <w:tcW w:w="642" w:type="dxa"/>
                  <w:vMerge w:val="restart"/>
                  <w:tcBorders>
                    <w:top w:val="single" w:color="auto" w:sz="6" w:space="0"/>
                    <w:left w:val="single" w:color="auto" w:sz="6" w:space="0"/>
                    <w:bottom w:val="single" w:color="auto" w:sz="12" w:space="0"/>
                    <w:right w:val="single" w:color="auto" w:sz="6" w:space="0"/>
                  </w:tcBorders>
                  <w:vAlign w:val="center"/>
                </w:tcPr>
                <w:p w14:paraId="1D28302E">
                  <w:pPr>
                    <w:jc w:val="center"/>
                    <w:rPr>
                      <w:szCs w:val="21"/>
                    </w:rPr>
                  </w:pPr>
                  <w:r>
                    <w:rPr>
                      <w:szCs w:val="21"/>
                      <w:lang w:bidi="ar"/>
                    </w:rPr>
                    <w:t>环境空气质量</w:t>
                  </w:r>
                </w:p>
              </w:tc>
              <w:tc>
                <w:tcPr>
                  <w:tcW w:w="747" w:type="dxa"/>
                  <w:vMerge w:val="restart"/>
                  <w:tcBorders>
                    <w:top w:val="single" w:color="auto" w:sz="6" w:space="0"/>
                    <w:left w:val="single" w:color="auto" w:sz="6" w:space="0"/>
                    <w:bottom w:val="single" w:color="auto" w:sz="12" w:space="0"/>
                    <w:right w:val="single" w:color="auto" w:sz="6" w:space="0"/>
                  </w:tcBorders>
                  <w:vAlign w:val="center"/>
                </w:tcPr>
                <w:p w14:paraId="34FAF343">
                  <w:pPr>
                    <w:jc w:val="center"/>
                    <w:rPr>
                      <w:szCs w:val="21"/>
                    </w:rPr>
                  </w:pPr>
                  <w:r>
                    <w:rPr>
                      <w:szCs w:val="21"/>
                      <w:lang w:bidi="ar"/>
                    </w:rPr>
                    <w:t>二级</w:t>
                  </w:r>
                </w:p>
              </w:tc>
              <w:tc>
                <w:tcPr>
                  <w:tcW w:w="695" w:type="dxa"/>
                  <w:tcBorders>
                    <w:top w:val="single" w:color="auto" w:sz="6" w:space="0"/>
                    <w:left w:val="single" w:color="auto" w:sz="6" w:space="0"/>
                    <w:bottom w:val="single" w:color="auto" w:sz="6" w:space="0"/>
                    <w:right w:val="single" w:color="auto" w:sz="6" w:space="0"/>
                  </w:tcBorders>
                  <w:vAlign w:val="center"/>
                </w:tcPr>
                <w:p w14:paraId="11AC3D9E">
                  <w:pPr>
                    <w:jc w:val="center"/>
                    <w:rPr>
                      <w:szCs w:val="21"/>
                    </w:rPr>
                  </w:pPr>
                  <w:r>
                    <w:rPr>
                      <w:szCs w:val="21"/>
                      <w:lang w:bidi="ar"/>
                    </w:rPr>
                    <w:t>N</w:t>
                  </w:r>
                </w:p>
              </w:tc>
              <w:tc>
                <w:tcPr>
                  <w:tcW w:w="961" w:type="dxa"/>
                  <w:tcBorders>
                    <w:top w:val="single" w:color="auto" w:sz="6" w:space="0"/>
                    <w:left w:val="single" w:color="auto" w:sz="6" w:space="0"/>
                    <w:bottom w:val="single" w:color="auto" w:sz="6" w:space="0"/>
                  </w:tcBorders>
                  <w:vAlign w:val="center"/>
                </w:tcPr>
                <w:p w14:paraId="2F2CBE5C">
                  <w:pPr>
                    <w:jc w:val="center"/>
                    <w:rPr>
                      <w:szCs w:val="21"/>
                    </w:rPr>
                  </w:pPr>
                  <w:r>
                    <w:rPr>
                      <w:szCs w:val="21"/>
                      <w:lang w:bidi="ar"/>
                    </w:rPr>
                    <w:t>150-500</w:t>
                  </w:r>
                </w:p>
              </w:tc>
            </w:tr>
            <w:tr w14:paraId="31DD3C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7" w:type="dxa"/>
                  <w:tcBorders>
                    <w:top w:val="single" w:color="auto" w:sz="6" w:space="0"/>
                    <w:right w:val="single" w:color="auto" w:sz="6" w:space="0"/>
                  </w:tcBorders>
                  <w:vAlign w:val="center"/>
                </w:tcPr>
                <w:p w14:paraId="2886ED5F">
                  <w:pPr>
                    <w:jc w:val="center"/>
                    <w:rPr>
                      <w:szCs w:val="21"/>
                    </w:rPr>
                  </w:pPr>
                  <w:r>
                    <w:rPr>
                      <w:szCs w:val="21"/>
                      <w:lang w:bidi="ar"/>
                    </w:rPr>
                    <w:t>2</w:t>
                  </w:r>
                </w:p>
              </w:tc>
              <w:tc>
                <w:tcPr>
                  <w:tcW w:w="1557" w:type="dxa"/>
                  <w:tcBorders>
                    <w:top w:val="single" w:color="auto" w:sz="6" w:space="0"/>
                    <w:left w:val="single" w:color="auto" w:sz="6" w:space="0"/>
                    <w:right w:val="single" w:color="auto" w:sz="6" w:space="0"/>
                  </w:tcBorders>
                  <w:vAlign w:val="center"/>
                </w:tcPr>
                <w:p w14:paraId="4870177E">
                  <w:pPr>
                    <w:jc w:val="center"/>
                    <w:rPr>
                      <w:szCs w:val="21"/>
                    </w:rPr>
                  </w:pPr>
                  <w:bookmarkStart w:id="30" w:name="_Hlk89083888"/>
                  <w:r>
                    <w:rPr>
                      <w:szCs w:val="21"/>
                      <w:lang w:bidi="ar"/>
                    </w:rPr>
                    <w:t>下力溪冲居民</w:t>
                  </w:r>
                  <w:bookmarkEnd w:id="30"/>
                </w:p>
              </w:tc>
              <w:tc>
                <w:tcPr>
                  <w:tcW w:w="1072" w:type="dxa"/>
                  <w:tcBorders>
                    <w:top w:val="single" w:color="auto" w:sz="6" w:space="0"/>
                    <w:left w:val="single" w:color="auto" w:sz="6" w:space="0"/>
                    <w:right w:val="single" w:color="auto" w:sz="6" w:space="0"/>
                  </w:tcBorders>
                  <w:vAlign w:val="center"/>
                </w:tcPr>
                <w:p w14:paraId="22431432">
                  <w:pPr>
                    <w:jc w:val="center"/>
                    <w:rPr>
                      <w:szCs w:val="21"/>
                    </w:rPr>
                  </w:pPr>
                  <w:r>
                    <w:rPr>
                      <w:szCs w:val="21"/>
                      <w:lang w:bidi="ar"/>
                    </w:rPr>
                    <w:t>111.3056°</w:t>
                  </w:r>
                </w:p>
              </w:tc>
              <w:tc>
                <w:tcPr>
                  <w:tcW w:w="983" w:type="dxa"/>
                  <w:tcBorders>
                    <w:top w:val="single" w:color="auto" w:sz="6" w:space="0"/>
                    <w:left w:val="single" w:color="auto" w:sz="6" w:space="0"/>
                    <w:right w:val="single" w:color="auto" w:sz="6" w:space="0"/>
                  </w:tcBorders>
                  <w:vAlign w:val="center"/>
                </w:tcPr>
                <w:p w14:paraId="070645BE">
                  <w:pPr>
                    <w:jc w:val="center"/>
                    <w:rPr>
                      <w:szCs w:val="21"/>
                    </w:rPr>
                  </w:pPr>
                  <w:r>
                    <w:rPr>
                      <w:szCs w:val="21"/>
                      <w:lang w:bidi="ar"/>
                    </w:rPr>
                    <w:t>28.3855°</w:t>
                  </w:r>
                </w:p>
              </w:tc>
              <w:tc>
                <w:tcPr>
                  <w:tcW w:w="1098" w:type="dxa"/>
                  <w:tcBorders>
                    <w:top w:val="single" w:color="auto" w:sz="6" w:space="0"/>
                    <w:left w:val="single" w:color="auto" w:sz="6" w:space="0"/>
                    <w:right w:val="single" w:color="auto" w:sz="6" w:space="0"/>
                  </w:tcBorders>
                  <w:vAlign w:val="center"/>
                </w:tcPr>
                <w:p w14:paraId="60612DDB">
                  <w:pPr>
                    <w:jc w:val="center"/>
                    <w:rPr>
                      <w:szCs w:val="21"/>
                    </w:rPr>
                  </w:pPr>
                  <w:r>
                    <w:rPr>
                      <w:szCs w:val="21"/>
                      <w:lang w:bidi="ar"/>
                    </w:rPr>
                    <w:t>20户居民</w:t>
                  </w:r>
                </w:p>
              </w:tc>
              <w:tc>
                <w:tcPr>
                  <w:tcW w:w="642" w:type="dxa"/>
                  <w:vMerge w:val="continue"/>
                  <w:tcBorders>
                    <w:top w:val="single" w:color="auto" w:sz="6" w:space="0"/>
                    <w:left w:val="single" w:color="auto" w:sz="6" w:space="0"/>
                    <w:right w:val="single" w:color="auto" w:sz="6" w:space="0"/>
                  </w:tcBorders>
                  <w:vAlign w:val="center"/>
                </w:tcPr>
                <w:p w14:paraId="2E00A00D"/>
              </w:tc>
              <w:tc>
                <w:tcPr>
                  <w:tcW w:w="747" w:type="dxa"/>
                  <w:vMerge w:val="continue"/>
                  <w:tcBorders>
                    <w:top w:val="single" w:color="auto" w:sz="6" w:space="0"/>
                    <w:left w:val="single" w:color="auto" w:sz="6" w:space="0"/>
                    <w:right w:val="single" w:color="auto" w:sz="6" w:space="0"/>
                  </w:tcBorders>
                  <w:vAlign w:val="center"/>
                </w:tcPr>
                <w:p w14:paraId="44E58BAF"/>
              </w:tc>
              <w:tc>
                <w:tcPr>
                  <w:tcW w:w="695" w:type="dxa"/>
                  <w:tcBorders>
                    <w:top w:val="single" w:color="auto" w:sz="6" w:space="0"/>
                    <w:left w:val="single" w:color="auto" w:sz="6" w:space="0"/>
                    <w:right w:val="single" w:color="auto" w:sz="6" w:space="0"/>
                  </w:tcBorders>
                  <w:vAlign w:val="center"/>
                </w:tcPr>
                <w:p w14:paraId="45945E2E">
                  <w:pPr>
                    <w:jc w:val="center"/>
                    <w:rPr>
                      <w:szCs w:val="21"/>
                    </w:rPr>
                  </w:pPr>
                  <w:r>
                    <w:rPr>
                      <w:szCs w:val="21"/>
                      <w:lang w:bidi="ar"/>
                    </w:rPr>
                    <w:t>EN</w:t>
                  </w:r>
                </w:p>
              </w:tc>
              <w:tc>
                <w:tcPr>
                  <w:tcW w:w="961" w:type="dxa"/>
                  <w:tcBorders>
                    <w:top w:val="single" w:color="auto" w:sz="6" w:space="0"/>
                    <w:left w:val="single" w:color="auto" w:sz="6" w:space="0"/>
                  </w:tcBorders>
                  <w:vAlign w:val="center"/>
                </w:tcPr>
                <w:p w14:paraId="15020B1F">
                  <w:pPr>
                    <w:jc w:val="center"/>
                    <w:rPr>
                      <w:szCs w:val="21"/>
                    </w:rPr>
                  </w:pPr>
                  <w:r>
                    <w:rPr>
                      <w:szCs w:val="21"/>
                      <w:lang w:bidi="ar"/>
                    </w:rPr>
                    <w:t>260-500</w:t>
                  </w:r>
                </w:p>
              </w:tc>
            </w:tr>
          </w:tbl>
          <w:p w14:paraId="73AA783B">
            <w:pPr>
              <w:tabs>
                <w:tab w:val="left" w:pos="2196"/>
              </w:tabs>
              <w:spacing w:line="360" w:lineRule="auto"/>
              <w:jc w:val="center"/>
              <w:rPr>
                <w:b/>
                <w:color w:val="000000"/>
                <w:sz w:val="24"/>
                <w:szCs w:val="24"/>
              </w:rPr>
            </w:pPr>
          </w:p>
          <w:p w14:paraId="5581B443">
            <w:pPr>
              <w:wordWrap w:val="0"/>
              <w:autoSpaceDE w:val="0"/>
              <w:autoSpaceDN w:val="0"/>
              <w:adjustRightInd w:val="0"/>
              <w:spacing w:line="360" w:lineRule="auto"/>
              <w:textAlignment w:val="baseline"/>
              <w:rPr>
                <w:b/>
                <w:bCs/>
                <w:color w:val="000000"/>
                <w:kern w:val="0"/>
                <w:sz w:val="24"/>
                <w:szCs w:val="24"/>
              </w:rPr>
            </w:pPr>
            <w:r>
              <w:rPr>
                <w:b/>
                <w:bCs/>
                <w:color w:val="000000"/>
                <w:kern w:val="0"/>
                <w:sz w:val="24"/>
                <w:szCs w:val="24"/>
              </w:rPr>
              <w:t>2 声环境</w:t>
            </w:r>
          </w:p>
          <w:p w14:paraId="31C6DBF4">
            <w:pPr>
              <w:wordWrap w:val="0"/>
              <w:autoSpaceDE w:val="0"/>
              <w:autoSpaceDN w:val="0"/>
              <w:adjustRightInd w:val="0"/>
              <w:spacing w:line="360" w:lineRule="auto"/>
              <w:ind w:firstLine="480" w:firstLineChars="200"/>
              <w:textAlignment w:val="baseline"/>
              <w:rPr>
                <w:color w:val="000000"/>
                <w:kern w:val="0"/>
                <w:sz w:val="24"/>
                <w:szCs w:val="24"/>
              </w:rPr>
            </w:pPr>
            <w:r>
              <w:rPr>
                <w:color w:val="000000"/>
                <w:kern w:val="0"/>
                <w:sz w:val="24"/>
                <w:szCs w:val="24"/>
              </w:rPr>
              <w:t>本项目厂界外50米范围内无声环境保护目标。</w:t>
            </w:r>
          </w:p>
          <w:p w14:paraId="0BD875E1">
            <w:pPr>
              <w:wordWrap w:val="0"/>
              <w:autoSpaceDE w:val="0"/>
              <w:autoSpaceDN w:val="0"/>
              <w:adjustRightInd w:val="0"/>
              <w:spacing w:line="360" w:lineRule="auto"/>
              <w:textAlignment w:val="baseline"/>
              <w:rPr>
                <w:b/>
                <w:bCs/>
                <w:color w:val="000000"/>
                <w:kern w:val="0"/>
                <w:sz w:val="24"/>
                <w:szCs w:val="24"/>
              </w:rPr>
            </w:pPr>
            <w:r>
              <w:rPr>
                <w:b/>
                <w:bCs/>
                <w:color w:val="000000"/>
                <w:kern w:val="0"/>
                <w:sz w:val="24"/>
                <w:szCs w:val="24"/>
              </w:rPr>
              <w:t>3 地表水环境</w:t>
            </w:r>
          </w:p>
          <w:p w14:paraId="29FBB0B2">
            <w:pPr>
              <w:wordWrap w:val="0"/>
              <w:autoSpaceDE w:val="0"/>
              <w:autoSpaceDN w:val="0"/>
              <w:adjustRightInd w:val="0"/>
              <w:spacing w:line="360" w:lineRule="auto"/>
              <w:jc w:val="center"/>
              <w:textAlignment w:val="baseline"/>
              <w:rPr>
                <w:b/>
                <w:color w:val="000000"/>
                <w:sz w:val="24"/>
                <w:szCs w:val="24"/>
              </w:rPr>
            </w:pPr>
            <w:r>
              <w:rPr>
                <w:b/>
                <w:color w:val="000000"/>
                <w:sz w:val="24"/>
                <w:szCs w:val="24"/>
              </w:rPr>
              <w:t>表3-4  地表水环境保护目标一览表</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104"/>
              <w:gridCol w:w="1217"/>
              <w:gridCol w:w="1217"/>
              <w:gridCol w:w="1804"/>
              <w:gridCol w:w="1158"/>
              <w:gridCol w:w="1200"/>
            </w:tblGrid>
            <w:tr w14:paraId="18ABAA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1" w:type="pct"/>
                  <w:tcBorders>
                    <w:bottom w:val="single" w:color="auto" w:sz="4" w:space="0"/>
                    <w:right w:val="single" w:color="auto" w:sz="4" w:space="0"/>
                  </w:tcBorders>
                  <w:vAlign w:val="center"/>
                </w:tcPr>
                <w:p w14:paraId="5EAC534A">
                  <w:pPr>
                    <w:wordWrap w:val="0"/>
                    <w:autoSpaceDE w:val="0"/>
                    <w:autoSpaceDN w:val="0"/>
                    <w:adjustRightInd w:val="0"/>
                    <w:jc w:val="center"/>
                    <w:textAlignment w:val="baseline"/>
                    <w:rPr>
                      <w:b/>
                      <w:bCs/>
                      <w:kern w:val="0"/>
                      <w:szCs w:val="21"/>
                    </w:rPr>
                  </w:pPr>
                  <w:r>
                    <w:rPr>
                      <w:b/>
                      <w:bCs/>
                      <w:kern w:val="0"/>
                      <w:szCs w:val="21"/>
                      <w:lang w:bidi="ar"/>
                    </w:rPr>
                    <w:t>名称</w:t>
                  </w:r>
                </w:p>
              </w:tc>
              <w:tc>
                <w:tcPr>
                  <w:tcW w:w="660" w:type="pct"/>
                  <w:tcBorders>
                    <w:left w:val="single" w:color="auto" w:sz="4" w:space="0"/>
                    <w:bottom w:val="single" w:color="auto" w:sz="4" w:space="0"/>
                    <w:right w:val="single" w:color="auto" w:sz="4" w:space="0"/>
                  </w:tcBorders>
                  <w:vAlign w:val="center"/>
                </w:tcPr>
                <w:p w14:paraId="46F7FC6E">
                  <w:pPr>
                    <w:wordWrap w:val="0"/>
                    <w:autoSpaceDE w:val="0"/>
                    <w:autoSpaceDN w:val="0"/>
                    <w:adjustRightInd w:val="0"/>
                    <w:jc w:val="center"/>
                    <w:textAlignment w:val="baseline"/>
                    <w:rPr>
                      <w:b/>
                      <w:bCs/>
                      <w:kern w:val="0"/>
                      <w:szCs w:val="21"/>
                    </w:rPr>
                  </w:pPr>
                  <w:r>
                    <w:rPr>
                      <w:b/>
                      <w:bCs/>
                      <w:kern w:val="0"/>
                      <w:szCs w:val="21"/>
                      <w:lang w:bidi="ar"/>
                    </w:rPr>
                    <w:t>坐标</w:t>
                  </w:r>
                </w:p>
              </w:tc>
              <w:tc>
                <w:tcPr>
                  <w:tcW w:w="728" w:type="pct"/>
                  <w:tcBorders>
                    <w:left w:val="single" w:color="auto" w:sz="4" w:space="0"/>
                    <w:bottom w:val="single" w:color="auto" w:sz="4" w:space="0"/>
                    <w:right w:val="single" w:color="auto" w:sz="4" w:space="0"/>
                  </w:tcBorders>
                  <w:vAlign w:val="center"/>
                </w:tcPr>
                <w:p w14:paraId="7D0AD870">
                  <w:pPr>
                    <w:wordWrap w:val="0"/>
                    <w:autoSpaceDE w:val="0"/>
                    <w:autoSpaceDN w:val="0"/>
                    <w:adjustRightInd w:val="0"/>
                    <w:jc w:val="center"/>
                    <w:textAlignment w:val="baseline"/>
                    <w:rPr>
                      <w:b/>
                      <w:bCs/>
                      <w:kern w:val="0"/>
                      <w:szCs w:val="21"/>
                    </w:rPr>
                  </w:pPr>
                  <w:r>
                    <w:rPr>
                      <w:b/>
                      <w:bCs/>
                      <w:kern w:val="0"/>
                      <w:szCs w:val="21"/>
                      <w:lang w:bidi="ar"/>
                    </w:rPr>
                    <w:t>保护对象</w:t>
                  </w:r>
                </w:p>
              </w:tc>
              <w:tc>
                <w:tcPr>
                  <w:tcW w:w="728" w:type="pct"/>
                  <w:tcBorders>
                    <w:left w:val="single" w:color="auto" w:sz="4" w:space="0"/>
                    <w:bottom w:val="single" w:color="auto" w:sz="4" w:space="0"/>
                    <w:right w:val="single" w:color="auto" w:sz="4" w:space="0"/>
                  </w:tcBorders>
                  <w:vAlign w:val="center"/>
                </w:tcPr>
                <w:p w14:paraId="184C4805">
                  <w:pPr>
                    <w:wordWrap w:val="0"/>
                    <w:autoSpaceDE w:val="0"/>
                    <w:autoSpaceDN w:val="0"/>
                    <w:adjustRightInd w:val="0"/>
                    <w:jc w:val="center"/>
                    <w:textAlignment w:val="baseline"/>
                    <w:rPr>
                      <w:b/>
                      <w:bCs/>
                      <w:kern w:val="0"/>
                      <w:szCs w:val="21"/>
                    </w:rPr>
                  </w:pPr>
                  <w:r>
                    <w:rPr>
                      <w:b/>
                      <w:bCs/>
                      <w:kern w:val="0"/>
                      <w:szCs w:val="21"/>
                      <w:lang w:bidi="ar"/>
                    </w:rPr>
                    <w:t>保护内容</w:t>
                  </w:r>
                </w:p>
              </w:tc>
              <w:tc>
                <w:tcPr>
                  <w:tcW w:w="1079" w:type="pct"/>
                  <w:tcBorders>
                    <w:left w:val="single" w:color="auto" w:sz="4" w:space="0"/>
                    <w:bottom w:val="single" w:color="auto" w:sz="4" w:space="0"/>
                    <w:right w:val="single" w:color="auto" w:sz="4" w:space="0"/>
                  </w:tcBorders>
                  <w:vAlign w:val="center"/>
                </w:tcPr>
                <w:p w14:paraId="74ACA0B2">
                  <w:pPr>
                    <w:wordWrap w:val="0"/>
                    <w:autoSpaceDE w:val="0"/>
                    <w:autoSpaceDN w:val="0"/>
                    <w:adjustRightInd w:val="0"/>
                    <w:jc w:val="center"/>
                    <w:textAlignment w:val="baseline"/>
                    <w:rPr>
                      <w:b/>
                      <w:bCs/>
                      <w:kern w:val="0"/>
                      <w:szCs w:val="21"/>
                    </w:rPr>
                  </w:pPr>
                  <w:r>
                    <w:rPr>
                      <w:b/>
                      <w:bCs/>
                      <w:kern w:val="0"/>
                      <w:szCs w:val="21"/>
                      <w:lang w:bidi="ar"/>
                    </w:rPr>
                    <w:t>环境功能区</w:t>
                  </w:r>
                </w:p>
              </w:tc>
              <w:tc>
                <w:tcPr>
                  <w:tcW w:w="693" w:type="pct"/>
                  <w:tcBorders>
                    <w:left w:val="single" w:color="auto" w:sz="4" w:space="0"/>
                    <w:bottom w:val="single" w:color="auto" w:sz="4" w:space="0"/>
                    <w:right w:val="single" w:color="auto" w:sz="4" w:space="0"/>
                  </w:tcBorders>
                  <w:vAlign w:val="center"/>
                </w:tcPr>
                <w:p w14:paraId="241C0FB3">
                  <w:pPr>
                    <w:wordWrap w:val="0"/>
                    <w:autoSpaceDE w:val="0"/>
                    <w:autoSpaceDN w:val="0"/>
                    <w:adjustRightInd w:val="0"/>
                    <w:jc w:val="center"/>
                    <w:textAlignment w:val="baseline"/>
                    <w:rPr>
                      <w:b/>
                      <w:szCs w:val="21"/>
                    </w:rPr>
                  </w:pPr>
                  <w:r>
                    <w:rPr>
                      <w:b/>
                      <w:szCs w:val="21"/>
                      <w:lang w:bidi="ar"/>
                    </w:rPr>
                    <w:t>相对厂址方位</w:t>
                  </w:r>
                </w:p>
              </w:tc>
              <w:tc>
                <w:tcPr>
                  <w:tcW w:w="718" w:type="pct"/>
                  <w:tcBorders>
                    <w:left w:val="single" w:color="auto" w:sz="4" w:space="0"/>
                    <w:bottom w:val="single" w:color="auto" w:sz="4" w:space="0"/>
                  </w:tcBorders>
                  <w:vAlign w:val="center"/>
                </w:tcPr>
                <w:p w14:paraId="3355FAED">
                  <w:pPr>
                    <w:wordWrap w:val="0"/>
                    <w:autoSpaceDE w:val="0"/>
                    <w:autoSpaceDN w:val="0"/>
                    <w:adjustRightInd w:val="0"/>
                    <w:jc w:val="center"/>
                    <w:textAlignment w:val="baseline"/>
                    <w:rPr>
                      <w:kern w:val="0"/>
                      <w:szCs w:val="21"/>
                    </w:rPr>
                  </w:pPr>
                  <w:r>
                    <w:rPr>
                      <w:b/>
                      <w:szCs w:val="21"/>
                      <w:lang w:bidi="ar"/>
                    </w:rPr>
                    <w:t>相对厂界距离/m</w:t>
                  </w:r>
                </w:p>
              </w:tc>
            </w:tr>
            <w:tr w14:paraId="7093D8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1" w:type="pct"/>
                  <w:tcBorders>
                    <w:top w:val="single" w:color="auto" w:sz="4" w:space="0"/>
                    <w:right w:val="single" w:color="auto" w:sz="4" w:space="0"/>
                  </w:tcBorders>
                  <w:vAlign w:val="center"/>
                </w:tcPr>
                <w:p w14:paraId="16DFC9F1">
                  <w:pPr>
                    <w:wordWrap w:val="0"/>
                    <w:autoSpaceDE w:val="0"/>
                    <w:autoSpaceDN w:val="0"/>
                    <w:adjustRightInd w:val="0"/>
                    <w:jc w:val="center"/>
                    <w:textAlignment w:val="baseline"/>
                    <w:rPr>
                      <w:kern w:val="0"/>
                      <w:szCs w:val="21"/>
                    </w:rPr>
                  </w:pPr>
                  <w:r>
                    <w:rPr>
                      <w:kern w:val="0"/>
                      <w:szCs w:val="21"/>
                      <w:lang w:bidi="ar"/>
                    </w:rPr>
                    <w:t>资江</w:t>
                  </w:r>
                </w:p>
              </w:tc>
              <w:tc>
                <w:tcPr>
                  <w:tcW w:w="660" w:type="pct"/>
                  <w:tcBorders>
                    <w:top w:val="single" w:color="auto" w:sz="4" w:space="0"/>
                    <w:left w:val="single" w:color="auto" w:sz="4" w:space="0"/>
                    <w:right w:val="single" w:color="auto" w:sz="4" w:space="0"/>
                  </w:tcBorders>
                  <w:vAlign w:val="center"/>
                </w:tcPr>
                <w:p w14:paraId="57EBCE00">
                  <w:pPr>
                    <w:wordWrap w:val="0"/>
                    <w:autoSpaceDE w:val="0"/>
                    <w:autoSpaceDN w:val="0"/>
                    <w:adjustRightInd w:val="0"/>
                    <w:jc w:val="center"/>
                    <w:textAlignment w:val="baseline"/>
                    <w:rPr>
                      <w:kern w:val="0"/>
                      <w:szCs w:val="21"/>
                    </w:rPr>
                  </w:pPr>
                  <w:r>
                    <w:rPr>
                      <w:kern w:val="0"/>
                      <w:szCs w:val="21"/>
                      <w:lang w:bidi="ar"/>
                    </w:rPr>
                    <w:t>/</w:t>
                  </w:r>
                </w:p>
              </w:tc>
              <w:tc>
                <w:tcPr>
                  <w:tcW w:w="1456" w:type="pct"/>
                  <w:gridSpan w:val="2"/>
                  <w:tcBorders>
                    <w:top w:val="single" w:color="auto" w:sz="4" w:space="0"/>
                    <w:left w:val="single" w:color="auto" w:sz="4" w:space="0"/>
                    <w:right w:val="single" w:color="auto" w:sz="4" w:space="0"/>
                  </w:tcBorders>
                  <w:vAlign w:val="center"/>
                </w:tcPr>
                <w:p w14:paraId="1FA5A3A7">
                  <w:pPr>
                    <w:wordWrap w:val="0"/>
                    <w:autoSpaceDE w:val="0"/>
                    <w:autoSpaceDN w:val="0"/>
                    <w:adjustRightInd w:val="0"/>
                    <w:jc w:val="center"/>
                    <w:textAlignment w:val="baseline"/>
                    <w:rPr>
                      <w:kern w:val="0"/>
                      <w:szCs w:val="21"/>
                    </w:rPr>
                  </w:pPr>
                  <w:r>
                    <w:rPr>
                      <w:rFonts w:hint="eastAsia"/>
                      <w:kern w:val="0"/>
                      <w:szCs w:val="21"/>
                      <w:lang w:bidi="ar"/>
                    </w:rPr>
                    <w:t>渔业</w:t>
                  </w:r>
                  <w:r>
                    <w:rPr>
                      <w:kern w:val="0"/>
                      <w:szCs w:val="21"/>
                      <w:lang w:bidi="ar"/>
                    </w:rPr>
                    <w:t>用水</w:t>
                  </w:r>
                </w:p>
              </w:tc>
              <w:tc>
                <w:tcPr>
                  <w:tcW w:w="1079" w:type="pct"/>
                  <w:tcBorders>
                    <w:top w:val="single" w:color="auto" w:sz="4" w:space="0"/>
                    <w:left w:val="single" w:color="auto" w:sz="4" w:space="0"/>
                    <w:right w:val="single" w:color="auto" w:sz="4" w:space="0"/>
                  </w:tcBorders>
                  <w:vAlign w:val="center"/>
                </w:tcPr>
                <w:p w14:paraId="2D105203">
                  <w:pPr>
                    <w:wordWrap w:val="0"/>
                    <w:autoSpaceDE w:val="0"/>
                    <w:autoSpaceDN w:val="0"/>
                    <w:adjustRightInd w:val="0"/>
                    <w:jc w:val="center"/>
                    <w:textAlignment w:val="baseline"/>
                    <w:rPr>
                      <w:kern w:val="0"/>
                      <w:szCs w:val="21"/>
                    </w:rPr>
                  </w:pPr>
                  <w:r>
                    <w:rPr>
                      <w:kern w:val="0"/>
                      <w:szCs w:val="21"/>
                      <w:lang w:bidi="ar"/>
                    </w:rPr>
                    <w:t>GB3838-2002</w:t>
                  </w:r>
                </w:p>
                <w:p w14:paraId="215FF013">
                  <w:pPr>
                    <w:wordWrap w:val="0"/>
                    <w:autoSpaceDE w:val="0"/>
                    <w:autoSpaceDN w:val="0"/>
                    <w:adjustRightInd w:val="0"/>
                    <w:jc w:val="center"/>
                    <w:textAlignment w:val="baseline"/>
                    <w:rPr>
                      <w:kern w:val="0"/>
                      <w:szCs w:val="21"/>
                    </w:rPr>
                  </w:pPr>
                  <w:r>
                    <w:rPr>
                      <w:kern w:val="0"/>
                      <w:szCs w:val="21"/>
                      <w:lang w:bidi="ar"/>
                    </w:rPr>
                    <w:t>III类标准</w:t>
                  </w:r>
                </w:p>
              </w:tc>
              <w:tc>
                <w:tcPr>
                  <w:tcW w:w="693" w:type="pct"/>
                  <w:tcBorders>
                    <w:top w:val="single" w:color="auto" w:sz="4" w:space="0"/>
                    <w:left w:val="single" w:color="auto" w:sz="4" w:space="0"/>
                    <w:right w:val="single" w:color="auto" w:sz="4" w:space="0"/>
                  </w:tcBorders>
                  <w:vAlign w:val="center"/>
                </w:tcPr>
                <w:p w14:paraId="45BD577B">
                  <w:pPr>
                    <w:wordWrap w:val="0"/>
                    <w:autoSpaceDE w:val="0"/>
                    <w:autoSpaceDN w:val="0"/>
                    <w:adjustRightInd w:val="0"/>
                    <w:jc w:val="center"/>
                    <w:textAlignment w:val="baseline"/>
                    <w:rPr>
                      <w:kern w:val="0"/>
                      <w:szCs w:val="21"/>
                    </w:rPr>
                  </w:pPr>
                  <w:r>
                    <w:rPr>
                      <w:kern w:val="0"/>
                      <w:szCs w:val="21"/>
                      <w:lang w:bidi="ar"/>
                    </w:rPr>
                    <w:t>北</w:t>
                  </w:r>
                </w:p>
              </w:tc>
              <w:tc>
                <w:tcPr>
                  <w:tcW w:w="718" w:type="pct"/>
                  <w:tcBorders>
                    <w:top w:val="single" w:color="auto" w:sz="4" w:space="0"/>
                    <w:left w:val="single" w:color="auto" w:sz="4" w:space="0"/>
                  </w:tcBorders>
                  <w:vAlign w:val="center"/>
                </w:tcPr>
                <w:p w14:paraId="3AE962D5">
                  <w:pPr>
                    <w:wordWrap w:val="0"/>
                    <w:autoSpaceDE w:val="0"/>
                    <w:autoSpaceDN w:val="0"/>
                    <w:adjustRightInd w:val="0"/>
                    <w:jc w:val="center"/>
                    <w:textAlignment w:val="baseline"/>
                    <w:rPr>
                      <w:kern w:val="0"/>
                      <w:szCs w:val="21"/>
                    </w:rPr>
                  </w:pPr>
                  <w:r>
                    <w:rPr>
                      <w:kern w:val="0"/>
                      <w:szCs w:val="21"/>
                      <w:lang w:bidi="ar"/>
                    </w:rPr>
                    <w:t>560</w:t>
                  </w:r>
                </w:p>
              </w:tc>
            </w:tr>
          </w:tbl>
          <w:p w14:paraId="2BEDA67D">
            <w:pPr>
              <w:wordWrap w:val="0"/>
              <w:autoSpaceDE w:val="0"/>
              <w:autoSpaceDN w:val="0"/>
              <w:adjustRightInd w:val="0"/>
              <w:spacing w:line="360" w:lineRule="auto"/>
              <w:textAlignment w:val="baseline"/>
              <w:rPr>
                <w:b/>
                <w:bCs/>
                <w:color w:val="000000"/>
                <w:kern w:val="0"/>
                <w:sz w:val="24"/>
                <w:szCs w:val="24"/>
              </w:rPr>
            </w:pPr>
            <w:r>
              <w:rPr>
                <w:b/>
                <w:bCs/>
                <w:color w:val="000000"/>
                <w:kern w:val="0"/>
                <w:sz w:val="24"/>
                <w:szCs w:val="24"/>
              </w:rPr>
              <w:t>4 地下水环境</w:t>
            </w:r>
          </w:p>
          <w:p w14:paraId="40BA6E46">
            <w:pPr>
              <w:wordWrap w:val="0"/>
              <w:autoSpaceDE w:val="0"/>
              <w:autoSpaceDN w:val="0"/>
              <w:adjustRightInd w:val="0"/>
              <w:spacing w:line="360" w:lineRule="auto"/>
              <w:ind w:firstLine="480" w:firstLineChars="200"/>
              <w:textAlignment w:val="baseline"/>
              <w:rPr>
                <w:color w:val="000000"/>
                <w:kern w:val="0"/>
                <w:sz w:val="24"/>
                <w:szCs w:val="24"/>
              </w:rPr>
            </w:pPr>
            <w:r>
              <w:rPr>
                <w:color w:val="000000"/>
                <w:kern w:val="0"/>
                <w:sz w:val="24"/>
                <w:szCs w:val="24"/>
              </w:rPr>
              <w:t>本项目厂界外500米范围内无地下水集中式饮用水水源和热水、矿泉水、温泉等特殊地下水资源。</w:t>
            </w:r>
          </w:p>
          <w:p w14:paraId="098672DB">
            <w:pPr>
              <w:wordWrap w:val="0"/>
              <w:autoSpaceDE w:val="0"/>
              <w:autoSpaceDN w:val="0"/>
              <w:adjustRightInd w:val="0"/>
              <w:spacing w:line="360" w:lineRule="auto"/>
              <w:textAlignment w:val="baseline"/>
              <w:rPr>
                <w:b/>
                <w:bCs/>
                <w:color w:val="000000"/>
                <w:kern w:val="0"/>
                <w:sz w:val="24"/>
                <w:szCs w:val="24"/>
              </w:rPr>
            </w:pPr>
            <w:r>
              <w:rPr>
                <w:b/>
                <w:bCs/>
                <w:color w:val="000000"/>
                <w:kern w:val="0"/>
                <w:sz w:val="24"/>
                <w:szCs w:val="24"/>
              </w:rPr>
              <w:t>5 生态环境</w:t>
            </w:r>
          </w:p>
          <w:p w14:paraId="3B0F9EA7">
            <w:pPr>
              <w:wordWrap w:val="0"/>
              <w:autoSpaceDE w:val="0"/>
              <w:autoSpaceDN w:val="0"/>
              <w:adjustRightInd w:val="0"/>
              <w:spacing w:line="360" w:lineRule="auto"/>
              <w:ind w:firstLine="480" w:firstLineChars="200"/>
              <w:textAlignment w:val="baseline"/>
              <w:rPr>
                <w:color w:val="000000"/>
                <w:kern w:val="0"/>
                <w:sz w:val="24"/>
                <w:szCs w:val="24"/>
              </w:rPr>
            </w:pPr>
            <w:r>
              <w:rPr>
                <w:color w:val="000000"/>
                <w:kern w:val="0"/>
                <w:sz w:val="24"/>
                <w:szCs w:val="24"/>
              </w:rPr>
              <w:t>本项目位于</w:t>
            </w:r>
            <w:r>
              <w:rPr>
                <w:spacing w:val="-6"/>
                <w:sz w:val="24"/>
                <w:szCs w:val="24"/>
              </w:rPr>
              <w:t>东坪镇茶家村茶语路南茶西路北B-02栋标准化厂房</w:t>
            </w:r>
            <w:r>
              <w:rPr>
                <w:color w:val="000000"/>
                <w:kern w:val="0"/>
                <w:sz w:val="24"/>
                <w:szCs w:val="24"/>
              </w:rPr>
              <w:t>，用地范围内无生态环境保护目标。</w:t>
            </w:r>
          </w:p>
        </w:tc>
      </w:tr>
      <w:tr w14:paraId="203EA3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9" w:type="dxa"/>
            <w:tcBorders>
              <w:top w:val="single" w:color="auto" w:sz="4" w:space="0"/>
              <w:left w:val="single" w:color="auto" w:sz="8" w:space="0"/>
              <w:bottom w:val="single" w:color="auto" w:sz="4" w:space="0"/>
              <w:right w:val="single" w:color="auto" w:sz="4" w:space="0"/>
            </w:tcBorders>
            <w:vAlign w:val="center"/>
          </w:tcPr>
          <w:p w14:paraId="1B7E3BC5">
            <w:pPr>
              <w:spacing w:line="360" w:lineRule="auto"/>
              <w:jc w:val="center"/>
              <w:rPr>
                <w:color w:val="000000"/>
                <w:kern w:val="0"/>
                <w:sz w:val="24"/>
                <w:szCs w:val="24"/>
              </w:rPr>
            </w:pPr>
            <w:r>
              <w:rPr>
                <w:color w:val="000000"/>
                <w:kern w:val="0"/>
                <w:sz w:val="24"/>
                <w:szCs w:val="24"/>
              </w:rPr>
              <w:t>污染物排放控制标准</w:t>
            </w:r>
          </w:p>
        </w:tc>
        <w:tc>
          <w:tcPr>
            <w:tcW w:w="8603" w:type="dxa"/>
            <w:tcBorders>
              <w:top w:val="single" w:color="auto" w:sz="4" w:space="0"/>
              <w:left w:val="single" w:color="auto" w:sz="4" w:space="0"/>
              <w:bottom w:val="single" w:color="auto" w:sz="4" w:space="0"/>
              <w:right w:val="single" w:color="auto" w:sz="8" w:space="0"/>
            </w:tcBorders>
            <w:vAlign w:val="center"/>
          </w:tcPr>
          <w:p w14:paraId="768F90FF">
            <w:pPr>
              <w:autoSpaceDE w:val="0"/>
              <w:autoSpaceDN w:val="0"/>
              <w:adjustRightInd w:val="0"/>
              <w:spacing w:line="360" w:lineRule="auto"/>
              <w:textAlignment w:val="baseline"/>
              <w:rPr>
                <w:b/>
                <w:bCs/>
                <w:color w:val="000000"/>
                <w:kern w:val="0"/>
                <w:sz w:val="24"/>
                <w:szCs w:val="24"/>
              </w:rPr>
            </w:pPr>
            <w:r>
              <w:rPr>
                <w:b/>
                <w:bCs/>
                <w:color w:val="000000"/>
                <w:kern w:val="0"/>
                <w:sz w:val="24"/>
                <w:szCs w:val="24"/>
              </w:rPr>
              <w:t>1 大气污染物</w:t>
            </w:r>
          </w:p>
          <w:p w14:paraId="53267C03">
            <w:pPr>
              <w:spacing w:line="360" w:lineRule="auto"/>
              <w:ind w:firstLine="480" w:firstLineChars="200"/>
              <w:rPr>
                <w:sz w:val="24"/>
                <w:szCs w:val="24"/>
              </w:rPr>
            </w:pPr>
            <w:r>
              <w:rPr>
                <w:sz w:val="24"/>
                <w:szCs w:val="24"/>
              </w:rPr>
              <w:t>生物质气化锅炉烟气执行《锅炉大气污染物排放标准》（GB13271-2014）中表3燃气锅炉大气污染物特别排放限值；天然气燃烧废气执行《大气</w:t>
            </w:r>
            <w:r>
              <w:rPr>
                <w:rFonts w:hint="eastAsia"/>
                <w:sz w:val="24"/>
                <w:szCs w:val="24"/>
                <w:lang w:eastAsia="zh-CN"/>
              </w:rPr>
              <w:t>污染物</w:t>
            </w:r>
            <w:r>
              <w:rPr>
                <w:sz w:val="24"/>
                <w:szCs w:val="24"/>
              </w:rPr>
              <w:t>综合排放标准》（GB 16297-1996）表2中无组织排放浓度限值要求；生产过程中的车间异味（臭气浓度）执行《恶臭污染物排放标准》（GB14554-93）表1中二级标准，</w:t>
            </w:r>
            <w:r>
              <w:rPr>
                <w:rFonts w:hint="eastAsia"/>
                <w:sz w:val="24"/>
                <w:szCs w:val="24"/>
              </w:rPr>
              <w:t>熬制</w:t>
            </w:r>
            <w:r>
              <w:rPr>
                <w:sz w:val="24"/>
                <w:szCs w:val="24"/>
                <w:lang w:bidi="ar"/>
              </w:rPr>
              <w:t>油烟执行《饮食业油烟排放标准（试行）》（GB1848</w:t>
            </w:r>
            <w:r>
              <w:rPr>
                <w:color w:val="000000"/>
                <w:sz w:val="24"/>
                <w:szCs w:val="24"/>
                <w:lang w:bidi="ar"/>
              </w:rPr>
              <w:t>3-2001）</w:t>
            </w:r>
            <w:r>
              <w:rPr>
                <w:sz w:val="24"/>
                <w:szCs w:val="24"/>
              </w:rPr>
              <w:t>。</w:t>
            </w:r>
          </w:p>
          <w:p w14:paraId="33AFA3D8">
            <w:pPr>
              <w:wordWrap w:val="0"/>
              <w:autoSpaceDE w:val="0"/>
              <w:autoSpaceDN w:val="0"/>
              <w:adjustRightInd w:val="0"/>
              <w:spacing w:line="360" w:lineRule="auto"/>
              <w:jc w:val="center"/>
              <w:textAlignment w:val="baseline"/>
              <w:rPr>
                <w:b/>
                <w:bCs/>
                <w:kern w:val="0"/>
                <w:sz w:val="24"/>
                <w:szCs w:val="24"/>
              </w:rPr>
            </w:pPr>
          </w:p>
          <w:p w14:paraId="0D4552C9">
            <w:pPr>
              <w:wordWrap w:val="0"/>
              <w:autoSpaceDE w:val="0"/>
              <w:autoSpaceDN w:val="0"/>
              <w:adjustRightInd w:val="0"/>
              <w:spacing w:line="360" w:lineRule="auto"/>
              <w:jc w:val="center"/>
              <w:textAlignment w:val="baseline"/>
              <w:rPr>
                <w:b/>
                <w:bCs/>
                <w:kern w:val="0"/>
                <w:sz w:val="24"/>
                <w:szCs w:val="24"/>
              </w:rPr>
            </w:pPr>
          </w:p>
          <w:p w14:paraId="339FD020">
            <w:pPr>
              <w:wordWrap w:val="0"/>
              <w:autoSpaceDE w:val="0"/>
              <w:autoSpaceDN w:val="0"/>
              <w:adjustRightInd w:val="0"/>
              <w:spacing w:line="360" w:lineRule="auto"/>
              <w:jc w:val="center"/>
              <w:textAlignment w:val="baseline"/>
              <w:rPr>
                <w:b/>
                <w:bCs/>
                <w:kern w:val="0"/>
                <w:sz w:val="24"/>
                <w:szCs w:val="24"/>
              </w:rPr>
            </w:pPr>
          </w:p>
          <w:p w14:paraId="7524BACD">
            <w:pPr>
              <w:wordWrap w:val="0"/>
              <w:autoSpaceDE w:val="0"/>
              <w:autoSpaceDN w:val="0"/>
              <w:adjustRightInd w:val="0"/>
              <w:spacing w:line="360" w:lineRule="auto"/>
              <w:jc w:val="center"/>
              <w:textAlignment w:val="baseline"/>
              <w:rPr>
                <w:b/>
                <w:bCs/>
                <w:kern w:val="0"/>
                <w:sz w:val="24"/>
                <w:szCs w:val="24"/>
              </w:rPr>
            </w:pPr>
            <w:r>
              <w:rPr>
                <w:b/>
                <w:bCs/>
                <w:kern w:val="0"/>
                <w:sz w:val="24"/>
                <w:szCs w:val="24"/>
              </w:rPr>
              <w:t>表3-5  《锅炉大气污染物排放标准》（GB13271-2014）</w:t>
            </w:r>
          </w:p>
          <w:tbl>
            <w:tblPr>
              <w:tblStyle w:val="24"/>
              <w:tblW w:w="8387"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290"/>
              <w:gridCol w:w="2552"/>
              <w:gridCol w:w="2545"/>
            </w:tblGrid>
            <w:tr w14:paraId="2AE627D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61" w:type="pct"/>
                  <w:vMerge w:val="restart"/>
                  <w:tcBorders>
                    <w:top w:val="single" w:color="auto" w:sz="12" w:space="0"/>
                    <w:left w:val="single" w:color="auto" w:sz="12" w:space="0"/>
                    <w:bottom w:val="single" w:color="auto" w:sz="6" w:space="0"/>
                    <w:right w:val="single" w:color="auto" w:sz="6" w:space="0"/>
                  </w:tcBorders>
                  <w:vAlign w:val="center"/>
                </w:tcPr>
                <w:p w14:paraId="2D83D6E5">
                  <w:pPr>
                    <w:pStyle w:val="50"/>
                    <w:spacing w:before="24"/>
                    <w:rPr>
                      <w:rFonts w:ascii="Times New Roman" w:hAnsi="Times New Roman"/>
                      <w:b/>
                      <w:bCs/>
                      <w:color w:val="000000"/>
                      <w:szCs w:val="21"/>
                    </w:rPr>
                  </w:pPr>
                  <w:r>
                    <w:rPr>
                      <w:rFonts w:ascii="Times New Roman" w:hAnsi="Times New Roman"/>
                      <w:b/>
                      <w:bCs/>
                      <w:color w:val="000000"/>
                    </w:rPr>
                    <w:t>污染物项目</w:t>
                  </w:r>
                </w:p>
              </w:tc>
              <w:tc>
                <w:tcPr>
                  <w:tcW w:w="1521" w:type="pct"/>
                  <w:tcBorders>
                    <w:top w:val="single" w:color="auto" w:sz="12" w:space="0"/>
                    <w:left w:val="single" w:color="auto" w:sz="6" w:space="0"/>
                    <w:bottom w:val="single" w:color="auto" w:sz="6" w:space="0"/>
                    <w:right w:val="single" w:color="auto" w:sz="6" w:space="0"/>
                  </w:tcBorders>
                  <w:vAlign w:val="center"/>
                </w:tcPr>
                <w:p w14:paraId="382E4268">
                  <w:pPr>
                    <w:pStyle w:val="50"/>
                    <w:spacing w:before="24"/>
                    <w:rPr>
                      <w:rFonts w:ascii="Times New Roman" w:hAnsi="Times New Roman"/>
                      <w:b/>
                      <w:bCs/>
                      <w:color w:val="000000"/>
                    </w:rPr>
                  </w:pPr>
                  <w:r>
                    <w:rPr>
                      <w:rFonts w:ascii="Times New Roman" w:hAnsi="Times New Roman"/>
                      <w:b/>
                      <w:bCs/>
                      <w:color w:val="000000"/>
                    </w:rPr>
                    <w:t>限值</w:t>
                  </w:r>
                </w:p>
              </w:tc>
              <w:tc>
                <w:tcPr>
                  <w:tcW w:w="1516" w:type="pct"/>
                  <w:vMerge w:val="restart"/>
                  <w:tcBorders>
                    <w:top w:val="single" w:color="auto" w:sz="12" w:space="0"/>
                    <w:left w:val="single" w:color="auto" w:sz="6" w:space="0"/>
                    <w:bottom w:val="single" w:color="auto" w:sz="6" w:space="0"/>
                    <w:right w:val="single" w:color="auto" w:sz="12" w:space="0"/>
                  </w:tcBorders>
                  <w:vAlign w:val="center"/>
                </w:tcPr>
                <w:p w14:paraId="3DA0047E">
                  <w:pPr>
                    <w:pStyle w:val="50"/>
                    <w:spacing w:before="24"/>
                    <w:rPr>
                      <w:rFonts w:ascii="Times New Roman" w:hAnsi="Times New Roman"/>
                      <w:b/>
                      <w:bCs/>
                      <w:color w:val="000000"/>
                    </w:rPr>
                  </w:pPr>
                  <w:r>
                    <w:rPr>
                      <w:rFonts w:ascii="Times New Roman" w:hAnsi="Times New Roman"/>
                      <w:b/>
                      <w:bCs/>
                      <w:color w:val="000000"/>
                    </w:rPr>
                    <w:t>污染物排放监控位置</w:t>
                  </w:r>
                </w:p>
              </w:tc>
            </w:tr>
            <w:tr w14:paraId="77BD400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291" w:type="dxa"/>
                  <w:vMerge w:val="continue"/>
                  <w:tcBorders>
                    <w:top w:val="single" w:color="auto" w:sz="12" w:space="0"/>
                    <w:left w:val="single" w:color="auto" w:sz="12" w:space="0"/>
                    <w:bottom w:val="single" w:color="auto" w:sz="6" w:space="0"/>
                    <w:right w:val="single" w:color="auto" w:sz="6" w:space="0"/>
                  </w:tcBorders>
                  <w:vAlign w:val="center"/>
                </w:tcPr>
                <w:p w14:paraId="55F7443B">
                  <w:pPr>
                    <w:widowControl/>
                    <w:jc w:val="left"/>
                    <w:rPr>
                      <w:b/>
                      <w:bCs/>
                      <w:color w:val="000000"/>
                      <w:szCs w:val="21"/>
                    </w:rPr>
                  </w:pPr>
                </w:p>
              </w:tc>
              <w:tc>
                <w:tcPr>
                  <w:tcW w:w="1521" w:type="pct"/>
                  <w:tcBorders>
                    <w:top w:val="single" w:color="auto" w:sz="6" w:space="0"/>
                    <w:left w:val="single" w:color="auto" w:sz="6" w:space="0"/>
                    <w:bottom w:val="single" w:color="auto" w:sz="6" w:space="0"/>
                    <w:right w:val="single" w:color="auto" w:sz="6" w:space="0"/>
                  </w:tcBorders>
                  <w:vAlign w:val="center"/>
                </w:tcPr>
                <w:p w14:paraId="0A45339E">
                  <w:pPr>
                    <w:pStyle w:val="50"/>
                    <w:spacing w:before="24"/>
                    <w:rPr>
                      <w:rFonts w:ascii="Times New Roman" w:hAnsi="Times New Roman"/>
                      <w:b/>
                      <w:bCs/>
                      <w:color w:val="000000"/>
                    </w:rPr>
                  </w:pPr>
                  <w:r>
                    <w:rPr>
                      <w:rFonts w:ascii="Times New Roman" w:hAnsi="Times New Roman"/>
                      <w:b/>
                      <w:bCs/>
                      <w:color w:val="000000"/>
                    </w:rPr>
                    <w:t>燃气锅炉</w:t>
                  </w:r>
                </w:p>
              </w:tc>
              <w:tc>
                <w:tcPr>
                  <w:tcW w:w="2544" w:type="dxa"/>
                  <w:vMerge w:val="continue"/>
                  <w:tcBorders>
                    <w:top w:val="single" w:color="auto" w:sz="12" w:space="0"/>
                    <w:left w:val="single" w:color="auto" w:sz="6" w:space="0"/>
                    <w:bottom w:val="single" w:color="auto" w:sz="6" w:space="0"/>
                    <w:right w:val="single" w:color="auto" w:sz="12" w:space="0"/>
                  </w:tcBorders>
                  <w:vAlign w:val="center"/>
                </w:tcPr>
                <w:p w14:paraId="6CB74727">
                  <w:pPr>
                    <w:widowControl/>
                    <w:jc w:val="left"/>
                    <w:rPr>
                      <w:b/>
                      <w:bCs/>
                      <w:color w:val="000000"/>
                      <w:szCs w:val="21"/>
                    </w:rPr>
                  </w:pPr>
                </w:p>
              </w:tc>
            </w:tr>
            <w:tr w14:paraId="6C265D6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61" w:type="pct"/>
                  <w:tcBorders>
                    <w:top w:val="single" w:color="auto" w:sz="6" w:space="0"/>
                    <w:left w:val="single" w:color="auto" w:sz="12" w:space="0"/>
                    <w:bottom w:val="single" w:color="auto" w:sz="6" w:space="0"/>
                    <w:right w:val="single" w:color="auto" w:sz="6" w:space="0"/>
                  </w:tcBorders>
                  <w:vAlign w:val="center"/>
                </w:tcPr>
                <w:p w14:paraId="6EFA3C37">
                  <w:pPr>
                    <w:pStyle w:val="50"/>
                    <w:spacing w:before="24"/>
                    <w:rPr>
                      <w:rFonts w:ascii="Times New Roman" w:hAnsi="Times New Roman"/>
                      <w:color w:val="000000"/>
                    </w:rPr>
                  </w:pPr>
                  <w:r>
                    <w:rPr>
                      <w:rFonts w:ascii="Times New Roman" w:hAnsi="Times New Roman"/>
                      <w:color w:val="000000"/>
                    </w:rPr>
                    <w:t>颗粒物</w:t>
                  </w:r>
                </w:p>
              </w:tc>
              <w:tc>
                <w:tcPr>
                  <w:tcW w:w="1521" w:type="pct"/>
                  <w:tcBorders>
                    <w:top w:val="single" w:color="auto" w:sz="6" w:space="0"/>
                    <w:left w:val="single" w:color="auto" w:sz="6" w:space="0"/>
                    <w:bottom w:val="single" w:color="auto" w:sz="6" w:space="0"/>
                    <w:right w:val="single" w:color="auto" w:sz="6" w:space="0"/>
                  </w:tcBorders>
                  <w:vAlign w:val="center"/>
                </w:tcPr>
                <w:p w14:paraId="3E317B5E">
                  <w:pPr>
                    <w:pStyle w:val="50"/>
                    <w:spacing w:before="24"/>
                    <w:rPr>
                      <w:rFonts w:ascii="Times New Roman" w:hAnsi="Times New Roman"/>
                      <w:color w:val="000000"/>
                    </w:rPr>
                  </w:pPr>
                  <w:r>
                    <w:rPr>
                      <w:rFonts w:ascii="Times New Roman" w:hAnsi="Times New Roman"/>
                      <w:color w:val="000000"/>
                    </w:rPr>
                    <w:t>20</w:t>
                  </w:r>
                </w:p>
              </w:tc>
              <w:tc>
                <w:tcPr>
                  <w:tcW w:w="1516" w:type="pct"/>
                  <w:vMerge w:val="restart"/>
                  <w:tcBorders>
                    <w:top w:val="single" w:color="auto" w:sz="6" w:space="0"/>
                    <w:left w:val="single" w:color="auto" w:sz="6" w:space="0"/>
                    <w:bottom w:val="single" w:color="auto" w:sz="6" w:space="0"/>
                    <w:right w:val="single" w:color="auto" w:sz="12" w:space="0"/>
                  </w:tcBorders>
                  <w:vAlign w:val="center"/>
                </w:tcPr>
                <w:p w14:paraId="3D617D86">
                  <w:pPr>
                    <w:pStyle w:val="50"/>
                    <w:spacing w:before="24"/>
                    <w:rPr>
                      <w:rFonts w:ascii="Times New Roman" w:hAnsi="Times New Roman"/>
                      <w:color w:val="000000"/>
                    </w:rPr>
                  </w:pPr>
                  <w:r>
                    <w:rPr>
                      <w:rFonts w:ascii="Times New Roman" w:hAnsi="Times New Roman"/>
                      <w:color w:val="000000"/>
                    </w:rPr>
                    <w:t>烟囱或烟道</w:t>
                  </w:r>
                </w:p>
              </w:tc>
            </w:tr>
            <w:tr w14:paraId="5211583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61" w:type="pct"/>
                  <w:tcBorders>
                    <w:top w:val="single" w:color="auto" w:sz="6" w:space="0"/>
                    <w:left w:val="single" w:color="auto" w:sz="12" w:space="0"/>
                    <w:bottom w:val="single" w:color="auto" w:sz="6" w:space="0"/>
                    <w:right w:val="single" w:color="auto" w:sz="6" w:space="0"/>
                  </w:tcBorders>
                  <w:vAlign w:val="center"/>
                </w:tcPr>
                <w:p w14:paraId="74F2E6A5">
                  <w:pPr>
                    <w:pStyle w:val="50"/>
                    <w:spacing w:before="24"/>
                    <w:rPr>
                      <w:rFonts w:ascii="Times New Roman" w:hAnsi="Times New Roman"/>
                      <w:color w:val="000000"/>
                    </w:rPr>
                  </w:pPr>
                  <w:r>
                    <w:rPr>
                      <w:rFonts w:ascii="Times New Roman" w:hAnsi="Times New Roman"/>
                      <w:color w:val="000000"/>
                    </w:rPr>
                    <w:t>二氧化硫</w:t>
                  </w:r>
                </w:p>
              </w:tc>
              <w:tc>
                <w:tcPr>
                  <w:tcW w:w="1521" w:type="pct"/>
                  <w:tcBorders>
                    <w:top w:val="single" w:color="auto" w:sz="6" w:space="0"/>
                    <w:left w:val="single" w:color="auto" w:sz="6" w:space="0"/>
                    <w:bottom w:val="single" w:color="auto" w:sz="6" w:space="0"/>
                    <w:right w:val="single" w:color="auto" w:sz="6" w:space="0"/>
                  </w:tcBorders>
                  <w:vAlign w:val="center"/>
                </w:tcPr>
                <w:p w14:paraId="7860F937">
                  <w:pPr>
                    <w:pStyle w:val="50"/>
                    <w:spacing w:before="24"/>
                    <w:rPr>
                      <w:rFonts w:ascii="Times New Roman" w:hAnsi="Times New Roman"/>
                      <w:color w:val="000000"/>
                    </w:rPr>
                  </w:pPr>
                  <w:r>
                    <w:rPr>
                      <w:rFonts w:ascii="Times New Roman" w:hAnsi="Times New Roman"/>
                      <w:color w:val="000000"/>
                    </w:rPr>
                    <w:t>50</w:t>
                  </w:r>
                </w:p>
              </w:tc>
              <w:tc>
                <w:tcPr>
                  <w:tcW w:w="2544" w:type="dxa"/>
                  <w:vMerge w:val="continue"/>
                  <w:tcBorders>
                    <w:top w:val="single" w:color="auto" w:sz="6" w:space="0"/>
                    <w:left w:val="single" w:color="auto" w:sz="6" w:space="0"/>
                    <w:bottom w:val="single" w:color="auto" w:sz="6" w:space="0"/>
                    <w:right w:val="single" w:color="auto" w:sz="12" w:space="0"/>
                  </w:tcBorders>
                  <w:vAlign w:val="center"/>
                </w:tcPr>
                <w:p w14:paraId="1A976674">
                  <w:pPr>
                    <w:widowControl/>
                    <w:jc w:val="left"/>
                    <w:rPr>
                      <w:color w:val="000000"/>
                      <w:szCs w:val="21"/>
                    </w:rPr>
                  </w:pPr>
                </w:p>
              </w:tc>
            </w:tr>
            <w:tr w14:paraId="1E5F141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61" w:type="pct"/>
                  <w:tcBorders>
                    <w:top w:val="single" w:color="auto" w:sz="6" w:space="0"/>
                    <w:left w:val="single" w:color="auto" w:sz="12" w:space="0"/>
                    <w:bottom w:val="single" w:color="auto" w:sz="6" w:space="0"/>
                    <w:right w:val="single" w:color="auto" w:sz="6" w:space="0"/>
                  </w:tcBorders>
                  <w:vAlign w:val="center"/>
                </w:tcPr>
                <w:p w14:paraId="37DFCAFA">
                  <w:pPr>
                    <w:pStyle w:val="50"/>
                    <w:spacing w:before="24"/>
                    <w:rPr>
                      <w:rFonts w:ascii="Times New Roman" w:hAnsi="Times New Roman"/>
                      <w:color w:val="000000"/>
                    </w:rPr>
                  </w:pPr>
                  <w:r>
                    <w:rPr>
                      <w:rFonts w:ascii="Times New Roman" w:hAnsi="Times New Roman"/>
                      <w:color w:val="000000"/>
                    </w:rPr>
                    <w:t>氮氧化物</w:t>
                  </w:r>
                </w:p>
              </w:tc>
              <w:tc>
                <w:tcPr>
                  <w:tcW w:w="1521" w:type="pct"/>
                  <w:tcBorders>
                    <w:top w:val="single" w:color="auto" w:sz="6" w:space="0"/>
                    <w:left w:val="single" w:color="auto" w:sz="6" w:space="0"/>
                    <w:bottom w:val="single" w:color="auto" w:sz="6" w:space="0"/>
                    <w:right w:val="single" w:color="auto" w:sz="6" w:space="0"/>
                  </w:tcBorders>
                  <w:vAlign w:val="center"/>
                </w:tcPr>
                <w:p w14:paraId="7AAEF87A">
                  <w:pPr>
                    <w:pStyle w:val="50"/>
                    <w:spacing w:before="24"/>
                    <w:rPr>
                      <w:rFonts w:ascii="Times New Roman" w:hAnsi="Times New Roman"/>
                      <w:color w:val="000000"/>
                    </w:rPr>
                  </w:pPr>
                  <w:r>
                    <w:rPr>
                      <w:rFonts w:ascii="Times New Roman" w:hAnsi="Times New Roman"/>
                      <w:color w:val="000000"/>
                    </w:rPr>
                    <w:t>150</w:t>
                  </w:r>
                </w:p>
              </w:tc>
              <w:tc>
                <w:tcPr>
                  <w:tcW w:w="2544" w:type="dxa"/>
                  <w:vMerge w:val="continue"/>
                  <w:tcBorders>
                    <w:top w:val="single" w:color="auto" w:sz="6" w:space="0"/>
                    <w:left w:val="single" w:color="auto" w:sz="6" w:space="0"/>
                    <w:bottom w:val="single" w:color="auto" w:sz="6" w:space="0"/>
                    <w:right w:val="single" w:color="auto" w:sz="12" w:space="0"/>
                  </w:tcBorders>
                  <w:vAlign w:val="center"/>
                </w:tcPr>
                <w:p w14:paraId="1FF4D396">
                  <w:pPr>
                    <w:widowControl/>
                    <w:jc w:val="left"/>
                    <w:rPr>
                      <w:color w:val="000000"/>
                      <w:szCs w:val="21"/>
                    </w:rPr>
                  </w:pPr>
                </w:p>
              </w:tc>
            </w:tr>
            <w:tr w14:paraId="16DC590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61" w:type="pct"/>
                  <w:tcBorders>
                    <w:top w:val="single" w:color="auto" w:sz="6" w:space="0"/>
                    <w:left w:val="single" w:color="auto" w:sz="12" w:space="0"/>
                    <w:bottom w:val="single" w:color="auto" w:sz="6" w:space="0"/>
                    <w:right w:val="single" w:color="auto" w:sz="6" w:space="0"/>
                  </w:tcBorders>
                  <w:vAlign w:val="center"/>
                </w:tcPr>
                <w:p w14:paraId="7220CBDD">
                  <w:pPr>
                    <w:pStyle w:val="50"/>
                    <w:spacing w:before="24"/>
                    <w:rPr>
                      <w:rFonts w:ascii="Times New Roman" w:hAnsi="Times New Roman"/>
                      <w:color w:val="000000"/>
                    </w:rPr>
                  </w:pPr>
                  <w:r>
                    <w:rPr>
                      <w:rFonts w:ascii="Times New Roman" w:hAnsi="Times New Roman"/>
                      <w:color w:val="000000"/>
                    </w:rPr>
                    <w:t>汞及其化合物</w:t>
                  </w:r>
                </w:p>
              </w:tc>
              <w:tc>
                <w:tcPr>
                  <w:tcW w:w="1521" w:type="pct"/>
                  <w:tcBorders>
                    <w:top w:val="single" w:color="auto" w:sz="6" w:space="0"/>
                    <w:left w:val="single" w:color="auto" w:sz="6" w:space="0"/>
                    <w:bottom w:val="single" w:color="auto" w:sz="6" w:space="0"/>
                    <w:right w:val="single" w:color="auto" w:sz="6" w:space="0"/>
                  </w:tcBorders>
                  <w:vAlign w:val="center"/>
                </w:tcPr>
                <w:p w14:paraId="3294971E">
                  <w:pPr>
                    <w:pStyle w:val="50"/>
                    <w:spacing w:before="24"/>
                    <w:rPr>
                      <w:rFonts w:ascii="Times New Roman" w:hAnsi="Times New Roman"/>
                      <w:color w:val="000000"/>
                    </w:rPr>
                  </w:pPr>
                  <w:r>
                    <w:rPr>
                      <w:rFonts w:ascii="Times New Roman" w:hAnsi="Times New Roman"/>
                      <w:color w:val="000000"/>
                    </w:rPr>
                    <w:t>-</w:t>
                  </w:r>
                </w:p>
              </w:tc>
              <w:tc>
                <w:tcPr>
                  <w:tcW w:w="2544" w:type="dxa"/>
                  <w:vMerge w:val="continue"/>
                  <w:tcBorders>
                    <w:top w:val="single" w:color="auto" w:sz="6" w:space="0"/>
                    <w:left w:val="single" w:color="auto" w:sz="6" w:space="0"/>
                    <w:bottom w:val="single" w:color="auto" w:sz="6" w:space="0"/>
                    <w:right w:val="single" w:color="auto" w:sz="12" w:space="0"/>
                  </w:tcBorders>
                  <w:vAlign w:val="center"/>
                </w:tcPr>
                <w:p w14:paraId="16B44F34">
                  <w:pPr>
                    <w:widowControl/>
                    <w:jc w:val="left"/>
                    <w:rPr>
                      <w:color w:val="000000"/>
                      <w:szCs w:val="21"/>
                    </w:rPr>
                  </w:pPr>
                </w:p>
              </w:tc>
            </w:tr>
            <w:tr w14:paraId="4E4A86A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61" w:type="pct"/>
                  <w:tcBorders>
                    <w:top w:val="single" w:color="auto" w:sz="6" w:space="0"/>
                    <w:left w:val="single" w:color="auto" w:sz="12" w:space="0"/>
                    <w:bottom w:val="single" w:color="auto" w:sz="12" w:space="0"/>
                    <w:right w:val="single" w:color="auto" w:sz="6" w:space="0"/>
                  </w:tcBorders>
                  <w:vAlign w:val="center"/>
                </w:tcPr>
                <w:p w14:paraId="0F3DFBCC">
                  <w:pPr>
                    <w:pStyle w:val="50"/>
                    <w:spacing w:before="24"/>
                    <w:rPr>
                      <w:rFonts w:ascii="Times New Roman" w:hAnsi="Times New Roman"/>
                      <w:color w:val="000000"/>
                    </w:rPr>
                  </w:pPr>
                  <w:r>
                    <w:rPr>
                      <w:rFonts w:ascii="Times New Roman" w:hAnsi="Times New Roman"/>
                      <w:color w:val="000000"/>
                    </w:rPr>
                    <w:t>烟气黑度（林格曼度，级）</w:t>
                  </w:r>
                </w:p>
              </w:tc>
              <w:tc>
                <w:tcPr>
                  <w:tcW w:w="1521" w:type="pct"/>
                  <w:tcBorders>
                    <w:top w:val="single" w:color="auto" w:sz="6" w:space="0"/>
                    <w:left w:val="single" w:color="auto" w:sz="6" w:space="0"/>
                    <w:bottom w:val="single" w:color="auto" w:sz="12" w:space="0"/>
                    <w:right w:val="single" w:color="auto" w:sz="6" w:space="0"/>
                  </w:tcBorders>
                  <w:vAlign w:val="center"/>
                </w:tcPr>
                <w:p w14:paraId="0F9B32DC">
                  <w:pPr>
                    <w:pStyle w:val="50"/>
                    <w:spacing w:before="24"/>
                    <w:rPr>
                      <w:rFonts w:ascii="Times New Roman" w:hAnsi="Times New Roman"/>
                      <w:color w:val="000000"/>
                    </w:rPr>
                  </w:pPr>
                  <w:r>
                    <w:rPr>
                      <w:rFonts w:ascii="Times New Roman" w:hAnsi="Times New Roman"/>
                      <w:color w:val="000000"/>
                    </w:rPr>
                    <w:t>≤1</w:t>
                  </w:r>
                </w:p>
              </w:tc>
              <w:tc>
                <w:tcPr>
                  <w:tcW w:w="1516" w:type="pct"/>
                  <w:tcBorders>
                    <w:top w:val="single" w:color="auto" w:sz="6" w:space="0"/>
                    <w:left w:val="single" w:color="auto" w:sz="6" w:space="0"/>
                    <w:bottom w:val="single" w:color="auto" w:sz="12" w:space="0"/>
                    <w:right w:val="single" w:color="auto" w:sz="12" w:space="0"/>
                  </w:tcBorders>
                  <w:vAlign w:val="center"/>
                </w:tcPr>
                <w:p w14:paraId="59031D84">
                  <w:pPr>
                    <w:pStyle w:val="50"/>
                    <w:spacing w:before="24"/>
                    <w:rPr>
                      <w:rFonts w:ascii="Times New Roman" w:hAnsi="Times New Roman"/>
                      <w:color w:val="000000"/>
                    </w:rPr>
                  </w:pPr>
                  <w:r>
                    <w:rPr>
                      <w:rFonts w:ascii="Times New Roman" w:hAnsi="Times New Roman"/>
                      <w:color w:val="000000"/>
                    </w:rPr>
                    <w:t>烟囱排放口</w:t>
                  </w:r>
                </w:p>
              </w:tc>
            </w:tr>
          </w:tbl>
          <w:p w14:paraId="21AA1242">
            <w:pPr>
              <w:wordWrap w:val="0"/>
              <w:autoSpaceDE w:val="0"/>
              <w:autoSpaceDN w:val="0"/>
              <w:adjustRightInd w:val="0"/>
              <w:spacing w:line="360" w:lineRule="auto"/>
              <w:jc w:val="center"/>
              <w:textAlignment w:val="baseline"/>
              <w:rPr>
                <w:b/>
                <w:bCs/>
                <w:kern w:val="0"/>
                <w:sz w:val="24"/>
                <w:szCs w:val="24"/>
              </w:rPr>
            </w:pPr>
            <w:r>
              <w:rPr>
                <w:b/>
                <w:bCs/>
                <w:kern w:val="0"/>
                <w:sz w:val="24"/>
                <w:szCs w:val="24"/>
              </w:rPr>
              <w:t>表3-6  《恶臭污染物排放标准》（摘要）</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
            <w:tblGrid>
              <w:gridCol w:w="1385"/>
              <w:gridCol w:w="2794"/>
              <w:gridCol w:w="2089"/>
              <w:gridCol w:w="2089"/>
            </w:tblGrid>
            <w:tr w14:paraId="6F5DCDD3">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28" w:type="pct"/>
                  <w:vMerge w:val="restart"/>
                  <w:tcBorders>
                    <w:top w:val="single" w:color="auto" w:sz="12" w:space="0"/>
                    <w:left w:val="single" w:color="auto" w:sz="12" w:space="0"/>
                    <w:bottom w:val="single" w:color="000000" w:sz="6" w:space="0"/>
                    <w:right w:val="single" w:color="000000" w:sz="6" w:space="0"/>
                  </w:tcBorders>
                  <w:vAlign w:val="center"/>
                </w:tcPr>
                <w:p w14:paraId="62851079">
                  <w:pPr>
                    <w:overflowPunct w:val="0"/>
                    <w:snapToGrid w:val="0"/>
                    <w:jc w:val="center"/>
                    <w:rPr>
                      <w:b/>
                      <w:color w:val="000000"/>
                      <w:szCs w:val="21"/>
                    </w:rPr>
                  </w:pPr>
                  <w:r>
                    <w:rPr>
                      <w:b/>
                      <w:color w:val="000000"/>
                    </w:rPr>
                    <w:t>序号</w:t>
                  </w:r>
                </w:p>
              </w:tc>
              <w:tc>
                <w:tcPr>
                  <w:tcW w:w="1671" w:type="pct"/>
                  <w:vMerge w:val="restart"/>
                  <w:tcBorders>
                    <w:top w:val="single" w:color="auto" w:sz="12" w:space="0"/>
                    <w:left w:val="single" w:color="000000" w:sz="6" w:space="0"/>
                    <w:bottom w:val="single" w:color="000000" w:sz="6" w:space="0"/>
                    <w:right w:val="single" w:color="000000" w:sz="6" w:space="0"/>
                  </w:tcBorders>
                  <w:vAlign w:val="center"/>
                </w:tcPr>
                <w:p w14:paraId="32D285C2">
                  <w:pPr>
                    <w:overflowPunct w:val="0"/>
                    <w:snapToGrid w:val="0"/>
                    <w:jc w:val="center"/>
                    <w:rPr>
                      <w:b/>
                      <w:color w:val="000000"/>
                    </w:rPr>
                  </w:pPr>
                  <w:r>
                    <w:rPr>
                      <w:b/>
                      <w:color w:val="000000"/>
                    </w:rPr>
                    <w:t>控制项目</w:t>
                  </w:r>
                </w:p>
              </w:tc>
              <w:tc>
                <w:tcPr>
                  <w:tcW w:w="1250" w:type="pct"/>
                  <w:vMerge w:val="restart"/>
                  <w:tcBorders>
                    <w:top w:val="single" w:color="auto" w:sz="12" w:space="0"/>
                    <w:left w:val="single" w:color="000000" w:sz="6" w:space="0"/>
                    <w:bottom w:val="single" w:color="000000" w:sz="6" w:space="0"/>
                    <w:right w:val="single" w:color="000000" w:sz="6" w:space="0"/>
                  </w:tcBorders>
                  <w:vAlign w:val="center"/>
                </w:tcPr>
                <w:p w14:paraId="1E06C107">
                  <w:pPr>
                    <w:overflowPunct w:val="0"/>
                    <w:snapToGrid w:val="0"/>
                    <w:jc w:val="center"/>
                    <w:rPr>
                      <w:b/>
                      <w:color w:val="000000"/>
                    </w:rPr>
                  </w:pPr>
                  <w:r>
                    <w:rPr>
                      <w:b/>
                      <w:color w:val="000000"/>
                    </w:rPr>
                    <w:t>单位</w:t>
                  </w:r>
                </w:p>
              </w:tc>
              <w:tc>
                <w:tcPr>
                  <w:tcW w:w="1250" w:type="pct"/>
                  <w:tcBorders>
                    <w:top w:val="single" w:color="auto" w:sz="12" w:space="0"/>
                    <w:left w:val="single" w:color="000000" w:sz="6" w:space="0"/>
                    <w:bottom w:val="single" w:color="000000" w:sz="6" w:space="0"/>
                    <w:right w:val="single" w:color="auto" w:sz="12" w:space="0"/>
                  </w:tcBorders>
                  <w:vAlign w:val="center"/>
                </w:tcPr>
                <w:p w14:paraId="33E81F95">
                  <w:pPr>
                    <w:overflowPunct w:val="0"/>
                    <w:snapToGrid w:val="0"/>
                    <w:jc w:val="center"/>
                    <w:rPr>
                      <w:b/>
                      <w:color w:val="000000"/>
                    </w:rPr>
                  </w:pPr>
                  <w:r>
                    <w:rPr>
                      <w:b/>
                      <w:color w:val="000000"/>
                    </w:rPr>
                    <w:t>二级</w:t>
                  </w:r>
                </w:p>
              </w:tc>
            </w:tr>
            <w:tr w14:paraId="22DD0F99">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383" w:type="dxa"/>
                  <w:vMerge w:val="continue"/>
                  <w:tcBorders>
                    <w:top w:val="single" w:color="auto" w:sz="12" w:space="0"/>
                    <w:left w:val="single" w:color="auto" w:sz="12" w:space="0"/>
                    <w:bottom w:val="single" w:color="000000" w:sz="6" w:space="0"/>
                    <w:right w:val="single" w:color="000000" w:sz="6" w:space="0"/>
                  </w:tcBorders>
                  <w:vAlign w:val="center"/>
                </w:tcPr>
                <w:p w14:paraId="18805AF1">
                  <w:pPr>
                    <w:widowControl/>
                    <w:snapToGrid w:val="0"/>
                    <w:jc w:val="left"/>
                    <w:rPr>
                      <w:b/>
                      <w:color w:val="000000"/>
                      <w:szCs w:val="21"/>
                    </w:rPr>
                  </w:pPr>
                </w:p>
              </w:tc>
              <w:tc>
                <w:tcPr>
                  <w:tcW w:w="2794" w:type="dxa"/>
                  <w:vMerge w:val="continue"/>
                  <w:tcBorders>
                    <w:top w:val="single" w:color="auto" w:sz="12" w:space="0"/>
                    <w:left w:val="single" w:color="000000" w:sz="6" w:space="0"/>
                    <w:bottom w:val="single" w:color="000000" w:sz="6" w:space="0"/>
                    <w:right w:val="single" w:color="000000" w:sz="6" w:space="0"/>
                  </w:tcBorders>
                  <w:vAlign w:val="center"/>
                </w:tcPr>
                <w:p w14:paraId="15077A8F">
                  <w:pPr>
                    <w:widowControl/>
                    <w:snapToGrid w:val="0"/>
                    <w:jc w:val="left"/>
                    <w:rPr>
                      <w:b/>
                      <w:color w:val="000000"/>
                      <w:szCs w:val="21"/>
                    </w:rPr>
                  </w:pPr>
                </w:p>
              </w:tc>
              <w:tc>
                <w:tcPr>
                  <w:tcW w:w="2090" w:type="dxa"/>
                  <w:vMerge w:val="continue"/>
                  <w:tcBorders>
                    <w:top w:val="single" w:color="auto" w:sz="12" w:space="0"/>
                    <w:left w:val="single" w:color="000000" w:sz="6" w:space="0"/>
                    <w:bottom w:val="single" w:color="000000" w:sz="6" w:space="0"/>
                    <w:right w:val="single" w:color="000000" w:sz="6" w:space="0"/>
                  </w:tcBorders>
                  <w:vAlign w:val="center"/>
                </w:tcPr>
                <w:p w14:paraId="79054C77">
                  <w:pPr>
                    <w:widowControl/>
                    <w:snapToGrid w:val="0"/>
                    <w:jc w:val="left"/>
                    <w:rPr>
                      <w:b/>
                      <w:color w:val="000000"/>
                      <w:szCs w:val="21"/>
                    </w:rPr>
                  </w:pPr>
                </w:p>
              </w:tc>
              <w:tc>
                <w:tcPr>
                  <w:tcW w:w="1250" w:type="pct"/>
                  <w:tcBorders>
                    <w:top w:val="single" w:color="000000" w:sz="6" w:space="0"/>
                    <w:left w:val="single" w:color="000000" w:sz="6" w:space="0"/>
                    <w:bottom w:val="single" w:color="000000" w:sz="6" w:space="0"/>
                    <w:right w:val="single" w:color="auto" w:sz="12" w:space="0"/>
                  </w:tcBorders>
                  <w:vAlign w:val="center"/>
                </w:tcPr>
                <w:p w14:paraId="55D5E628">
                  <w:pPr>
                    <w:overflowPunct w:val="0"/>
                    <w:snapToGrid w:val="0"/>
                    <w:jc w:val="center"/>
                    <w:rPr>
                      <w:b/>
                      <w:color w:val="000000"/>
                    </w:rPr>
                  </w:pPr>
                  <w:r>
                    <w:rPr>
                      <w:b/>
                      <w:color w:val="000000"/>
                    </w:rPr>
                    <w:t>新改扩建</w:t>
                  </w:r>
                </w:p>
              </w:tc>
            </w:tr>
            <w:tr w14:paraId="423EBD54">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28" w:type="pct"/>
                  <w:tcBorders>
                    <w:top w:val="single" w:color="000000" w:sz="6" w:space="0"/>
                    <w:left w:val="single" w:color="auto" w:sz="12" w:space="0"/>
                    <w:bottom w:val="single" w:color="000000" w:sz="6" w:space="0"/>
                    <w:right w:val="single" w:color="000000" w:sz="6" w:space="0"/>
                  </w:tcBorders>
                  <w:vAlign w:val="center"/>
                </w:tcPr>
                <w:p w14:paraId="15EDFE60">
                  <w:pPr>
                    <w:overflowPunct w:val="0"/>
                    <w:snapToGrid w:val="0"/>
                    <w:jc w:val="center"/>
                    <w:rPr>
                      <w:bCs/>
                      <w:color w:val="000000"/>
                    </w:rPr>
                  </w:pPr>
                  <w:r>
                    <w:rPr>
                      <w:bCs/>
                      <w:color w:val="000000"/>
                    </w:rPr>
                    <w:t>1</w:t>
                  </w:r>
                </w:p>
              </w:tc>
              <w:tc>
                <w:tcPr>
                  <w:tcW w:w="1671" w:type="pct"/>
                  <w:tcBorders>
                    <w:top w:val="single" w:color="000000" w:sz="6" w:space="0"/>
                    <w:left w:val="single" w:color="000000" w:sz="6" w:space="0"/>
                    <w:bottom w:val="single" w:color="000000" w:sz="6" w:space="0"/>
                    <w:right w:val="single" w:color="000000" w:sz="6" w:space="0"/>
                  </w:tcBorders>
                  <w:vAlign w:val="center"/>
                </w:tcPr>
                <w:p w14:paraId="3AD3B73C">
                  <w:pPr>
                    <w:overflowPunct w:val="0"/>
                    <w:snapToGrid w:val="0"/>
                    <w:jc w:val="center"/>
                    <w:rPr>
                      <w:bCs/>
                      <w:color w:val="000000"/>
                    </w:rPr>
                  </w:pPr>
                  <w:r>
                    <w:rPr>
                      <w:bCs/>
                      <w:color w:val="000000"/>
                    </w:rPr>
                    <w:t>氨</w:t>
                  </w:r>
                </w:p>
              </w:tc>
              <w:tc>
                <w:tcPr>
                  <w:tcW w:w="1250" w:type="pct"/>
                  <w:tcBorders>
                    <w:top w:val="single" w:color="000000" w:sz="6" w:space="0"/>
                    <w:left w:val="single" w:color="000000" w:sz="6" w:space="0"/>
                    <w:bottom w:val="single" w:color="000000" w:sz="6" w:space="0"/>
                    <w:right w:val="single" w:color="000000" w:sz="6" w:space="0"/>
                  </w:tcBorders>
                  <w:vAlign w:val="center"/>
                </w:tcPr>
                <w:p w14:paraId="05573B64">
                  <w:pPr>
                    <w:overflowPunct w:val="0"/>
                    <w:snapToGrid w:val="0"/>
                    <w:jc w:val="center"/>
                    <w:rPr>
                      <w:bCs/>
                      <w:color w:val="000000"/>
                    </w:rPr>
                  </w:pPr>
                  <w:r>
                    <w:rPr>
                      <w:bCs/>
                      <w:color w:val="000000"/>
                    </w:rPr>
                    <w:t>mg/m</w:t>
                  </w:r>
                  <w:r>
                    <w:rPr>
                      <w:bCs/>
                      <w:color w:val="000000"/>
                      <w:vertAlign w:val="superscript"/>
                    </w:rPr>
                    <w:t>3</w:t>
                  </w:r>
                </w:p>
              </w:tc>
              <w:tc>
                <w:tcPr>
                  <w:tcW w:w="1250" w:type="pct"/>
                  <w:tcBorders>
                    <w:top w:val="single" w:color="000000" w:sz="6" w:space="0"/>
                    <w:left w:val="single" w:color="000000" w:sz="6" w:space="0"/>
                    <w:bottom w:val="single" w:color="000000" w:sz="6" w:space="0"/>
                    <w:right w:val="single" w:color="auto" w:sz="12" w:space="0"/>
                  </w:tcBorders>
                  <w:vAlign w:val="center"/>
                </w:tcPr>
                <w:p w14:paraId="7C855C71">
                  <w:pPr>
                    <w:overflowPunct w:val="0"/>
                    <w:snapToGrid w:val="0"/>
                    <w:jc w:val="center"/>
                    <w:rPr>
                      <w:bCs/>
                      <w:color w:val="000000"/>
                    </w:rPr>
                  </w:pPr>
                  <w:r>
                    <w:rPr>
                      <w:bCs/>
                      <w:color w:val="000000"/>
                    </w:rPr>
                    <w:t>1.5</w:t>
                  </w:r>
                </w:p>
              </w:tc>
            </w:tr>
            <w:tr w14:paraId="075C33F6">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28" w:type="pct"/>
                  <w:tcBorders>
                    <w:top w:val="single" w:color="000000" w:sz="6" w:space="0"/>
                    <w:left w:val="single" w:color="auto" w:sz="12" w:space="0"/>
                    <w:bottom w:val="single" w:color="000000" w:sz="6" w:space="0"/>
                    <w:right w:val="single" w:color="000000" w:sz="6" w:space="0"/>
                  </w:tcBorders>
                  <w:vAlign w:val="center"/>
                </w:tcPr>
                <w:p w14:paraId="62E3F5AD">
                  <w:pPr>
                    <w:overflowPunct w:val="0"/>
                    <w:snapToGrid w:val="0"/>
                    <w:jc w:val="center"/>
                    <w:rPr>
                      <w:bCs/>
                      <w:color w:val="000000"/>
                    </w:rPr>
                  </w:pPr>
                  <w:r>
                    <w:rPr>
                      <w:bCs/>
                      <w:color w:val="000000"/>
                    </w:rPr>
                    <w:t>3</w:t>
                  </w:r>
                </w:p>
              </w:tc>
              <w:tc>
                <w:tcPr>
                  <w:tcW w:w="1671" w:type="pct"/>
                  <w:tcBorders>
                    <w:top w:val="single" w:color="000000" w:sz="6" w:space="0"/>
                    <w:left w:val="single" w:color="000000" w:sz="6" w:space="0"/>
                    <w:bottom w:val="single" w:color="000000" w:sz="6" w:space="0"/>
                    <w:right w:val="single" w:color="000000" w:sz="6" w:space="0"/>
                  </w:tcBorders>
                  <w:vAlign w:val="center"/>
                </w:tcPr>
                <w:p w14:paraId="42FB50CF">
                  <w:pPr>
                    <w:overflowPunct w:val="0"/>
                    <w:snapToGrid w:val="0"/>
                    <w:jc w:val="center"/>
                    <w:rPr>
                      <w:bCs/>
                      <w:color w:val="000000"/>
                    </w:rPr>
                  </w:pPr>
                  <w:r>
                    <w:rPr>
                      <w:bCs/>
                      <w:color w:val="000000"/>
                    </w:rPr>
                    <w:t>硫化氢</w:t>
                  </w:r>
                </w:p>
              </w:tc>
              <w:tc>
                <w:tcPr>
                  <w:tcW w:w="1250" w:type="pct"/>
                  <w:tcBorders>
                    <w:top w:val="single" w:color="000000" w:sz="6" w:space="0"/>
                    <w:left w:val="single" w:color="000000" w:sz="6" w:space="0"/>
                    <w:bottom w:val="single" w:color="000000" w:sz="6" w:space="0"/>
                    <w:right w:val="single" w:color="000000" w:sz="6" w:space="0"/>
                  </w:tcBorders>
                  <w:vAlign w:val="center"/>
                </w:tcPr>
                <w:p w14:paraId="672FF64F">
                  <w:pPr>
                    <w:overflowPunct w:val="0"/>
                    <w:snapToGrid w:val="0"/>
                    <w:jc w:val="center"/>
                    <w:rPr>
                      <w:bCs/>
                      <w:color w:val="000000"/>
                    </w:rPr>
                  </w:pPr>
                  <w:r>
                    <w:rPr>
                      <w:bCs/>
                      <w:color w:val="000000"/>
                    </w:rPr>
                    <w:t>mg/m</w:t>
                  </w:r>
                  <w:r>
                    <w:rPr>
                      <w:bCs/>
                      <w:color w:val="000000"/>
                      <w:vertAlign w:val="superscript"/>
                    </w:rPr>
                    <w:t>3</w:t>
                  </w:r>
                </w:p>
              </w:tc>
              <w:tc>
                <w:tcPr>
                  <w:tcW w:w="1250" w:type="pct"/>
                  <w:tcBorders>
                    <w:top w:val="single" w:color="000000" w:sz="6" w:space="0"/>
                    <w:left w:val="single" w:color="000000" w:sz="6" w:space="0"/>
                    <w:bottom w:val="single" w:color="000000" w:sz="6" w:space="0"/>
                    <w:right w:val="single" w:color="auto" w:sz="12" w:space="0"/>
                  </w:tcBorders>
                  <w:vAlign w:val="center"/>
                </w:tcPr>
                <w:p w14:paraId="5A2FCAB8">
                  <w:pPr>
                    <w:overflowPunct w:val="0"/>
                    <w:snapToGrid w:val="0"/>
                    <w:jc w:val="center"/>
                    <w:rPr>
                      <w:bCs/>
                      <w:color w:val="000000"/>
                    </w:rPr>
                  </w:pPr>
                  <w:r>
                    <w:rPr>
                      <w:bCs/>
                      <w:color w:val="000000"/>
                    </w:rPr>
                    <w:t>0.06</w:t>
                  </w:r>
                </w:p>
              </w:tc>
            </w:tr>
            <w:tr w14:paraId="13ADF62F">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28" w:type="pct"/>
                  <w:tcBorders>
                    <w:top w:val="single" w:color="000000" w:sz="6" w:space="0"/>
                    <w:left w:val="single" w:color="auto" w:sz="12" w:space="0"/>
                    <w:bottom w:val="single" w:color="auto" w:sz="12" w:space="0"/>
                    <w:right w:val="single" w:color="000000" w:sz="6" w:space="0"/>
                  </w:tcBorders>
                  <w:vAlign w:val="center"/>
                </w:tcPr>
                <w:p w14:paraId="0229ACF5">
                  <w:pPr>
                    <w:overflowPunct w:val="0"/>
                    <w:snapToGrid w:val="0"/>
                    <w:jc w:val="center"/>
                    <w:rPr>
                      <w:bCs/>
                      <w:color w:val="000000"/>
                    </w:rPr>
                  </w:pPr>
                  <w:r>
                    <w:rPr>
                      <w:bCs/>
                      <w:color w:val="000000"/>
                    </w:rPr>
                    <w:t>9</w:t>
                  </w:r>
                </w:p>
              </w:tc>
              <w:tc>
                <w:tcPr>
                  <w:tcW w:w="1671" w:type="pct"/>
                  <w:tcBorders>
                    <w:top w:val="single" w:color="000000" w:sz="6" w:space="0"/>
                    <w:left w:val="single" w:color="000000" w:sz="6" w:space="0"/>
                    <w:bottom w:val="single" w:color="auto" w:sz="12" w:space="0"/>
                    <w:right w:val="single" w:color="000000" w:sz="6" w:space="0"/>
                  </w:tcBorders>
                  <w:vAlign w:val="center"/>
                </w:tcPr>
                <w:p w14:paraId="45456E6E">
                  <w:pPr>
                    <w:overflowPunct w:val="0"/>
                    <w:snapToGrid w:val="0"/>
                    <w:jc w:val="center"/>
                    <w:rPr>
                      <w:bCs/>
                      <w:color w:val="000000"/>
                    </w:rPr>
                  </w:pPr>
                  <w:r>
                    <w:rPr>
                      <w:bCs/>
                      <w:color w:val="000000"/>
                    </w:rPr>
                    <w:t>臭气浓度</w:t>
                  </w:r>
                </w:p>
              </w:tc>
              <w:tc>
                <w:tcPr>
                  <w:tcW w:w="1250" w:type="pct"/>
                  <w:tcBorders>
                    <w:top w:val="single" w:color="000000" w:sz="6" w:space="0"/>
                    <w:left w:val="single" w:color="000000" w:sz="6" w:space="0"/>
                    <w:bottom w:val="single" w:color="auto" w:sz="12" w:space="0"/>
                    <w:right w:val="single" w:color="000000" w:sz="6" w:space="0"/>
                  </w:tcBorders>
                  <w:vAlign w:val="center"/>
                </w:tcPr>
                <w:p w14:paraId="3F90A63E">
                  <w:pPr>
                    <w:overflowPunct w:val="0"/>
                    <w:snapToGrid w:val="0"/>
                    <w:jc w:val="center"/>
                    <w:rPr>
                      <w:bCs/>
                      <w:color w:val="000000"/>
                    </w:rPr>
                  </w:pPr>
                  <w:r>
                    <w:rPr>
                      <w:bCs/>
                      <w:color w:val="000000"/>
                    </w:rPr>
                    <w:t>无量纲</w:t>
                  </w:r>
                </w:p>
              </w:tc>
              <w:tc>
                <w:tcPr>
                  <w:tcW w:w="1250" w:type="pct"/>
                  <w:tcBorders>
                    <w:top w:val="single" w:color="000000" w:sz="6" w:space="0"/>
                    <w:left w:val="single" w:color="000000" w:sz="6" w:space="0"/>
                    <w:bottom w:val="single" w:color="auto" w:sz="12" w:space="0"/>
                    <w:right w:val="single" w:color="auto" w:sz="12" w:space="0"/>
                  </w:tcBorders>
                  <w:vAlign w:val="center"/>
                </w:tcPr>
                <w:p w14:paraId="77DCA1DA">
                  <w:pPr>
                    <w:overflowPunct w:val="0"/>
                    <w:snapToGrid w:val="0"/>
                    <w:jc w:val="center"/>
                    <w:rPr>
                      <w:bCs/>
                      <w:color w:val="000000"/>
                    </w:rPr>
                  </w:pPr>
                  <w:r>
                    <w:rPr>
                      <w:bCs/>
                      <w:color w:val="000000"/>
                    </w:rPr>
                    <w:t>20</w:t>
                  </w:r>
                </w:p>
              </w:tc>
            </w:tr>
          </w:tbl>
          <w:p w14:paraId="3368DCA6">
            <w:pPr>
              <w:autoSpaceDE w:val="0"/>
              <w:autoSpaceDN w:val="0"/>
              <w:adjustRightInd w:val="0"/>
              <w:spacing w:line="360" w:lineRule="auto"/>
              <w:jc w:val="center"/>
              <w:textAlignment w:val="baseline"/>
              <w:rPr>
                <w:b/>
                <w:sz w:val="24"/>
                <w:szCs w:val="24"/>
              </w:rPr>
            </w:pPr>
            <w:r>
              <w:rPr>
                <w:b/>
                <w:bCs/>
                <w:kern w:val="0"/>
                <w:sz w:val="24"/>
                <w:szCs w:val="24"/>
              </w:rPr>
              <w:t>表3-7  天然气燃烧废气</w:t>
            </w:r>
            <w:r>
              <w:rPr>
                <w:b/>
                <w:sz w:val="24"/>
                <w:szCs w:val="24"/>
              </w:rPr>
              <w:t>《大气</w:t>
            </w:r>
            <w:r>
              <w:rPr>
                <w:rFonts w:hint="eastAsia"/>
                <w:b/>
                <w:sz w:val="24"/>
                <w:szCs w:val="24"/>
                <w:lang w:eastAsia="zh-CN"/>
              </w:rPr>
              <w:t>污染物</w:t>
            </w:r>
            <w:r>
              <w:rPr>
                <w:b/>
                <w:sz w:val="24"/>
                <w:szCs w:val="24"/>
              </w:rPr>
              <w:t>综合排放标准》（GB 16297-1996）</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88"/>
              <w:gridCol w:w="2088"/>
              <w:gridCol w:w="2090"/>
              <w:gridCol w:w="2091"/>
            </w:tblGrid>
            <w:tr w14:paraId="4454D8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2131" w:type="dxa"/>
                  <w:vMerge w:val="restart"/>
                  <w:tcBorders>
                    <w:top w:val="single" w:color="auto" w:sz="12" w:space="0"/>
                    <w:left w:val="single" w:color="auto" w:sz="12" w:space="0"/>
                    <w:bottom w:val="single" w:color="auto" w:sz="4" w:space="0"/>
                    <w:right w:val="single" w:color="auto" w:sz="4" w:space="0"/>
                  </w:tcBorders>
                  <w:vAlign w:val="center"/>
                </w:tcPr>
                <w:p w14:paraId="341A8785">
                  <w:pPr>
                    <w:autoSpaceDE w:val="0"/>
                    <w:autoSpaceDN w:val="0"/>
                    <w:adjustRightInd w:val="0"/>
                    <w:snapToGrid w:val="0"/>
                    <w:jc w:val="center"/>
                    <w:textAlignment w:val="baseline"/>
                    <w:rPr>
                      <w:b/>
                      <w:bCs/>
                      <w:color w:val="000000"/>
                      <w:kern w:val="0"/>
                      <w:szCs w:val="21"/>
                      <w:lang w:eastAsia="en-US"/>
                    </w:rPr>
                  </w:pPr>
                  <w:r>
                    <w:rPr>
                      <w:b/>
                      <w:bCs/>
                      <w:color w:val="000000"/>
                      <w:kern w:val="0"/>
                      <w:lang w:eastAsia="en-US"/>
                    </w:rPr>
                    <w:t>序号</w:t>
                  </w:r>
                </w:p>
              </w:tc>
              <w:tc>
                <w:tcPr>
                  <w:tcW w:w="2132" w:type="dxa"/>
                  <w:vMerge w:val="restart"/>
                  <w:tcBorders>
                    <w:top w:val="single" w:color="auto" w:sz="12" w:space="0"/>
                    <w:left w:val="single" w:color="auto" w:sz="4" w:space="0"/>
                    <w:bottom w:val="single" w:color="auto" w:sz="4" w:space="0"/>
                    <w:right w:val="single" w:color="auto" w:sz="4" w:space="0"/>
                  </w:tcBorders>
                  <w:vAlign w:val="center"/>
                </w:tcPr>
                <w:p w14:paraId="3790FAEE">
                  <w:pPr>
                    <w:autoSpaceDE w:val="0"/>
                    <w:autoSpaceDN w:val="0"/>
                    <w:adjustRightInd w:val="0"/>
                    <w:snapToGrid w:val="0"/>
                    <w:jc w:val="center"/>
                    <w:textAlignment w:val="baseline"/>
                    <w:rPr>
                      <w:b/>
                      <w:bCs/>
                      <w:color w:val="000000"/>
                      <w:kern w:val="0"/>
                      <w:lang w:eastAsia="en-US"/>
                    </w:rPr>
                  </w:pPr>
                  <w:r>
                    <w:rPr>
                      <w:b/>
                      <w:bCs/>
                      <w:color w:val="000000"/>
                      <w:kern w:val="0"/>
                      <w:lang w:eastAsia="en-US"/>
                    </w:rPr>
                    <w:t>污染物</w:t>
                  </w:r>
                </w:p>
              </w:tc>
              <w:tc>
                <w:tcPr>
                  <w:tcW w:w="4269" w:type="dxa"/>
                  <w:gridSpan w:val="2"/>
                  <w:tcBorders>
                    <w:top w:val="single" w:color="auto" w:sz="12" w:space="0"/>
                    <w:left w:val="single" w:color="auto" w:sz="4" w:space="0"/>
                    <w:bottom w:val="single" w:color="auto" w:sz="4" w:space="0"/>
                    <w:right w:val="single" w:color="auto" w:sz="12" w:space="0"/>
                  </w:tcBorders>
                  <w:vAlign w:val="center"/>
                </w:tcPr>
                <w:p w14:paraId="116F1C57">
                  <w:pPr>
                    <w:autoSpaceDE w:val="0"/>
                    <w:autoSpaceDN w:val="0"/>
                    <w:adjustRightInd w:val="0"/>
                    <w:snapToGrid w:val="0"/>
                    <w:jc w:val="center"/>
                    <w:textAlignment w:val="baseline"/>
                    <w:rPr>
                      <w:b/>
                      <w:bCs/>
                      <w:color w:val="000000"/>
                      <w:kern w:val="0"/>
                    </w:rPr>
                  </w:pPr>
                  <w:r>
                    <w:rPr>
                      <w:b/>
                      <w:bCs/>
                      <w:color w:val="000000"/>
                      <w:kern w:val="0"/>
                    </w:rPr>
                    <w:t>无组织排放监控浓度限值</w:t>
                  </w:r>
                </w:p>
              </w:tc>
            </w:tr>
            <w:tr w14:paraId="40D44D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2085" w:type="dxa"/>
                  <w:vMerge w:val="continue"/>
                  <w:tcBorders>
                    <w:top w:val="single" w:color="auto" w:sz="12" w:space="0"/>
                    <w:left w:val="single" w:color="auto" w:sz="12" w:space="0"/>
                    <w:bottom w:val="single" w:color="auto" w:sz="4" w:space="0"/>
                    <w:right w:val="single" w:color="auto" w:sz="4" w:space="0"/>
                  </w:tcBorders>
                  <w:vAlign w:val="center"/>
                </w:tcPr>
                <w:p w14:paraId="67DA4B60">
                  <w:pPr>
                    <w:widowControl/>
                    <w:snapToGrid w:val="0"/>
                    <w:jc w:val="left"/>
                    <w:rPr>
                      <w:b/>
                      <w:bCs/>
                      <w:color w:val="000000"/>
                      <w:kern w:val="0"/>
                      <w:szCs w:val="21"/>
                    </w:rPr>
                  </w:pPr>
                </w:p>
              </w:tc>
              <w:tc>
                <w:tcPr>
                  <w:tcW w:w="2086" w:type="dxa"/>
                  <w:vMerge w:val="continue"/>
                  <w:tcBorders>
                    <w:top w:val="single" w:color="auto" w:sz="12" w:space="0"/>
                    <w:left w:val="single" w:color="auto" w:sz="4" w:space="0"/>
                    <w:bottom w:val="single" w:color="auto" w:sz="4" w:space="0"/>
                    <w:right w:val="single" w:color="auto" w:sz="4" w:space="0"/>
                  </w:tcBorders>
                  <w:vAlign w:val="center"/>
                </w:tcPr>
                <w:p w14:paraId="70F953DC">
                  <w:pPr>
                    <w:widowControl/>
                    <w:snapToGrid w:val="0"/>
                    <w:jc w:val="left"/>
                    <w:rPr>
                      <w:b/>
                      <w:bCs/>
                      <w:color w:val="000000"/>
                      <w:kern w:val="0"/>
                      <w:szCs w:val="21"/>
                    </w:rPr>
                  </w:pPr>
                </w:p>
              </w:tc>
              <w:tc>
                <w:tcPr>
                  <w:tcW w:w="2134" w:type="dxa"/>
                  <w:tcBorders>
                    <w:top w:val="single" w:color="auto" w:sz="4" w:space="0"/>
                    <w:left w:val="single" w:color="auto" w:sz="4" w:space="0"/>
                    <w:bottom w:val="single" w:color="auto" w:sz="4" w:space="0"/>
                    <w:right w:val="single" w:color="auto" w:sz="4" w:space="0"/>
                  </w:tcBorders>
                  <w:vAlign w:val="center"/>
                </w:tcPr>
                <w:p w14:paraId="0FF46D4B">
                  <w:pPr>
                    <w:autoSpaceDE w:val="0"/>
                    <w:autoSpaceDN w:val="0"/>
                    <w:adjustRightInd w:val="0"/>
                    <w:snapToGrid w:val="0"/>
                    <w:jc w:val="center"/>
                    <w:textAlignment w:val="baseline"/>
                    <w:rPr>
                      <w:bCs/>
                      <w:color w:val="000000"/>
                      <w:kern w:val="0"/>
                    </w:rPr>
                  </w:pPr>
                  <w:r>
                    <w:rPr>
                      <w:bCs/>
                      <w:color w:val="000000"/>
                      <w:kern w:val="0"/>
                    </w:rPr>
                    <w:t>监控点</w:t>
                  </w:r>
                </w:p>
              </w:tc>
              <w:tc>
                <w:tcPr>
                  <w:tcW w:w="2135" w:type="dxa"/>
                  <w:tcBorders>
                    <w:top w:val="single" w:color="auto" w:sz="4" w:space="0"/>
                    <w:left w:val="single" w:color="auto" w:sz="4" w:space="0"/>
                    <w:bottom w:val="single" w:color="auto" w:sz="4" w:space="0"/>
                    <w:right w:val="single" w:color="auto" w:sz="12" w:space="0"/>
                  </w:tcBorders>
                  <w:vAlign w:val="center"/>
                </w:tcPr>
                <w:p w14:paraId="0F730197">
                  <w:pPr>
                    <w:autoSpaceDE w:val="0"/>
                    <w:autoSpaceDN w:val="0"/>
                    <w:adjustRightInd w:val="0"/>
                    <w:snapToGrid w:val="0"/>
                    <w:jc w:val="center"/>
                    <w:textAlignment w:val="baseline"/>
                    <w:rPr>
                      <w:bCs/>
                      <w:color w:val="000000"/>
                      <w:kern w:val="0"/>
                    </w:rPr>
                  </w:pPr>
                  <w:r>
                    <w:rPr>
                      <w:bCs/>
                      <w:color w:val="000000"/>
                      <w:kern w:val="0"/>
                    </w:rPr>
                    <w:t>监控浓度mg/m³</w:t>
                  </w:r>
                </w:p>
              </w:tc>
            </w:tr>
            <w:tr w14:paraId="780B8B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4" w:hRule="atLeast"/>
                <w:jc w:val="center"/>
              </w:trPr>
              <w:tc>
                <w:tcPr>
                  <w:tcW w:w="2131" w:type="dxa"/>
                  <w:tcBorders>
                    <w:top w:val="single" w:color="auto" w:sz="4" w:space="0"/>
                    <w:left w:val="single" w:color="auto" w:sz="12" w:space="0"/>
                    <w:bottom w:val="single" w:color="auto" w:sz="4" w:space="0"/>
                    <w:right w:val="single" w:color="auto" w:sz="4" w:space="0"/>
                  </w:tcBorders>
                  <w:vAlign w:val="center"/>
                </w:tcPr>
                <w:p w14:paraId="0B3AA4CD">
                  <w:pPr>
                    <w:autoSpaceDE w:val="0"/>
                    <w:autoSpaceDN w:val="0"/>
                    <w:adjustRightInd w:val="0"/>
                    <w:snapToGrid w:val="0"/>
                    <w:jc w:val="center"/>
                    <w:textAlignment w:val="baseline"/>
                    <w:rPr>
                      <w:bCs/>
                      <w:color w:val="000000"/>
                      <w:kern w:val="0"/>
                    </w:rPr>
                  </w:pPr>
                  <w:r>
                    <w:rPr>
                      <w:bCs/>
                      <w:color w:val="000000"/>
                      <w:kern w:val="0"/>
                    </w:rPr>
                    <w:t>1</w:t>
                  </w:r>
                </w:p>
              </w:tc>
              <w:tc>
                <w:tcPr>
                  <w:tcW w:w="2132" w:type="dxa"/>
                  <w:tcBorders>
                    <w:top w:val="single" w:color="auto" w:sz="4" w:space="0"/>
                    <w:left w:val="single" w:color="auto" w:sz="4" w:space="0"/>
                    <w:bottom w:val="single" w:color="auto" w:sz="4" w:space="0"/>
                    <w:right w:val="single" w:color="auto" w:sz="4" w:space="0"/>
                  </w:tcBorders>
                  <w:vAlign w:val="center"/>
                </w:tcPr>
                <w:p w14:paraId="1D8ABBCA">
                  <w:pPr>
                    <w:overflowPunct w:val="0"/>
                    <w:snapToGrid w:val="0"/>
                    <w:jc w:val="center"/>
                    <w:rPr>
                      <w:bCs/>
                      <w:color w:val="000000"/>
                      <w:kern w:val="0"/>
                    </w:rPr>
                  </w:pPr>
                  <w:r>
                    <w:rPr>
                      <w:bCs/>
                      <w:color w:val="000000"/>
                    </w:rPr>
                    <w:t>二氧化硫</w:t>
                  </w:r>
                </w:p>
              </w:tc>
              <w:tc>
                <w:tcPr>
                  <w:tcW w:w="2134" w:type="dxa"/>
                  <w:vMerge w:val="restart"/>
                  <w:tcBorders>
                    <w:top w:val="single" w:color="auto" w:sz="4" w:space="0"/>
                    <w:left w:val="single" w:color="auto" w:sz="4" w:space="0"/>
                    <w:bottom w:val="single" w:color="auto" w:sz="4" w:space="0"/>
                    <w:right w:val="single" w:color="auto" w:sz="4" w:space="0"/>
                  </w:tcBorders>
                  <w:vAlign w:val="center"/>
                </w:tcPr>
                <w:p w14:paraId="657EEBD9">
                  <w:pPr>
                    <w:autoSpaceDE w:val="0"/>
                    <w:autoSpaceDN w:val="0"/>
                    <w:adjustRightInd w:val="0"/>
                    <w:snapToGrid w:val="0"/>
                    <w:jc w:val="center"/>
                    <w:textAlignment w:val="baseline"/>
                    <w:rPr>
                      <w:bCs/>
                      <w:color w:val="000000"/>
                      <w:kern w:val="0"/>
                    </w:rPr>
                  </w:pPr>
                  <w:r>
                    <w:rPr>
                      <w:bCs/>
                      <w:color w:val="000000"/>
                      <w:kern w:val="0"/>
                    </w:rPr>
                    <w:t>周界外浓度最高点</w:t>
                  </w:r>
                </w:p>
              </w:tc>
              <w:tc>
                <w:tcPr>
                  <w:tcW w:w="2135" w:type="dxa"/>
                  <w:tcBorders>
                    <w:top w:val="single" w:color="auto" w:sz="4" w:space="0"/>
                    <w:left w:val="single" w:color="auto" w:sz="4" w:space="0"/>
                    <w:bottom w:val="single" w:color="auto" w:sz="4" w:space="0"/>
                    <w:right w:val="single" w:color="auto" w:sz="12" w:space="0"/>
                  </w:tcBorders>
                  <w:vAlign w:val="center"/>
                </w:tcPr>
                <w:p w14:paraId="615E93EB">
                  <w:pPr>
                    <w:autoSpaceDE w:val="0"/>
                    <w:autoSpaceDN w:val="0"/>
                    <w:adjustRightInd w:val="0"/>
                    <w:snapToGrid w:val="0"/>
                    <w:jc w:val="center"/>
                    <w:textAlignment w:val="baseline"/>
                    <w:rPr>
                      <w:bCs/>
                      <w:color w:val="000000"/>
                      <w:kern w:val="0"/>
                    </w:rPr>
                  </w:pPr>
                  <w:r>
                    <w:rPr>
                      <w:bCs/>
                      <w:color w:val="000000"/>
                      <w:kern w:val="0"/>
                    </w:rPr>
                    <w:t>0.4</w:t>
                  </w:r>
                </w:p>
              </w:tc>
            </w:tr>
            <w:tr w14:paraId="3BF72F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31" w:type="dxa"/>
                  <w:tcBorders>
                    <w:top w:val="single" w:color="auto" w:sz="4" w:space="0"/>
                    <w:left w:val="single" w:color="auto" w:sz="12" w:space="0"/>
                    <w:bottom w:val="single" w:color="auto" w:sz="4" w:space="0"/>
                    <w:right w:val="single" w:color="auto" w:sz="4" w:space="0"/>
                  </w:tcBorders>
                  <w:vAlign w:val="center"/>
                </w:tcPr>
                <w:p w14:paraId="6769F572">
                  <w:pPr>
                    <w:autoSpaceDE w:val="0"/>
                    <w:autoSpaceDN w:val="0"/>
                    <w:adjustRightInd w:val="0"/>
                    <w:snapToGrid w:val="0"/>
                    <w:jc w:val="center"/>
                    <w:textAlignment w:val="baseline"/>
                    <w:rPr>
                      <w:bCs/>
                      <w:color w:val="000000"/>
                      <w:kern w:val="0"/>
                    </w:rPr>
                  </w:pPr>
                  <w:r>
                    <w:rPr>
                      <w:bCs/>
                      <w:color w:val="000000"/>
                      <w:kern w:val="0"/>
                    </w:rPr>
                    <w:t>2</w:t>
                  </w:r>
                </w:p>
              </w:tc>
              <w:tc>
                <w:tcPr>
                  <w:tcW w:w="2132" w:type="dxa"/>
                  <w:tcBorders>
                    <w:top w:val="single" w:color="auto" w:sz="4" w:space="0"/>
                    <w:left w:val="single" w:color="auto" w:sz="4" w:space="0"/>
                    <w:bottom w:val="single" w:color="auto" w:sz="4" w:space="0"/>
                    <w:right w:val="single" w:color="auto" w:sz="4" w:space="0"/>
                  </w:tcBorders>
                  <w:vAlign w:val="center"/>
                </w:tcPr>
                <w:p w14:paraId="337A8F9D">
                  <w:pPr>
                    <w:overflowPunct w:val="0"/>
                    <w:snapToGrid w:val="0"/>
                    <w:jc w:val="center"/>
                    <w:rPr>
                      <w:bCs/>
                      <w:color w:val="000000"/>
                      <w:kern w:val="0"/>
                    </w:rPr>
                  </w:pPr>
                  <w:r>
                    <w:rPr>
                      <w:bCs/>
                      <w:color w:val="000000"/>
                    </w:rPr>
                    <w:t>氮氧化物</w:t>
                  </w:r>
                </w:p>
              </w:tc>
              <w:tc>
                <w:tcPr>
                  <w:tcW w:w="2088" w:type="dxa"/>
                  <w:vMerge w:val="continue"/>
                  <w:tcBorders>
                    <w:top w:val="single" w:color="auto" w:sz="4" w:space="0"/>
                    <w:left w:val="single" w:color="auto" w:sz="4" w:space="0"/>
                    <w:bottom w:val="single" w:color="auto" w:sz="4" w:space="0"/>
                    <w:right w:val="single" w:color="auto" w:sz="4" w:space="0"/>
                  </w:tcBorders>
                  <w:vAlign w:val="center"/>
                </w:tcPr>
                <w:p w14:paraId="11317D69">
                  <w:pPr>
                    <w:widowControl/>
                    <w:snapToGrid w:val="0"/>
                    <w:jc w:val="left"/>
                    <w:rPr>
                      <w:bCs/>
                      <w:color w:val="000000"/>
                      <w:kern w:val="0"/>
                      <w:szCs w:val="21"/>
                    </w:rPr>
                  </w:pPr>
                </w:p>
              </w:tc>
              <w:tc>
                <w:tcPr>
                  <w:tcW w:w="2135" w:type="dxa"/>
                  <w:tcBorders>
                    <w:top w:val="single" w:color="auto" w:sz="4" w:space="0"/>
                    <w:left w:val="single" w:color="auto" w:sz="4" w:space="0"/>
                    <w:bottom w:val="single" w:color="auto" w:sz="4" w:space="0"/>
                    <w:right w:val="single" w:color="auto" w:sz="12" w:space="0"/>
                  </w:tcBorders>
                  <w:vAlign w:val="center"/>
                </w:tcPr>
                <w:p w14:paraId="0F6CDF1E">
                  <w:pPr>
                    <w:autoSpaceDE w:val="0"/>
                    <w:autoSpaceDN w:val="0"/>
                    <w:adjustRightInd w:val="0"/>
                    <w:snapToGrid w:val="0"/>
                    <w:jc w:val="center"/>
                    <w:textAlignment w:val="baseline"/>
                    <w:rPr>
                      <w:bCs/>
                      <w:color w:val="000000"/>
                      <w:kern w:val="0"/>
                    </w:rPr>
                  </w:pPr>
                  <w:r>
                    <w:rPr>
                      <w:bCs/>
                      <w:color w:val="000000"/>
                      <w:kern w:val="0"/>
                    </w:rPr>
                    <w:t>0.12</w:t>
                  </w:r>
                </w:p>
              </w:tc>
            </w:tr>
            <w:tr w14:paraId="3E7757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31" w:type="dxa"/>
                  <w:tcBorders>
                    <w:top w:val="single" w:color="auto" w:sz="4" w:space="0"/>
                    <w:left w:val="single" w:color="auto" w:sz="12" w:space="0"/>
                    <w:bottom w:val="single" w:color="auto" w:sz="12" w:space="0"/>
                    <w:right w:val="single" w:color="auto" w:sz="4" w:space="0"/>
                  </w:tcBorders>
                  <w:vAlign w:val="center"/>
                </w:tcPr>
                <w:p w14:paraId="5F6FF96F">
                  <w:pPr>
                    <w:autoSpaceDE w:val="0"/>
                    <w:autoSpaceDN w:val="0"/>
                    <w:adjustRightInd w:val="0"/>
                    <w:snapToGrid w:val="0"/>
                    <w:jc w:val="center"/>
                    <w:textAlignment w:val="baseline"/>
                    <w:rPr>
                      <w:bCs/>
                      <w:color w:val="000000"/>
                      <w:kern w:val="0"/>
                    </w:rPr>
                  </w:pPr>
                  <w:r>
                    <w:rPr>
                      <w:bCs/>
                      <w:color w:val="000000"/>
                      <w:kern w:val="0"/>
                    </w:rPr>
                    <w:t>3</w:t>
                  </w:r>
                </w:p>
              </w:tc>
              <w:tc>
                <w:tcPr>
                  <w:tcW w:w="2132" w:type="dxa"/>
                  <w:tcBorders>
                    <w:top w:val="single" w:color="auto" w:sz="4" w:space="0"/>
                    <w:left w:val="single" w:color="auto" w:sz="4" w:space="0"/>
                    <w:bottom w:val="single" w:color="auto" w:sz="12" w:space="0"/>
                    <w:right w:val="single" w:color="auto" w:sz="4" w:space="0"/>
                  </w:tcBorders>
                  <w:vAlign w:val="center"/>
                </w:tcPr>
                <w:p w14:paraId="6FD9DDA5">
                  <w:pPr>
                    <w:autoSpaceDE w:val="0"/>
                    <w:autoSpaceDN w:val="0"/>
                    <w:adjustRightInd w:val="0"/>
                    <w:snapToGrid w:val="0"/>
                    <w:jc w:val="center"/>
                    <w:textAlignment w:val="baseline"/>
                    <w:rPr>
                      <w:bCs/>
                      <w:color w:val="000000"/>
                      <w:kern w:val="0"/>
                    </w:rPr>
                  </w:pPr>
                  <w:r>
                    <w:rPr>
                      <w:bCs/>
                      <w:color w:val="000000"/>
                    </w:rPr>
                    <w:t>颗粒物</w:t>
                  </w:r>
                </w:p>
              </w:tc>
              <w:tc>
                <w:tcPr>
                  <w:tcW w:w="2088" w:type="dxa"/>
                  <w:vMerge w:val="continue"/>
                  <w:tcBorders>
                    <w:top w:val="single" w:color="auto" w:sz="4" w:space="0"/>
                    <w:left w:val="single" w:color="auto" w:sz="4" w:space="0"/>
                    <w:bottom w:val="single" w:color="auto" w:sz="12" w:space="0"/>
                    <w:right w:val="single" w:color="auto" w:sz="4" w:space="0"/>
                  </w:tcBorders>
                  <w:vAlign w:val="center"/>
                </w:tcPr>
                <w:p w14:paraId="456F65B3">
                  <w:pPr>
                    <w:widowControl/>
                    <w:snapToGrid w:val="0"/>
                    <w:jc w:val="left"/>
                    <w:rPr>
                      <w:bCs/>
                      <w:color w:val="000000"/>
                      <w:kern w:val="0"/>
                      <w:szCs w:val="21"/>
                    </w:rPr>
                  </w:pPr>
                </w:p>
              </w:tc>
              <w:tc>
                <w:tcPr>
                  <w:tcW w:w="2135" w:type="dxa"/>
                  <w:tcBorders>
                    <w:top w:val="single" w:color="auto" w:sz="4" w:space="0"/>
                    <w:left w:val="single" w:color="auto" w:sz="4" w:space="0"/>
                    <w:bottom w:val="single" w:color="auto" w:sz="12" w:space="0"/>
                    <w:right w:val="single" w:color="auto" w:sz="12" w:space="0"/>
                  </w:tcBorders>
                  <w:vAlign w:val="center"/>
                </w:tcPr>
                <w:p w14:paraId="538DC4D8">
                  <w:pPr>
                    <w:autoSpaceDE w:val="0"/>
                    <w:autoSpaceDN w:val="0"/>
                    <w:adjustRightInd w:val="0"/>
                    <w:snapToGrid w:val="0"/>
                    <w:jc w:val="center"/>
                    <w:textAlignment w:val="baseline"/>
                    <w:rPr>
                      <w:bCs/>
                      <w:color w:val="000000"/>
                      <w:kern w:val="0"/>
                    </w:rPr>
                  </w:pPr>
                  <w:r>
                    <w:rPr>
                      <w:bCs/>
                      <w:color w:val="000000"/>
                      <w:kern w:val="0"/>
                    </w:rPr>
                    <w:t>1.0</w:t>
                  </w:r>
                </w:p>
              </w:tc>
            </w:tr>
          </w:tbl>
          <w:p w14:paraId="0A3C4627">
            <w:pPr>
              <w:tabs>
                <w:tab w:val="left" w:pos="2196"/>
              </w:tabs>
              <w:spacing w:line="360" w:lineRule="auto"/>
              <w:jc w:val="center"/>
              <w:rPr>
                <w:b/>
                <w:sz w:val="24"/>
                <w:szCs w:val="24"/>
              </w:rPr>
            </w:pPr>
            <w:r>
              <w:rPr>
                <w:b/>
                <w:sz w:val="24"/>
                <w:szCs w:val="24"/>
                <w:lang w:bidi="ar"/>
              </w:rPr>
              <w:t>表3-8  《饮食业油烟排放标准（试行）》（摘要）</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
            <w:tblGrid>
              <w:gridCol w:w="5039"/>
              <w:gridCol w:w="3315"/>
            </w:tblGrid>
            <w:tr w14:paraId="331F27C9">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3015" w:type="pct"/>
                  <w:tcBorders>
                    <w:bottom w:val="single" w:color="000000" w:sz="6" w:space="0"/>
                    <w:right w:val="single" w:color="000000" w:sz="6" w:space="0"/>
                  </w:tcBorders>
                  <w:vAlign w:val="center"/>
                </w:tcPr>
                <w:p w14:paraId="077D4C85">
                  <w:pPr>
                    <w:overflowPunct w:val="0"/>
                    <w:jc w:val="center"/>
                    <w:rPr>
                      <w:b/>
                      <w:szCs w:val="21"/>
                    </w:rPr>
                  </w:pPr>
                  <w:r>
                    <w:rPr>
                      <w:b/>
                      <w:szCs w:val="21"/>
                      <w:lang w:bidi="ar"/>
                    </w:rPr>
                    <w:t>规模</w:t>
                  </w:r>
                </w:p>
              </w:tc>
              <w:tc>
                <w:tcPr>
                  <w:tcW w:w="1984" w:type="pct"/>
                  <w:tcBorders>
                    <w:left w:val="single" w:color="000000" w:sz="6" w:space="0"/>
                    <w:bottom w:val="single" w:color="000000" w:sz="6" w:space="0"/>
                  </w:tcBorders>
                  <w:vAlign w:val="center"/>
                </w:tcPr>
                <w:p w14:paraId="2F206C56">
                  <w:pPr>
                    <w:overflowPunct w:val="0"/>
                    <w:jc w:val="center"/>
                    <w:rPr>
                      <w:b/>
                      <w:szCs w:val="21"/>
                    </w:rPr>
                  </w:pPr>
                  <w:r>
                    <w:rPr>
                      <w:b/>
                      <w:szCs w:val="21"/>
                      <w:lang w:bidi="ar"/>
                    </w:rPr>
                    <w:t>大型</w:t>
                  </w:r>
                </w:p>
              </w:tc>
            </w:tr>
            <w:tr w14:paraId="2AFB08D6">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3015" w:type="pct"/>
                  <w:tcBorders>
                    <w:top w:val="single" w:color="000000" w:sz="6" w:space="0"/>
                    <w:bottom w:val="single" w:color="000000" w:sz="6" w:space="0"/>
                    <w:right w:val="single" w:color="000000" w:sz="6" w:space="0"/>
                  </w:tcBorders>
                  <w:vAlign w:val="center"/>
                </w:tcPr>
                <w:p w14:paraId="4EE677DB">
                  <w:pPr>
                    <w:overflowPunct w:val="0"/>
                    <w:jc w:val="center"/>
                    <w:rPr>
                      <w:bCs/>
                      <w:szCs w:val="21"/>
                    </w:rPr>
                  </w:pPr>
                  <w:r>
                    <w:rPr>
                      <w:bCs/>
                      <w:szCs w:val="21"/>
                      <w:lang w:bidi="ar"/>
                    </w:rPr>
                    <w:t>最高允许排放浓度（mg/m</w:t>
                  </w:r>
                  <w:r>
                    <w:rPr>
                      <w:bCs/>
                      <w:szCs w:val="21"/>
                      <w:vertAlign w:val="superscript"/>
                      <w:lang w:bidi="ar"/>
                    </w:rPr>
                    <w:t>3</w:t>
                  </w:r>
                  <w:r>
                    <w:rPr>
                      <w:bCs/>
                      <w:szCs w:val="21"/>
                      <w:lang w:bidi="ar"/>
                    </w:rPr>
                    <w:t>）</w:t>
                  </w:r>
                </w:p>
              </w:tc>
              <w:tc>
                <w:tcPr>
                  <w:tcW w:w="1984" w:type="pct"/>
                  <w:tcBorders>
                    <w:top w:val="single" w:color="000000" w:sz="6" w:space="0"/>
                    <w:left w:val="single" w:color="000000" w:sz="6" w:space="0"/>
                    <w:bottom w:val="single" w:color="000000" w:sz="6" w:space="0"/>
                  </w:tcBorders>
                  <w:vAlign w:val="center"/>
                </w:tcPr>
                <w:p w14:paraId="0B71B3F1">
                  <w:pPr>
                    <w:overflowPunct w:val="0"/>
                    <w:jc w:val="center"/>
                    <w:rPr>
                      <w:bCs/>
                      <w:szCs w:val="21"/>
                    </w:rPr>
                  </w:pPr>
                  <w:r>
                    <w:rPr>
                      <w:bCs/>
                      <w:szCs w:val="21"/>
                      <w:lang w:bidi="ar"/>
                    </w:rPr>
                    <w:t>2.0</w:t>
                  </w:r>
                </w:p>
              </w:tc>
            </w:tr>
            <w:tr w14:paraId="00E90315">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3015" w:type="pct"/>
                  <w:tcBorders>
                    <w:top w:val="single" w:color="000000" w:sz="6" w:space="0"/>
                    <w:right w:val="single" w:color="000000" w:sz="6" w:space="0"/>
                  </w:tcBorders>
                  <w:vAlign w:val="center"/>
                </w:tcPr>
                <w:p w14:paraId="1534F3E1">
                  <w:pPr>
                    <w:overflowPunct w:val="0"/>
                    <w:jc w:val="center"/>
                    <w:rPr>
                      <w:bCs/>
                      <w:szCs w:val="21"/>
                    </w:rPr>
                  </w:pPr>
                  <w:r>
                    <w:rPr>
                      <w:bCs/>
                      <w:szCs w:val="21"/>
                      <w:lang w:bidi="ar"/>
                    </w:rPr>
                    <w:t>净化设施最低去除效率（%）</w:t>
                  </w:r>
                </w:p>
              </w:tc>
              <w:tc>
                <w:tcPr>
                  <w:tcW w:w="1984" w:type="pct"/>
                  <w:tcBorders>
                    <w:top w:val="single" w:color="000000" w:sz="6" w:space="0"/>
                    <w:left w:val="single" w:color="000000" w:sz="6" w:space="0"/>
                  </w:tcBorders>
                  <w:vAlign w:val="center"/>
                </w:tcPr>
                <w:p w14:paraId="6D2C11BD">
                  <w:pPr>
                    <w:overflowPunct w:val="0"/>
                    <w:jc w:val="center"/>
                    <w:rPr>
                      <w:bCs/>
                      <w:szCs w:val="21"/>
                    </w:rPr>
                  </w:pPr>
                  <w:r>
                    <w:rPr>
                      <w:bCs/>
                      <w:szCs w:val="21"/>
                      <w:lang w:bidi="ar"/>
                    </w:rPr>
                    <w:t>85</w:t>
                  </w:r>
                </w:p>
              </w:tc>
            </w:tr>
          </w:tbl>
          <w:p w14:paraId="1E2D7413">
            <w:pPr>
              <w:wordWrap w:val="0"/>
              <w:autoSpaceDE w:val="0"/>
              <w:autoSpaceDN w:val="0"/>
              <w:adjustRightInd w:val="0"/>
              <w:spacing w:line="360" w:lineRule="auto"/>
              <w:textAlignment w:val="baseline"/>
              <w:rPr>
                <w:b/>
                <w:bCs/>
                <w:kern w:val="0"/>
                <w:sz w:val="24"/>
                <w:szCs w:val="24"/>
              </w:rPr>
            </w:pPr>
          </w:p>
          <w:p w14:paraId="088B9A7E">
            <w:pPr>
              <w:wordWrap w:val="0"/>
              <w:autoSpaceDE w:val="0"/>
              <w:autoSpaceDN w:val="0"/>
              <w:adjustRightInd w:val="0"/>
              <w:spacing w:line="360" w:lineRule="auto"/>
              <w:textAlignment w:val="baseline"/>
              <w:rPr>
                <w:b/>
                <w:bCs/>
                <w:kern w:val="0"/>
                <w:sz w:val="24"/>
                <w:szCs w:val="24"/>
              </w:rPr>
            </w:pPr>
            <w:r>
              <w:rPr>
                <w:b/>
                <w:bCs/>
                <w:kern w:val="0"/>
                <w:sz w:val="24"/>
                <w:szCs w:val="24"/>
              </w:rPr>
              <w:t>2 水污染物</w:t>
            </w:r>
          </w:p>
          <w:p w14:paraId="2D217431">
            <w:pPr>
              <w:autoSpaceDE w:val="0"/>
              <w:autoSpaceDN w:val="0"/>
              <w:adjustRightInd w:val="0"/>
              <w:spacing w:line="360" w:lineRule="auto"/>
              <w:ind w:firstLine="480" w:firstLineChars="200"/>
              <w:textAlignment w:val="baseline"/>
              <w:rPr>
                <w:bCs/>
                <w:sz w:val="24"/>
                <w:szCs w:val="24"/>
              </w:rPr>
            </w:pPr>
            <w:r>
              <w:rPr>
                <w:bCs/>
                <w:sz w:val="24"/>
                <w:szCs w:val="24"/>
              </w:rPr>
              <w:t>本项目生活污水经隔油池、化粪池预处理后排入市政污水管网，经安化县污水处理厂深度处理，排入资江；</w:t>
            </w:r>
            <w:r>
              <w:rPr>
                <w:rFonts w:hint="eastAsia" w:ascii="宋体" w:hAnsi="宋体" w:cs="宋体"/>
                <w:bCs/>
                <w:sz w:val="24"/>
                <w:szCs w:val="24"/>
              </w:rPr>
              <w:t>生产废水依托湖南华益科技发展有限公司（原名湖南华益食品有限公司）自建污水处理站处理（</w:t>
            </w:r>
            <w:r>
              <w:rPr>
                <w:rFonts w:hint="eastAsia" w:ascii="宋体" w:hAnsi="宋体" w:cs="宋体"/>
                <w:sz w:val="24"/>
                <w:szCs w:val="24"/>
              </w:rPr>
              <w:t>“</w:t>
            </w:r>
            <w:r>
              <w:rPr>
                <w:rFonts w:hint="eastAsia" w:ascii="宋体" w:hAnsi="宋体" w:cs="宋体"/>
                <w:color w:val="000000"/>
                <w:sz w:val="24"/>
                <w:szCs w:val="24"/>
              </w:rPr>
              <w:t>格栅井+调节池+加药沉淀+两级水解酸化+两级接触氧化+竖流沉淀</w:t>
            </w:r>
            <w:r>
              <w:rPr>
                <w:rFonts w:hint="eastAsia" w:ascii="宋体" w:hAnsi="宋体" w:cs="宋体"/>
                <w:sz w:val="24"/>
                <w:szCs w:val="24"/>
              </w:rPr>
              <w:t>”</w:t>
            </w:r>
            <w:r>
              <w:rPr>
                <w:rFonts w:hint="eastAsia" w:ascii="宋体" w:hAnsi="宋体" w:cs="宋体"/>
                <w:bCs/>
                <w:sz w:val="24"/>
                <w:szCs w:val="24"/>
              </w:rPr>
              <w:t>），</w:t>
            </w:r>
            <w:r>
              <w:rPr>
                <w:bCs/>
                <w:sz w:val="24"/>
                <w:szCs w:val="24"/>
              </w:rPr>
              <w:t>pH、COD、BOD、SS</w:t>
            </w:r>
            <w:r>
              <w:rPr>
                <w:rFonts w:hint="eastAsia" w:ascii="宋体" w:hAnsi="宋体" w:cs="宋体"/>
                <w:bCs/>
                <w:sz w:val="24"/>
                <w:szCs w:val="24"/>
              </w:rPr>
              <w:t>、动植物油</w:t>
            </w:r>
            <w:r>
              <w:rPr>
                <w:bCs/>
                <w:sz w:val="24"/>
                <w:szCs w:val="24"/>
              </w:rPr>
              <w:t>达到《污水综合排放标准》（GB8978-1996）表4中三级排放标准限值</w:t>
            </w:r>
            <w:r>
              <w:rPr>
                <w:rFonts w:hint="eastAsia"/>
                <w:bCs/>
                <w:sz w:val="24"/>
                <w:szCs w:val="24"/>
              </w:rPr>
              <w:t>，氨氮、总磷、总氮、</w:t>
            </w:r>
            <w:r>
              <w:rPr>
                <w:sz w:val="24"/>
                <w:szCs w:val="24"/>
              </w:rPr>
              <w:t>氯化物</w:t>
            </w:r>
            <w:r>
              <w:rPr>
                <w:rFonts w:hint="eastAsia"/>
                <w:sz w:val="24"/>
                <w:szCs w:val="24"/>
              </w:rPr>
              <w:t>达到</w:t>
            </w:r>
            <w:r>
              <w:rPr>
                <w:sz w:val="24"/>
                <w:szCs w:val="24"/>
              </w:rPr>
              <w:t>《污水排入城镇下水道水质标准》(GBT31962-2015)表1中B级标准限值</w:t>
            </w:r>
            <w:r>
              <w:rPr>
                <w:rFonts w:hint="eastAsia"/>
                <w:sz w:val="24"/>
                <w:szCs w:val="24"/>
              </w:rPr>
              <w:t>；</w:t>
            </w:r>
            <w:r>
              <w:rPr>
                <w:bCs/>
                <w:sz w:val="24"/>
                <w:szCs w:val="24"/>
              </w:rPr>
              <w:t>排入市政污水管网，由安化县污水处理厂深度处理，安化县污水处理厂出水执行《城镇污水处理厂污染物排放标准》（GB18918-2002）表1中的一级A标准，尾水排入资江</w:t>
            </w:r>
            <w:r>
              <w:rPr>
                <w:color w:val="000000"/>
                <w:sz w:val="24"/>
                <w:szCs w:val="24"/>
              </w:rPr>
              <w:t>。</w:t>
            </w:r>
          </w:p>
          <w:p w14:paraId="0B921568">
            <w:pPr>
              <w:autoSpaceDE w:val="0"/>
              <w:autoSpaceDN w:val="0"/>
              <w:adjustRightInd w:val="0"/>
              <w:spacing w:line="360" w:lineRule="auto"/>
              <w:jc w:val="center"/>
              <w:textAlignment w:val="baseline"/>
              <w:rPr>
                <w:b/>
                <w:bCs/>
                <w:sz w:val="24"/>
                <w:szCs w:val="24"/>
              </w:rPr>
            </w:pPr>
            <w:r>
              <w:rPr>
                <w:b/>
                <w:sz w:val="24"/>
                <w:szCs w:val="24"/>
              </w:rPr>
              <w:t xml:space="preserve">表3-9  </w:t>
            </w:r>
            <w:r>
              <w:rPr>
                <w:b/>
                <w:bCs/>
                <w:sz w:val="24"/>
                <w:szCs w:val="24"/>
              </w:rPr>
              <w:t>项目生产废水排放执行标准  （单位：mg/L，pH 除外）</w:t>
            </w:r>
          </w:p>
          <w:tbl>
            <w:tblPr>
              <w:tblStyle w:val="24"/>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69"/>
              <w:gridCol w:w="626"/>
              <w:gridCol w:w="867"/>
              <w:gridCol w:w="966"/>
              <w:gridCol w:w="900"/>
              <w:gridCol w:w="850"/>
              <w:gridCol w:w="717"/>
              <w:gridCol w:w="683"/>
              <w:gridCol w:w="600"/>
              <w:gridCol w:w="671"/>
            </w:tblGrid>
            <w:tr w14:paraId="48D526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69" w:type="dxa"/>
                  <w:vAlign w:val="center"/>
                </w:tcPr>
                <w:p w14:paraId="00274E3B">
                  <w:pPr>
                    <w:autoSpaceDE w:val="0"/>
                    <w:autoSpaceDN w:val="0"/>
                    <w:adjustRightInd w:val="0"/>
                    <w:jc w:val="center"/>
                    <w:textAlignment w:val="baseline"/>
                    <w:rPr>
                      <w:b/>
                      <w:bCs/>
                      <w:szCs w:val="21"/>
                      <w:u w:val="single"/>
                    </w:rPr>
                  </w:pPr>
                  <w:r>
                    <w:rPr>
                      <w:b/>
                      <w:bCs/>
                      <w:szCs w:val="21"/>
                      <w:u w:val="single"/>
                    </w:rPr>
                    <w:t>项目</w:t>
                  </w:r>
                </w:p>
              </w:tc>
              <w:tc>
                <w:tcPr>
                  <w:tcW w:w="626" w:type="dxa"/>
                  <w:vAlign w:val="center"/>
                </w:tcPr>
                <w:p w14:paraId="129C275D">
                  <w:pPr>
                    <w:autoSpaceDE w:val="0"/>
                    <w:autoSpaceDN w:val="0"/>
                    <w:adjustRightInd w:val="0"/>
                    <w:jc w:val="center"/>
                    <w:textAlignment w:val="baseline"/>
                    <w:rPr>
                      <w:b/>
                      <w:bCs/>
                      <w:szCs w:val="21"/>
                      <w:u w:val="single"/>
                    </w:rPr>
                  </w:pPr>
                  <w:r>
                    <w:rPr>
                      <w:b/>
                      <w:bCs/>
                      <w:szCs w:val="21"/>
                      <w:u w:val="single"/>
                    </w:rPr>
                    <w:t>pH</w:t>
                  </w:r>
                </w:p>
              </w:tc>
              <w:tc>
                <w:tcPr>
                  <w:tcW w:w="867" w:type="dxa"/>
                  <w:vAlign w:val="center"/>
                </w:tcPr>
                <w:p w14:paraId="11393E4C">
                  <w:pPr>
                    <w:autoSpaceDE w:val="0"/>
                    <w:autoSpaceDN w:val="0"/>
                    <w:adjustRightInd w:val="0"/>
                    <w:jc w:val="center"/>
                    <w:textAlignment w:val="baseline"/>
                    <w:rPr>
                      <w:b/>
                      <w:bCs/>
                      <w:szCs w:val="21"/>
                      <w:u w:val="single"/>
                    </w:rPr>
                  </w:pPr>
                  <w:r>
                    <w:rPr>
                      <w:b/>
                      <w:bCs/>
                      <w:szCs w:val="21"/>
                      <w:u w:val="single"/>
                    </w:rPr>
                    <w:t>化学需氧量COD</w:t>
                  </w:r>
                </w:p>
              </w:tc>
              <w:tc>
                <w:tcPr>
                  <w:tcW w:w="966" w:type="dxa"/>
                  <w:vAlign w:val="center"/>
                </w:tcPr>
                <w:p w14:paraId="0ECBDB16">
                  <w:pPr>
                    <w:autoSpaceDE w:val="0"/>
                    <w:autoSpaceDN w:val="0"/>
                    <w:adjustRightInd w:val="0"/>
                    <w:jc w:val="center"/>
                    <w:textAlignment w:val="baseline"/>
                    <w:rPr>
                      <w:b/>
                      <w:bCs/>
                      <w:szCs w:val="21"/>
                      <w:u w:val="single"/>
                    </w:rPr>
                  </w:pPr>
                  <w:r>
                    <w:rPr>
                      <w:b/>
                      <w:bCs/>
                      <w:szCs w:val="21"/>
                      <w:u w:val="single"/>
                    </w:rPr>
                    <w:t>五日生化需氧量BOD</w:t>
                  </w:r>
                  <w:r>
                    <w:rPr>
                      <w:b/>
                      <w:bCs/>
                      <w:szCs w:val="21"/>
                      <w:u w:val="single"/>
                      <w:vertAlign w:val="subscript"/>
                    </w:rPr>
                    <w:t>5</w:t>
                  </w:r>
                </w:p>
              </w:tc>
              <w:tc>
                <w:tcPr>
                  <w:tcW w:w="900" w:type="dxa"/>
                  <w:vAlign w:val="center"/>
                </w:tcPr>
                <w:p w14:paraId="494110C8">
                  <w:pPr>
                    <w:widowControl/>
                    <w:jc w:val="center"/>
                    <w:rPr>
                      <w:b/>
                      <w:bCs/>
                      <w:szCs w:val="21"/>
                      <w:u w:val="single"/>
                    </w:rPr>
                  </w:pPr>
                  <w:r>
                    <w:rPr>
                      <w:b/>
                      <w:bCs/>
                      <w:szCs w:val="21"/>
                      <w:u w:val="single"/>
                    </w:rPr>
                    <w:t>氨氮</w:t>
                  </w:r>
                  <w:r>
                    <w:rPr>
                      <w:b/>
                      <w:bCs/>
                      <w:kern w:val="0"/>
                      <w:szCs w:val="21"/>
                      <w:u w:val="single"/>
                      <w:lang w:bidi="ar"/>
                    </w:rPr>
                    <w:t>NH</w:t>
                  </w:r>
                  <w:r>
                    <w:rPr>
                      <w:b/>
                      <w:bCs/>
                      <w:kern w:val="0"/>
                      <w:szCs w:val="21"/>
                      <w:u w:val="single"/>
                      <w:vertAlign w:val="subscript"/>
                      <w:lang w:bidi="ar"/>
                    </w:rPr>
                    <w:t>3</w:t>
                  </w:r>
                  <w:r>
                    <w:rPr>
                      <w:b/>
                      <w:bCs/>
                      <w:kern w:val="0"/>
                      <w:szCs w:val="21"/>
                      <w:u w:val="single"/>
                      <w:lang w:bidi="ar"/>
                    </w:rPr>
                    <w:t>-N</w:t>
                  </w:r>
                </w:p>
                <w:p w14:paraId="6FE3DFE2">
                  <w:pPr>
                    <w:autoSpaceDE w:val="0"/>
                    <w:autoSpaceDN w:val="0"/>
                    <w:adjustRightInd w:val="0"/>
                    <w:jc w:val="center"/>
                    <w:textAlignment w:val="baseline"/>
                    <w:rPr>
                      <w:b/>
                      <w:bCs/>
                      <w:szCs w:val="21"/>
                      <w:u w:val="single"/>
                    </w:rPr>
                  </w:pPr>
                </w:p>
              </w:tc>
              <w:tc>
                <w:tcPr>
                  <w:tcW w:w="850" w:type="dxa"/>
                  <w:vAlign w:val="center"/>
                </w:tcPr>
                <w:p w14:paraId="5516DA2C">
                  <w:pPr>
                    <w:autoSpaceDE w:val="0"/>
                    <w:autoSpaceDN w:val="0"/>
                    <w:adjustRightInd w:val="0"/>
                    <w:jc w:val="center"/>
                    <w:textAlignment w:val="baseline"/>
                    <w:rPr>
                      <w:b/>
                      <w:bCs/>
                      <w:szCs w:val="21"/>
                      <w:u w:val="single"/>
                    </w:rPr>
                  </w:pPr>
                  <w:r>
                    <w:rPr>
                      <w:b/>
                      <w:bCs/>
                      <w:szCs w:val="21"/>
                      <w:u w:val="single"/>
                    </w:rPr>
                    <w:t>悬浮物SS</w:t>
                  </w:r>
                </w:p>
              </w:tc>
              <w:tc>
                <w:tcPr>
                  <w:tcW w:w="717" w:type="dxa"/>
                  <w:vAlign w:val="center"/>
                </w:tcPr>
                <w:p w14:paraId="7407064D">
                  <w:pPr>
                    <w:autoSpaceDE w:val="0"/>
                    <w:autoSpaceDN w:val="0"/>
                    <w:adjustRightInd w:val="0"/>
                    <w:jc w:val="center"/>
                    <w:textAlignment w:val="baseline"/>
                    <w:rPr>
                      <w:b/>
                      <w:bCs/>
                      <w:szCs w:val="21"/>
                      <w:u w:val="single"/>
                    </w:rPr>
                  </w:pPr>
                  <w:r>
                    <w:rPr>
                      <w:b/>
                      <w:bCs/>
                      <w:szCs w:val="21"/>
                      <w:u w:val="single"/>
                    </w:rPr>
                    <w:t>总氮TN</w:t>
                  </w:r>
                </w:p>
              </w:tc>
              <w:tc>
                <w:tcPr>
                  <w:tcW w:w="683" w:type="dxa"/>
                  <w:vAlign w:val="center"/>
                </w:tcPr>
                <w:p w14:paraId="798B7627">
                  <w:pPr>
                    <w:autoSpaceDE w:val="0"/>
                    <w:autoSpaceDN w:val="0"/>
                    <w:adjustRightInd w:val="0"/>
                    <w:jc w:val="center"/>
                    <w:textAlignment w:val="baseline"/>
                    <w:rPr>
                      <w:b/>
                      <w:bCs/>
                      <w:szCs w:val="21"/>
                      <w:u w:val="single"/>
                    </w:rPr>
                  </w:pPr>
                  <w:r>
                    <w:rPr>
                      <w:b/>
                      <w:bCs/>
                      <w:szCs w:val="21"/>
                      <w:u w:val="single"/>
                    </w:rPr>
                    <w:t>总磷TP</w:t>
                  </w:r>
                </w:p>
              </w:tc>
              <w:tc>
                <w:tcPr>
                  <w:tcW w:w="600" w:type="dxa"/>
                  <w:vAlign w:val="center"/>
                </w:tcPr>
                <w:p w14:paraId="60A00389">
                  <w:pPr>
                    <w:autoSpaceDE w:val="0"/>
                    <w:autoSpaceDN w:val="0"/>
                    <w:adjustRightInd w:val="0"/>
                    <w:jc w:val="center"/>
                    <w:textAlignment w:val="baseline"/>
                    <w:rPr>
                      <w:b/>
                      <w:bCs/>
                      <w:szCs w:val="21"/>
                      <w:u w:val="single"/>
                    </w:rPr>
                  </w:pPr>
                  <w:r>
                    <w:rPr>
                      <w:b/>
                      <w:bCs/>
                      <w:szCs w:val="21"/>
                      <w:u w:val="single"/>
                    </w:rPr>
                    <w:t>动植物油</w:t>
                  </w:r>
                </w:p>
              </w:tc>
              <w:tc>
                <w:tcPr>
                  <w:tcW w:w="671" w:type="dxa"/>
                  <w:vAlign w:val="center"/>
                </w:tcPr>
                <w:p w14:paraId="6D568154">
                  <w:pPr>
                    <w:autoSpaceDE w:val="0"/>
                    <w:autoSpaceDN w:val="0"/>
                    <w:adjustRightInd w:val="0"/>
                    <w:jc w:val="center"/>
                    <w:textAlignment w:val="baseline"/>
                    <w:rPr>
                      <w:b/>
                      <w:bCs/>
                      <w:szCs w:val="21"/>
                      <w:u w:val="single"/>
                    </w:rPr>
                  </w:pPr>
                  <w:r>
                    <w:rPr>
                      <w:rFonts w:hint="eastAsia"/>
                      <w:b/>
                      <w:bCs/>
                      <w:szCs w:val="21"/>
                      <w:u w:val="single"/>
                    </w:rPr>
                    <w:t>氯化物</w:t>
                  </w:r>
                </w:p>
              </w:tc>
            </w:tr>
            <w:tr w14:paraId="276246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69" w:type="dxa"/>
                  <w:vAlign w:val="center"/>
                </w:tcPr>
                <w:p w14:paraId="627F1C35">
                  <w:pPr>
                    <w:autoSpaceDE w:val="0"/>
                    <w:autoSpaceDN w:val="0"/>
                    <w:adjustRightInd w:val="0"/>
                    <w:jc w:val="center"/>
                    <w:textAlignment w:val="baseline"/>
                    <w:rPr>
                      <w:szCs w:val="21"/>
                      <w:u w:val="single"/>
                    </w:rPr>
                  </w:pPr>
                  <w:r>
                    <w:rPr>
                      <w:szCs w:val="21"/>
                      <w:u w:val="single"/>
                    </w:rPr>
                    <w:t>《污水综合排放标准》（GB8978-1996）表4中三级排放标准限值</w:t>
                  </w:r>
                </w:p>
              </w:tc>
              <w:tc>
                <w:tcPr>
                  <w:tcW w:w="626" w:type="dxa"/>
                  <w:vAlign w:val="center"/>
                </w:tcPr>
                <w:p w14:paraId="53EC3DAF">
                  <w:pPr>
                    <w:autoSpaceDE w:val="0"/>
                    <w:autoSpaceDN w:val="0"/>
                    <w:adjustRightInd w:val="0"/>
                    <w:jc w:val="center"/>
                    <w:textAlignment w:val="baseline"/>
                    <w:rPr>
                      <w:szCs w:val="21"/>
                      <w:u w:val="single"/>
                    </w:rPr>
                  </w:pPr>
                  <w:r>
                    <w:rPr>
                      <w:bCs/>
                      <w:szCs w:val="21"/>
                      <w:u w:val="single"/>
                    </w:rPr>
                    <w:t>6~9</w:t>
                  </w:r>
                </w:p>
              </w:tc>
              <w:tc>
                <w:tcPr>
                  <w:tcW w:w="867" w:type="dxa"/>
                  <w:vAlign w:val="center"/>
                </w:tcPr>
                <w:p w14:paraId="0BDE7042">
                  <w:pPr>
                    <w:autoSpaceDE w:val="0"/>
                    <w:autoSpaceDN w:val="0"/>
                    <w:adjustRightInd w:val="0"/>
                    <w:jc w:val="center"/>
                    <w:textAlignment w:val="baseline"/>
                    <w:rPr>
                      <w:szCs w:val="21"/>
                      <w:u w:val="single"/>
                    </w:rPr>
                  </w:pPr>
                  <w:r>
                    <w:rPr>
                      <w:szCs w:val="21"/>
                      <w:u w:val="single"/>
                    </w:rPr>
                    <w:t>500</w:t>
                  </w:r>
                </w:p>
              </w:tc>
              <w:tc>
                <w:tcPr>
                  <w:tcW w:w="966" w:type="dxa"/>
                  <w:vAlign w:val="center"/>
                </w:tcPr>
                <w:p w14:paraId="0E51B63A">
                  <w:pPr>
                    <w:autoSpaceDE w:val="0"/>
                    <w:autoSpaceDN w:val="0"/>
                    <w:adjustRightInd w:val="0"/>
                    <w:jc w:val="center"/>
                    <w:textAlignment w:val="baseline"/>
                    <w:rPr>
                      <w:szCs w:val="21"/>
                      <w:u w:val="single"/>
                    </w:rPr>
                  </w:pPr>
                  <w:r>
                    <w:rPr>
                      <w:szCs w:val="21"/>
                      <w:u w:val="single"/>
                    </w:rPr>
                    <w:t>300</w:t>
                  </w:r>
                </w:p>
              </w:tc>
              <w:tc>
                <w:tcPr>
                  <w:tcW w:w="900" w:type="dxa"/>
                  <w:vAlign w:val="center"/>
                </w:tcPr>
                <w:p w14:paraId="1132FBBF">
                  <w:pPr>
                    <w:autoSpaceDE w:val="0"/>
                    <w:autoSpaceDN w:val="0"/>
                    <w:adjustRightInd w:val="0"/>
                    <w:jc w:val="center"/>
                    <w:textAlignment w:val="baseline"/>
                    <w:rPr>
                      <w:szCs w:val="21"/>
                      <w:u w:val="single"/>
                    </w:rPr>
                  </w:pPr>
                  <w:r>
                    <w:rPr>
                      <w:szCs w:val="21"/>
                      <w:u w:val="single"/>
                    </w:rPr>
                    <w:t>/</w:t>
                  </w:r>
                </w:p>
              </w:tc>
              <w:tc>
                <w:tcPr>
                  <w:tcW w:w="850" w:type="dxa"/>
                  <w:vAlign w:val="center"/>
                </w:tcPr>
                <w:p w14:paraId="1C60EB63">
                  <w:pPr>
                    <w:autoSpaceDE w:val="0"/>
                    <w:autoSpaceDN w:val="0"/>
                    <w:adjustRightInd w:val="0"/>
                    <w:jc w:val="center"/>
                    <w:textAlignment w:val="baseline"/>
                    <w:rPr>
                      <w:szCs w:val="21"/>
                      <w:u w:val="single"/>
                    </w:rPr>
                  </w:pPr>
                  <w:r>
                    <w:rPr>
                      <w:szCs w:val="21"/>
                      <w:u w:val="single"/>
                    </w:rPr>
                    <w:t>400</w:t>
                  </w:r>
                </w:p>
              </w:tc>
              <w:tc>
                <w:tcPr>
                  <w:tcW w:w="717" w:type="dxa"/>
                  <w:vAlign w:val="center"/>
                </w:tcPr>
                <w:p w14:paraId="2F5A6CCA">
                  <w:pPr>
                    <w:autoSpaceDE w:val="0"/>
                    <w:autoSpaceDN w:val="0"/>
                    <w:adjustRightInd w:val="0"/>
                    <w:jc w:val="center"/>
                    <w:textAlignment w:val="baseline"/>
                    <w:rPr>
                      <w:szCs w:val="21"/>
                      <w:u w:val="single"/>
                    </w:rPr>
                  </w:pPr>
                  <w:r>
                    <w:rPr>
                      <w:szCs w:val="21"/>
                      <w:u w:val="single"/>
                    </w:rPr>
                    <w:t>/</w:t>
                  </w:r>
                </w:p>
              </w:tc>
              <w:tc>
                <w:tcPr>
                  <w:tcW w:w="683" w:type="dxa"/>
                  <w:vAlign w:val="center"/>
                </w:tcPr>
                <w:p w14:paraId="7FC33714">
                  <w:pPr>
                    <w:autoSpaceDE w:val="0"/>
                    <w:autoSpaceDN w:val="0"/>
                    <w:adjustRightInd w:val="0"/>
                    <w:jc w:val="center"/>
                    <w:textAlignment w:val="baseline"/>
                    <w:rPr>
                      <w:szCs w:val="21"/>
                      <w:u w:val="single"/>
                    </w:rPr>
                  </w:pPr>
                  <w:r>
                    <w:rPr>
                      <w:szCs w:val="21"/>
                      <w:u w:val="single"/>
                    </w:rPr>
                    <w:t>/</w:t>
                  </w:r>
                </w:p>
              </w:tc>
              <w:tc>
                <w:tcPr>
                  <w:tcW w:w="600" w:type="dxa"/>
                  <w:vAlign w:val="center"/>
                </w:tcPr>
                <w:p w14:paraId="524B7FC6">
                  <w:pPr>
                    <w:autoSpaceDE w:val="0"/>
                    <w:autoSpaceDN w:val="0"/>
                    <w:adjustRightInd w:val="0"/>
                    <w:jc w:val="center"/>
                    <w:textAlignment w:val="baseline"/>
                    <w:rPr>
                      <w:szCs w:val="21"/>
                      <w:u w:val="single"/>
                    </w:rPr>
                  </w:pPr>
                  <w:r>
                    <w:rPr>
                      <w:szCs w:val="21"/>
                      <w:u w:val="single"/>
                    </w:rPr>
                    <w:t>100</w:t>
                  </w:r>
                </w:p>
              </w:tc>
              <w:tc>
                <w:tcPr>
                  <w:tcW w:w="671" w:type="dxa"/>
                  <w:vAlign w:val="center"/>
                </w:tcPr>
                <w:p w14:paraId="53321E8A">
                  <w:pPr>
                    <w:autoSpaceDE w:val="0"/>
                    <w:autoSpaceDN w:val="0"/>
                    <w:adjustRightInd w:val="0"/>
                    <w:jc w:val="center"/>
                    <w:textAlignment w:val="baseline"/>
                    <w:rPr>
                      <w:szCs w:val="21"/>
                      <w:u w:val="single"/>
                    </w:rPr>
                  </w:pPr>
                  <w:r>
                    <w:rPr>
                      <w:rFonts w:hint="eastAsia"/>
                      <w:szCs w:val="21"/>
                      <w:u w:val="single"/>
                    </w:rPr>
                    <w:t>/</w:t>
                  </w:r>
                </w:p>
              </w:tc>
            </w:tr>
            <w:tr w14:paraId="1BF8A4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69" w:type="dxa"/>
                  <w:vAlign w:val="center"/>
                </w:tcPr>
                <w:p w14:paraId="22DDD78B">
                  <w:pPr>
                    <w:autoSpaceDE w:val="0"/>
                    <w:autoSpaceDN w:val="0"/>
                    <w:adjustRightInd w:val="0"/>
                    <w:jc w:val="center"/>
                    <w:textAlignment w:val="baseline"/>
                    <w:rPr>
                      <w:szCs w:val="21"/>
                      <w:u w:val="single"/>
                    </w:rPr>
                  </w:pPr>
                  <w:r>
                    <w:rPr>
                      <w:szCs w:val="21"/>
                      <w:u w:val="single"/>
                    </w:rPr>
                    <w:t>《污水排入城镇下水道水质标准》(GBT31962-2015)表1中B级标准限值</w:t>
                  </w:r>
                </w:p>
              </w:tc>
              <w:tc>
                <w:tcPr>
                  <w:tcW w:w="626" w:type="dxa"/>
                  <w:vAlign w:val="center"/>
                </w:tcPr>
                <w:p w14:paraId="70F6E6CB">
                  <w:pPr>
                    <w:autoSpaceDE w:val="0"/>
                    <w:autoSpaceDN w:val="0"/>
                    <w:adjustRightInd w:val="0"/>
                    <w:jc w:val="center"/>
                    <w:textAlignment w:val="baseline"/>
                    <w:rPr>
                      <w:bCs/>
                      <w:szCs w:val="21"/>
                      <w:u w:val="single"/>
                    </w:rPr>
                  </w:pPr>
                  <w:r>
                    <w:rPr>
                      <w:bCs/>
                      <w:szCs w:val="21"/>
                      <w:u w:val="single"/>
                    </w:rPr>
                    <w:t>/</w:t>
                  </w:r>
                </w:p>
              </w:tc>
              <w:tc>
                <w:tcPr>
                  <w:tcW w:w="867" w:type="dxa"/>
                  <w:vAlign w:val="center"/>
                </w:tcPr>
                <w:p w14:paraId="48AAC893">
                  <w:pPr>
                    <w:autoSpaceDE w:val="0"/>
                    <w:autoSpaceDN w:val="0"/>
                    <w:adjustRightInd w:val="0"/>
                    <w:jc w:val="center"/>
                    <w:textAlignment w:val="baseline"/>
                    <w:rPr>
                      <w:szCs w:val="21"/>
                      <w:u w:val="single"/>
                    </w:rPr>
                  </w:pPr>
                  <w:r>
                    <w:rPr>
                      <w:szCs w:val="21"/>
                      <w:u w:val="single"/>
                    </w:rPr>
                    <w:t>/</w:t>
                  </w:r>
                </w:p>
              </w:tc>
              <w:tc>
                <w:tcPr>
                  <w:tcW w:w="966" w:type="dxa"/>
                  <w:vAlign w:val="center"/>
                </w:tcPr>
                <w:p w14:paraId="58913F97">
                  <w:pPr>
                    <w:autoSpaceDE w:val="0"/>
                    <w:autoSpaceDN w:val="0"/>
                    <w:adjustRightInd w:val="0"/>
                    <w:jc w:val="center"/>
                    <w:textAlignment w:val="baseline"/>
                    <w:rPr>
                      <w:szCs w:val="21"/>
                      <w:u w:val="single"/>
                    </w:rPr>
                  </w:pPr>
                  <w:r>
                    <w:rPr>
                      <w:szCs w:val="21"/>
                      <w:u w:val="single"/>
                    </w:rPr>
                    <w:t>/</w:t>
                  </w:r>
                </w:p>
              </w:tc>
              <w:tc>
                <w:tcPr>
                  <w:tcW w:w="900" w:type="dxa"/>
                  <w:vAlign w:val="center"/>
                </w:tcPr>
                <w:p w14:paraId="0FEAEA0B">
                  <w:pPr>
                    <w:autoSpaceDE w:val="0"/>
                    <w:autoSpaceDN w:val="0"/>
                    <w:adjustRightInd w:val="0"/>
                    <w:jc w:val="center"/>
                    <w:textAlignment w:val="baseline"/>
                    <w:rPr>
                      <w:szCs w:val="21"/>
                      <w:u w:val="single"/>
                    </w:rPr>
                  </w:pPr>
                  <w:r>
                    <w:rPr>
                      <w:szCs w:val="21"/>
                      <w:u w:val="single"/>
                    </w:rPr>
                    <w:t>45</w:t>
                  </w:r>
                </w:p>
              </w:tc>
              <w:tc>
                <w:tcPr>
                  <w:tcW w:w="850" w:type="dxa"/>
                  <w:vAlign w:val="center"/>
                </w:tcPr>
                <w:p w14:paraId="1B216952">
                  <w:pPr>
                    <w:autoSpaceDE w:val="0"/>
                    <w:autoSpaceDN w:val="0"/>
                    <w:adjustRightInd w:val="0"/>
                    <w:jc w:val="center"/>
                    <w:textAlignment w:val="baseline"/>
                    <w:rPr>
                      <w:szCs w:val="21"/>
                      <w:u w:val="single"/>
                    </w:rPr>
                  </w:pPr>
                  <w:r>
                    <w:rPr>
                      <w:szCs w:val="21"/>
                      <w:u w:val="single"/>
                    </w:rPr>
                    <w:t>/</w:t>
                  </w:r>
                </w:p>
              </w:tc>
              <w:tc>
                <w:tcPr>
                  <w:tcW w:w="717" w:type="dxa"/>
                  <w:vAlign w:val="center"/>
                </w:tcPr>
                <w:p w14:paraId="01049F00">
                  <w:pPr>
                    <w:autoSpaceDE w:val="0"/>
                    <w:autoSpaceDN w:val="0"/>
                    <w:adjustRightInd w:val="0"/>
                    <w:jc w:val="center"/>
                    <w:textAlignment w:val="baseline"/>
                    <w:rPr>
                      <w:szCs w:val="21"/>
                      <w:u w:val="single"/>
                    </w:rPr>
                  </w:pPr>
                  <w:r>
                    <w:rPr>
                      <w:szCs w:val="21"/>
                      <w:u w:val="single"/>
                    </w:rPr>
                    <w:t>70</w:t>
                  </w:r>
                </w:p>
              </w:tc>
              <w:tc>
                <w:tcPr>
                  <w:tcW w:w="683" w:type="dxa"/>
                  <w:vAlign w:val="center"/>
                </w:tcPr>
                <w:p w14:paraId="50E1A1D7">
                  <w:pPr>
                    <w:autoSpaceDE w:val="0"/>
                    <w:autoSpaceDN w:val="0"/>
                    <w:adjustRightInd w:val="0"/>
                    <w:jc w:val="center"/>
                    <w:textAlignment w:val="baseline"/>
                    <w:rPr>
                      <w:szCs w:val="21"/>
                      <w:u w:val="single"/>
                    </w:rPr>
                  </w:pPr>
                  <w:r>
                    <w:rPr>
                      <w:szCs w:val="21"/>
                      <w:u w:val="single"/>
                    </w:rPr>
                    <w:t>8</w:t>
                  </w:r>
                </w:p>
              </w:tc>
              <w:tc>
                <w:tcPr>
                  <w:tcW w:w="600" w:type="dxa"/>
                  <w:vAlign w:val="center"/>
                </w:tcPr>
                <w:p w14:paraId="534739F3">
                  <w:pPr>
                    <w:autoSpaceDE w:val="0"/>
                    <w:autoSpaceDN w:val="0"/>
                    <w:adjustRightInd w:val="0"/>
                    <w:jc w:val="center"/>
                    <w:textAlignment w:val="baseline"/>
                    <w:rPr>
                      <w:szCs w:val="21"/>
                      <w:u w:val="single"/>
                    </w:rPr>
                  </w:pPr>
                  <w:r>
                    <w:rPr>
                      <w:szCs w:val="21"/>
                      <w:u w:val="single"/>
                    </w:rPr>
                    <w:t>/</w:t>
                  </w:r>
                </w:p>
              </w:tc>
              <w:tc>
                <w:tcPr>
                  <w:tcW w:w="671" w:type="dxa"/>
                  <w:vAlign w:val="center"/>
                </w:tcPr>
                <w:p w14:paraId="4586386C">
                  <w:pPr>
                    <w:autoSpaceDE w:val="0"/>
                    <w:autoSpaceDN w:val="0"/>
                    <w:adjustRightInd w:val="0"/>
                    <w:jc w:val="center"/>
                    <w:textAlignment w:val="baseline"/>
                    <w:rPr>
                      <w:szCs w:val="21"/>
                      <w:u w:val="single"/>
                    </w:rPr>
                  </w:pPr>
                  <w:r>
                    <w:rPr>
                      <w:szCs w:val="21"/>
                      <w:u w:val="single"/>
                    </w:rPr>
                    <w:t>800</w:t>
                  </w:r>
                </w:p>
              </w:tc>
            </w:tr>
            <w:tr w14:paraId="4FCC11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69" w:type="dxa"/>
                  <w:vAlign w:val="center"/>
                </w:tcPr>
                <w:p w14:paraId="2482CC57">
                  <w:pPr>
                    <w:autoSpaceDE w:val="0"/>
                    <w:autoSpaceDN w:val="0"/>
                    <w:adjustRightInd w:val="0"/>
                    <w:jc w:val="center"/>
                    <w:textAlignment w:val="baseline"/>
                    <w:rPr>
                      <w:szCs w:val="21"/>
                      <w:u w:val="single"/>
                    </w:rPr>
                  </w:pPr>
                  <w:r>
                    <w:rPr>
                      <w:b/>
                      <w:bCs/>
                      <w:szCs w:val="21"/>
                      <w:u w:val="single"/>
                    </w:rPr>
                    <w:t>本项目执行标准</w:t>
                  </w:r>
                </w:p>
              </w:tc>
              <w:tc>
                <w:tcPr>
                  <w:tcW w:w="626" w:type="dxa"/>
                  <w:vAlign w:val="center"/>
                </w:tcPr>
                <w:p w14:paraId="1D1670A4">
                  <w:pPr>
                    <w:autoSpaceDE w:val="0"/>
                    <w:autoSpaceDN w:val="0"/>
                    <w:adjustRightInd w:val="0"/>
                    <w:jc w:val="center"/>
                    <w:textAlignment w:val="baseline"/>
                    <w:rPr>
                      <w:bCs/>
                      <w:szCs w:val="21"/>
                      <w:u w:val="single"/>
                    </w:rPr>
                  </w:pPr>
                  <w:r>
                    <w:rPr>
                      <w:bCs/>
                      <w:szCs w:val="21"/>
                      <w:u w:val="single"/>
                    </w:rPr>
                    <w:t>6~9</w:t>
                  </w:r>
                </w:p>
              </w:tc>
              <w:tc>
                <w:tcPr>
                  <w:tcW w:w="867" w:type="dxa"/>
                  <w:vAlign w:val="center"/>
                </w:tcPr>
                <w:p w14:paraId="11E7E709">
                  <w:pPr>
                    <w:autoSpaceDE w:val="0"/>
                    <w:autoSpaceDN w:val="0"/>
                    <w:adjustRightInd w:val="0"/>
                    <w:jc w:val="center"/>
                    <w:textAlignment w:val="baseline"/>
                    <w:rPr>
                      <w:szCs w:val="21"/>
                      <w:u w:val="single"/>
                    </w:rPr>
                  </w:pPr>
                  <w:r>
                    <w:rPr>
                      <w:szCs w:val="21"/>
                      <w:u w:val="single"/>
                    </w:rPr>
                    <w:t>500</w:t>
                  </w:r>
                </w:p>
              </w:tc>
              <w:tc>
                <w:tcPr>
                  <w:tcW w:w="966" w:type="dxa"/>
                  <w:vAlign w:val="center"/>
                </w:tcPr>
                <w:p w14:paraId="28AF3D2F">
                  <w:pPr>
                    <w:autoSpaceDE w:val="0"/>
                    <w:autoSpaceDN w:val="0"/>
                    <w:adjustRightInd w:val="0"/>
                    <w:jc w:val="center"/>
                    <w:textAlignment w:val="baseline"/>
                    <w:rPr>
                      <w:szCs w:val="21"/>
                      <w:u w:val="single"/>
                    </w:rPr>
                  </w:pPr>
                  <w:r>
                    <w:rPr>
                      <w:szCs w:val="21"/>
                      <w:u w:val="single"/>
                    </w:rPr>
                    <w:t>300</w:t>
                  </w:r>
                </w:p>
              </w:tc>
              <w:tc>
                <w:tcPr>
                  <w:tcW w:w="900" w:type="dxa"/>
                  <w:vAlign w:val="center"/>
                </w:tcPr>
                <w:p w14:paraId="52C6BF3B">
                  <w:pPr>
                    <w:autoSpaceDE w:val="0"/>
                    <w:autoSpaceDN w:val="0"/>
                    <w:adjustRightInd w:val="0"/>
                    <w:jc w:val="center"/>
                    <w:textAlignment w:val="baseline"/>
                    <w:rPr>
                      <w:szCs w:val="21"/>
                      <w:u w:val="single"/>
                    </w:rPr>
                  </w:pPr>
                  <w:r>
                    <w:rPr>
                      <w:rFonts w:hint="eastAsia"/>
                      <w:szCs w:val="21"/>
                      <w:u w:val="single"/>
                    </w:rPr>
                    <w:t>45</w:t>
                  </w:r>
                </w:p>
              </w:tc>
              <w:tc>
                <w:tcPr>
                  <w:tcW w:w="850" w:type="dxa"/>
                  <w:vAlign w:val="center"/>
                </w:tcPr>
                <w:p w14:paraId="7A6D2F36">
                  <w:pPr>
                    <w:autoSpaceDE w:val="0"/>
                    <w:autoSpaceDN w:val="0"/>
                    <w:adjustRightInd w:val="0"/>
                    <w:jc w:val="center"/>
                    <w:textAlignment w:val="baseline"/>
                    <w:rPr>
                      <w:szCs w:val="21"/>
                      <w:u w:val="single"/>
                    </w:rPr>
                  </w:pPr>
                  <w:r>
                    <w:rPr>
                      <w:rFonts w:hint="eastAsia"/>
                      <w:szCs w:val="21"/>
                      <w:u w:val="single"/>
                    </w:rPr>
                    <w:t>400</w:t>
                  </w:r>
                </w:p>
              </w:tc>
              <w:tc>
                <w:tcPr>
                  <w:tcW w:w="717" w:type="dxa"/>
                  <w:vAlign w:val="center"/>
                </w:tcPr>
                <w:p w14:paraId="16543C26">
                  <w:pPr>
                    <w:autoSpaceDE w:val="0"/>
                    <w:autoSpaceDN w:val="0"/>
                    <w:adjustRightInd w:val="0"/>
                    <w:jc w:val="center"/>
                    <w:textAlignment w:val="baseline"/>
                    <w:rPr>
                      <w:szCs w:val="21"/>
                      <w:u w:val="single"/>
                    </w:rPr>
                  </w:pPr>
                  <w:r>
                    <w:rPr>
                      <w:rFonts w:hint="eastAsia"/>
                      <w:szCs w:val="21"/>
                      <w:u w:val="single"/>
                    </w:rPr>
                    <w:t>70</w:t>
                  </w:r>
                </w:p>
              </w:tc>
              <w:tc>
                <w:tcPr>
                  <w:tcW w:w="683" w:type="dxa"/>
                  <w:vAlign w:val="center"/>
                </w:tcPr>
                <w:p w14:paraId="4819E886">
                  <w:pPr>
                    <w:autoSpaceDE w:val="0"/>
                    <w:autoSpaceDN w:val="0"/>
                    <w:adjustRightInd w:val="0"/>
                    <w:jc w:val="center"/>
                    <w:textAlignment w:val="baseline"/>
                    <w:rPr>
                      <w:szCs w:val="21"/>
                      <w:u w:val="single"/>
                    </w:rPr>
                  </w:pPr>
                  <w:r>
                    <w:rPr>
                      <w:rFonts w:hint="eastAsia"/>
                      <w:szCs w:val="21"/>
                      <w:u w:val="single"/>
                    </w:rPr>
                    <w:t>8</w:t>
                  </w:r>
                </w:p>
              </w:tc>
              <w:tc>
                <w:tcPr>
                  <w:tcW w:w="600" w:type="dxa"/>
                  <w:vAlign w:val="center"/>
                </w:tcPr>
                <w:p w14:paraId="305EE569">
                  <w:pPr>
                    <w:autoSpaceDE w:val="0"/>
                    <w:autoSpaceDN w:val="0"/>
                    <w:adjustRightInd w:val="0"/>
                    <w:jc w:val="center"/>
                    <w:textAlignment w:val="baseline"/>
                    <w:rPr>
                      <w:szCs w:val="21"/>
                      <w:u w:val="single"/>
                    </w:rPr>
                  </w:pPr>
                  <w:r>
                    <w:rPr>
                      <w:rFonts w:hint="eastAsia"/>
                      <w:szCs w:val="21"/>
                      <w:u w:val="single"/>
                    </w:rPr>
                    <w:t>100</w:t>
                  </w:r>
                </w:p>
              </w:tc>
              <w:tc>
                <w:tcPr>
                  <w:tcW w:w="671" w:type="dxa"/>
                  <w:vAlign w:val="center"/>
                </w:tcPr>
                <w:p w14:paraId="2237C045">
                  <w:pPr>
                    <w:autoSpaceDE w:val="0"/>
                    <w:autoSpaceDN w:val="0"/>
                    <w:adjustRightInd w:val="0"/>
                    <w:jc w:val="center"/>
                    <w:textAlignment w:val="baseline"/>
                    <w:rPr>
                      <w:szCs w:val="21"/>
                      <w:u w:val="single"/>
                    </w:rPr>
                  </w:pPr>
                  <w:r>
                    <w:rPr>
                      <w:rFonts w:hint="eastAsia"/>
                      <w:szCs w:val="21"/>
                      <w:u w:val="single"/>
                    </w:rPr>
                    <w:t>800</w:t>
                  </w:r>
                </w:p>
              </w:tc>
            </w:tr>
          </w:tbl>
          <w:p w14:paraId="5AE39D56">
            <w:pPr>
              <w:wordWrap w:val="0"/>
              <w:autoSpaceDE w:val="0"/>
              <w:autoSpaceDN w:val="0"/>
              <w:adjustRightInd w:val="0"/>
              <w:spacing w:line="360" w:lineRule="auto"/>
              <w:textAlignment w:val="baseline"/>
              <w:rPr>
                <w:b/>
                <w:bCs/>
                <w:color w:val="000000"/>
                <w:kern w:val="0"/>
                <w:sz w:val="24"/>
                <w:szCs w:val="24"/>
              </w:rPr>
            </w:pPr>
            <w:r>
              <w:rPr>
                <w:b/>
                <w:bCs/>
                <w:color w:val="000000"/>
                <w:kern w:val="0"/>
                <w:sz w:val="24"/>
                <w:szCs w:val="24"/>
              </w:rPr>
              <w:t>3 噪声</w:t>
            </w:r>
          </w:p>
          <w:p w14:paraId="56CA295C">
            <w:pPr>
              <w:overflowPunct w:val="0"/>
              <w:spacing w:line="360" w:lineRule="auto"/>
              <w:ind w:firstLine="480" w:firstLineChars="200"/>
              <w:rPr>
                <w:color w:val="000000"/>
                <w:sz w:val="24"/>
                <w:szCs w:val="24"/>
              </w:rPr>
            </w:pPr>
            <w:r>
              <w:rPr>
                <w:color w:val="000000"/>
                <w:sz w:val="24"/>
                <w:szCs w:val="24"/>
              </w:rPr>
              <w:t>执行《工业企业厂界噪声排放标准》（GB12348-2008）中3类区标准。</w:t>
            </w:r>
          </w:p>
          <w:p w14:paraId="0B60F0B8">
            <w:pPr>
              <w:tabs>
                <w:tab w:val="left" w:pos="2196"/>
              </w:tabs>
              <w:spacing w:line="360" w:lineRule="auto"/>
              <w:jc w:val="center"/>
              <w:rPr>
                <w:b/>
                <w:color w:val="000000"/>
                <w:sz w:val="24"/>
                <w:szCs w:val="24"/>
              </w:rPr>
            </w:pPr>
            <w:r>
              <w:rPr>
                <w:b/>
                <w:color w:val="000000"/>
                <w:sz w:val="24"/>
                <w:szCs w:val="24"/>
              </w:rPr>
              <w:t>表3-10  《工业企业厂界环境噪声排放标准》（摘要）</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644"/>
              <w:gridCol w:w="2305"/>
              <w:gridCol w:w="2408"/>
            </w:tblGrid>
            <w:tr w14:paraId="6E9D5D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80" w:type="pct"/>
                  <w:vMerge w:val="restart"/>
                  <w:vAlign w:val="center"/>
                </w:tcPr>
                <w:p w14:paraId="28EC2F3B">
                  <w:pPr>
                    <w:pStyle w:val="50"/>
                    <w:spacing w:before="24"/>
                    <w:rPr>
                      <w:rFonts w:ascii="Times New Roman" w:hAnsi="Times New Roman"/>
                      <w:b/>
                      <w:bCs/>
                      <w:color w:val="000000"/>
                      <w:szCs w:val="21"/>
                    </w:rPr>
                  </w:pPr>
                  <w:r>
                    <w:rPr>
                      <w:rFonts w:ascii="Times New Roman" w:hAnsi="Times New Roman"/>
                      <w:b/>
                      <w:bCs/>
                      <w:color w:val="000000"/>
                      <w:szCs w:val="21"/>
                    </w:rPr>
                    <w:t>厂界外声环境功能区类别</w:t>
                  </w:r>
                </w:p>
              </w:tc>
              <w:tc>
                <w:tcPr>
                  <w:tcW w:w="2820" w:type="pct"/>
                  <w:gridSpan w:val="2"/>
                  <w:vAlign w:val="center"/>
                </w:tcPr>
                <w:p w14:paraId="4B1008B7">
                  <w:pPr>
                    <w:pStyle w:val="50"/>
                    <w:spacing w:before="24"/>
                    <w:rPr>
                      <w:rFonts w:ascii="Times New Roman" w:hAnsi="Times New Roman"/>
                      <w:b/>
                      <w:bCs/>
                      <w:color w:val="000000"/>
                      <w:szCs w:val="21"/>
                    </w:rPr>
                  </w:pPr>
                  <w:r>
                    <w:rPr>
                      <w:rFonts w:ascii="Times New Roman" w:hAnsi="Times New Roman"/>
                      <w:b/>
                      <w:bCs/>
                      <w:color w:val="000000"/>
                      <w:szCs w:val="21"/>
                    </w:rPr>
                    <w:t>时段</w:t>
                  </w:r>
                </w:p>
              </w:tc>
            </w:tr>
            <w:tr w14:paraId="01A51F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80" w:type="pct"/>
                  <w:vMerge w:val="continue"/>
                  <w:vAlign w:val="center"/>
                </w:tcPr>
                <w:p w14:paraId="7827D638">
                  <w:pPr>
                    <w:pStyle w:val="50"/>
                    <w:spacing w:before="24"/>
                    <w:rPr>
                      <w:rFonts w:ascii="Times New Roman" w:hAnsi="Times New Roman"/>
                      <w:b/>
                      <w:bCs/>
                      <w:color w:val="000000"/>
                      <w:szCs w:val="21"/>
                    </w:rPr>
                  </w:pPr>
                </w:p>
              </w:tc>
              <w:tc>
                <w:tcPr>
                  <w:tcW w:w="1379" w:type="pct"/>
                  <w:vAlign w:val="center"/>
                </w:tcPr>
                <w:p w14:paraId="5533A0BD">
                  <w:pPr>
                    <w:pStyle w:val="50"/>
                    <w:spacing w:before="24"/>
                    <w:rPr>
                      <w:rFonts w:ascii="Times New Roman" w:hAnsi="Times New Roman"/>
                      <w:b/>
                      <w:bCs/>
                      <w:color w:val="000000"/>
                      <w:szCs w:val="21"/>
                    </w:rPr>
                  </w:pPr>
                  <w:r>
                    <w:rPr>
                      <w:rFonts w:ascii="Times New Roman" w:hAnsi="Times New Roman"/>
                      <w:b/>
                      <w:bCs/>
                      <w:color w:val="000000"/>
                      <w:szCs w:val="21"/>
                    </w:rPr>
                    <w:t>昼间dB(A)</w:t>
                  </w:r>
                </w:p>
              </w:tc>
              <w:tc>
                <w:tcPr>
                  <w:tcW w:w="1441" w:type="pct"/>
                  <w:vAlign w:val="center"/>
                </w:tcPr>
                <w:p w14:paraId="4A664678">
                  <w:pPr>
                    <w:pStyle w:val="50"/>
                    <w:spacing w:before="24"/>
                    <w:rPr>
                      <w:rFonts w:ascii="Times New Roman" w:hAnsi="Times New Roman"/>
                      <w:b/>
                      <w:bCs/>
                      <w:color w:val="000000"/>
                      <w:szCs w:val="21"/>
                    </w:rPr>
                  </w:pPr>
                  <w:r>
                    <w:rPr>
                      <w:rFonts w:ascii="Times New Roman" w:hAnsi="Times New Roman"/>
                      <w:b/>
                      <w:bCs/>
                      <w:color w:val="000000"/>
                      <w:szCs w:val="21"/>
                    </w:rPr>
                    <w:t>夜间dB(A)</w:t>
                  </w:r>
                </w:p>
              </w:tc>
            </w:tr>
            <w:tr w14:paraId="2E202C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80" w:type="pct"/>
                  <w:vAlign w:val="center"/>
                </w:tcPr>
                <w:p w14:paraId="5234C53E">
                  <w:pPr>
                    <w:pStyle w:val="50"/>
                    <w:spacing w:before="24"/>
                    <w:rPr>
                      <w:rFonts w:ascii="Times New Roman" w:hAnsi="Times New Roman"/>
                      <w:color w:val="000000"/>
                      <w:szCs w:val="21"/>
                    </w:rPr>
                  </w:pPr>
                  <w:r>
                    <w:rPr>
                      <w:rFonts w:ascii="Times New Roman" w:hAnsi="Times New Roman"/>
                      <w:color w:val="000000"/>
                      <w:szCs w:val="21"/>
                    </w:rPr>
                    <w:t>3类区</w:t>
                  </w:r>
                </w:p>
              </w:tc>
              <w:tc>
                <w:tcPr>
                  <w:tcW w:w="1379" w:type="pct"/>
                  <w:vAlign w:val="center"/>
                </w:tcPr>
                <w:p w14:paraId="2C0DA3C0">
                  <w:pPr>
                    <w:pStyle w:val="50"/>
                    <w:spacing w:before="24"/>
                    <w:rPr>
                      <w:rFonts w:ascii="Times New Roman" w:hAnsi="Times New Roman"/>
                      <w:color w:val="000000"/>
                      <w:szCs w:val="21"/>
                    </w:rPr>
                  </w:pPr>
                  <w:r>
                    <w:rPr>
                      <w:rFonts w:ascii="Times New Roman" w:hAnsi="Times New Roman"/>
                      <w:color w:val="000000"/>
                      <w:szCs w:val="21"/>
                    </w:rPr>
                    <w:t>65</w:t>
                  </w:r>
                </w:p>
              </w:tc>
              <w:tc>
                <w:tcPr>
                  <w:tcW w:w="1441" w:type="pct"/>
                  <w:vAlign w:val="center"/>
                </w:tcPr>
                <w:p w14:paraId="54DD692F">
                  <w:pPr>
                    <w:pStyle w:val="50"/>
                    <w:spacing w:before="24"/>
                    <w:rPr>
                      <w:rFonts w:ascii="Times New Roman" w:hAnsi="Times New Roman"/>
                      <w:color w:val="000000"/>
                      <w:szCs w:val="21"/>
                    </w:rPr>
                  </w:pPr>
                  <w:r>
                    <w:rPr>
                      <w:rFonts w:ascii="Times New Roman" w:hAnsi="Times New Roman"/>
                      <w:color w:val="000000"/>
                      <w:szCs w:val="21"/>
                    </w:rPr>
                    <w:t>55</w:t>
                  </w:r>
                </w:p>
              </w:tc>
            </w:tr>
          </w:tbl>
          <w:p w14:paraId="54404F34">
            <w:pPr>
              <w:wordWrap w:val="0"/>
              <w:autoSpaceDE w:val="0"/>
              <w:autoSpaceDN w:val="0"/>
              <w:adjustRightInd w:val="0"/>
              <w:spacing w:line="360" w:lineRule="auto"/>
              <w:textAlignment w:val="baseline"/>
              <w:rPr>
                <w:b/>
                <w:bCs/>
                <w:color w:val="000000"/>
                <w:kern w:val="0"/>
                <w:sz w:val="24"/>
                <w:szCs w:val="24"/>
              </w:rPr>
            </w:pPr>
            <w:r>
              <w:rPr>
                <w:b/>
                <w:bCs/>
                <w:color w:val="000000"/>
                <w:kern w:val="0"/>
                <w:sz w:val="24"/>
                <w:szCs w:val="24"/>
              </w:rPr>
              <w:t>4 固体废物</w:t>
            </w:r>
          </w:p>
          <w:p w14:paraId="037CB00D">
            <w:pPr>
              <w:autoSpaceDE w:val="0"/>
              <w:autoSpaceDN w:val="0"/>
              <w:adjustRightInd w:val="0"/>
              <w:spacing w:line="360" w:lineRule="auto"/>
              <w:ind w:firstLine="480" w:firstLineChars="200"/>
              <w:textAlignment w:val="baseline"/>
              <w:rPr>
                <w:sz w:val="24"/>
                <w:szCs w:val="24"/>
              </w:rPr>
            </w:pPr>
            <w:r>
              <w:rPr>
                <w:sz w:val="24"/>
                <w:szCs w:val="24"/>
              </w:rPr>
              <w:t>一般工业固体废物执行《一般工业固体废物贮存和填埋污染控制标准》（GB18599-2020），生活垃圾执行《生活垃圾焚烧污染控制标准》（GB18485-2014）。</w:t>
            </w:r>
          </w:p>
          <w:p w14:paraId="704DEAF4">
            <w:pPr>
              <w:autoSpaceDE w:val="0"/>
              <w:autoSpaceDN w:val="0"/>
              <w:adjustRightInd w:val="0"/>
              <w:spacing w:line="360" w:lineRule="auto"/>
              <w:textAlignment w:val="baseline"/>
              <w:rPr>
                <w:color w:val="000000"/>
                <w:sz w:val="24"/>
                <w:szCs w:val="24"/>
              </w:rPr>
            </w:pPr>
          </w:p>
          <w:p w14:paraId="0BFC38D3">
            <w:pPr>
              <w:autoSpaceDE w:val="0"/>
              <w:autoSpaceDN w:val="0"/>
              <w:adjustRightInd w:val="0"/>
              <w:spacing w:line="360" w:lineRule="auto"/>
              <w:textAlignment w:val="baseline"/>
              <w:rPr>
                <w:color w:val="000000"/>
                <w:sz w:val="24"/>
                <w:szCs w:val="24"/>
              </w:rPr>
            </w:pPr>
          </w:p>
          <w:p w14:paraId="40378CE4">
            <w:pPr>
              <w:autoSpaceDE w:val="0"/>
              <w:autoSpaceDN w:val="0"/>
              <w:adjustRightInd w:val="0"/>
              <w:spacing w:line="360" w:lineRule="auto"/>
              <w:textAlignment w:val="baseline"/>
              <w:rPr>
                <w:color w:val="000000"/>
                <w:sz w:val="24"/>
                <w:szCs w:val="24"/>
              </w:rPr>
            </w:pPr>
          </w:p>
        </w:tc>
      </w:tr>
      <w:tr w14:paraId="2E6120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40" w:hRule="atLeast"/>
          <w:jc w:val="center"/>
        </w:trPr>
        <w:tc>
          <w:tcPr>
            <w:tcW w:w="469" w:type="dxa"/>
            <w:tcBorders>
              <w:top w:val="single" w:color="auto" w:sz="4" w:space="0"/>
              <w:left w:val="single" w:color="auto" w:sz="8" w:space="0"/>
              <w:bottom w:val="single" w:color="auto" w:sz="8" w:space="0"/>
              <w:right w:val="single" w:color="auto" w:sz="4" w:space="0"/>
            </w:tcBorders>
            <w:vAlign w:val="center"/>
          </w:tcPr>
          <w:p w14:paraId="0865D553">
            <w:pPr>
              <w:adjustRightInd w:val="0"/>
              <w:snapToGrid w:val="0"/>
              <w:jc w:val="center"/>
              <w:rPr>
                <w:color w:val="000000"/>
                <w:kern w:val="0"/>
                <w:sz w:val="24"/>
                <w:szCs w:val="24"/>
              </w:rPr>
            </w:pPr>
            <w:r>
              <w:rPr>
                <w:color w:val="000000"/>
                <w:kern w:val="0"/>
                <w:sz w:val="24"/>
                <w:szCs w:val="24"/>
              </w:rPr>
              <w:t>总量控制指标</w:t>
            </w:r>
          </w:p>
        </w:tc>
        <w:tc>
          <w:tcPr>
            <w:tcW w:w="8603" w:type="dxa"/>
            <w:tcBorders>
              <w:top w:val="single" w:color="auto" w:sz="4" w:space="0"/>
              <w:left w:val="single" w:color="auto" w:sz="4" w:space="0"/>
              <w:bottom w:val="single" w:color="auto" w:sz="8" w:space="0"/>
              <w:right w:val="single" w:color="auto" w:sz="8" w:space="0"/>
            </w:tcBorders>
            <w:vAlign w:val="center"/>
          </w:tcPr>
          <w:p w14:paraId="564501CB">
            <w:pPr>
              <w:spacing w:line="360" w:lineRule="auto"/>
              <w:ind w:firstLine="480" w:firstLineChars="200"/>
              <w:rPr>
                <w:color w:val="000000"/>
                <w:kern w:val="10"/>
                <w:sz w:val="24"/>
                <w:szCs w:val="24"/>
              </w:rPr>
            </w:pPr>
            <w:r>
              <w:rPr>
                <w:rFonts w:hint="eastAsia" w:cs="宋体"/>
                <w:color w:val="000000"/>
                <w:kern w:val="10"/>
                <w:sz w:val="24"/>
                <w:szCs w:val="24"/>
                <w:lang w:bidi="ar"/>
              </w:rPr>
              <w:t>根据</w:t>
            </w:r>
            <w:r>
              <w:rPr>
                <w:color w:val="000000"/>
                <w:kern w:val="10"/>
                <w:sz w:val="24"/>
                <w:szCs w:val="24"/>
                <w:lang w:bidi="ar"/>
              </w:rPr>
              <w:t>2024</w:t>
            </w:r>
            <w:r>
              <w:rPr>
                <w:rFonts w:hint="eastAsia" w:cs="宋体"/>
                <w:color w:val="000000"/>
                <w:kern w:val="10"/>
                <w:sz w:val="24"/>
                <w:szCs w:val="24"/>
                <w:lang w:bidi="ar"/>
              </w:rPr>
              <w:t>年</w:t>
            </w:r>
            <w:r>
              <w:rPr>
                <w:color w:val="000000"/>
                <w:kern w:val="10"/>
                <w:sz w:val="24"/>
                <w:szCs w:val="24"/>
                <w:lang w:bidi="ar"/>
              </w:rPr>
              <w:t>1</w:t>
            </w:r>
            <w:r>
              <w:rPr>
                <w:rFonts w:hint="eastAsia" w:cs="宋体"/>
                <w:color w:val="000000"/>
                <w:kern w:val="10"/>
                <w:sz w:val="24"/>
                <w:szCs w:val="24"/>
                <w:lang w:bidi="ar"/>
              </w:rPr>
              <w:t>月</w:t>
            </w:r>
            <w:r>
              <w:rPr>
                <w:color w:val="000000"/>
                <w:kern w:val="10"/>
                <w:sz w:val="24"/>
                <w:szCs w:val="24"/>
                <w:lang w:bidi="ar"/>
              </w:rPr>
              <w:t>25</w:t>
            </w:r>
            <w:r>
              <w:rPr>
                <w:rFonts w:hint="eastAsia" w:cs="宋体"/>
                <w:color w:val="000000"/>
                <w:kern w:val="10"/>
                <w:sz w:val="24"/>
                <w:szCs w:val="24"/>
                <w:lang w:bidi="ar"/>
              </w:rPr>
              <w:t>日湖南省人民政府关于印发《湖南省主要污染物排污权有偿使用和交易管理办法》的通知</w:t>
            </w:r>
            <w:r>
              <w:rPr>
                <w:color w:val="000000"/>
                <w:kern w:val="10"/>
                <w:sz w:val="24"/>
                <w:szCs w:val="24"/>
                <w:lang w:bidi="ar"/>
              </w:rPr>
              <w:t>(</w:t>
            </w:r>
            <w:r>
              <w:rPr>
                <w:rFonts w:hint="eastAsia" w:cs="宋体"/>
                <w:color w:val="000000"/>
                <w:kern w:val="10"/>
                <w:sz w:val="24"/>
                <w:szCs w:val="24"/>
                <w:lang w:bidi="ar"/>
              </w:rPr>
              <w:t>湘政发</w:t>
            </w:r>
            <w:r>
              <w:rPr>
                <w:color w:val="000000"/>
                <w:kern w:val="10"/>
                <w:sz w:val="24"/>
                <w:szCs w:val="24"/>
                <w:lang w:bidi="ar"/>
              </w:rPr>
              <w:t>[2022]23</w:t>
            </w:r>
            <w:r>
              <w:rPr>
                <w:rFonts w:hint="eastAsia" w:cs="宋体"/>
                <w:color w:val="000000"/>
                <w:kern w:val="10"/>
                <w:sz w:val="24"/>
                <w:szCs w:val="24"/>
                <w:lang w:bidi="ar"/>
              </w:rPr>
              <w:t>号</w:t>
            </w:r>
            <w:r>
              <w:rPr>
                <w:color w:val="000000"/>
                <w:kern w:val="10"/>
                <w:sz w:val="24"/>
                <w:szCs w:val="24"/>
                <w:lang w:bidi="ar"/>
              </w:rPr>
              <w:t>)</w:t>
            </w:r>
            <w:r>
              <w:rPr>
                <w:rFonts w:hint="eastAsia" w:cs="宋体"/>
                <w:color w:val="000000"/>
                <w:kern w:val="10"/>
                <w:sz w:val="24"/>
                <w:szCs w:val="24"/>
                <w:lang w:bidi="ar"/>
              </w:rPr>
              <w:t>和《湖南省主要污染物排污权有偿使用和交易实施细则》，主要污染物排污权有偿使用和交易活动是指化学需氧量、氨氮、二氧化硫、氮氧化物、铅、镉、砷、汞、铬、挥发性有机物、总磷等十一类污染物，主要污染物排污权有偿使用，是指排污单位按照国家或者地方规定的污染物排放标准，以及污染物排放总量控制要求，经核定允许其在一定期限内排放主要污染物种类和数量的权利。</w:t>
            </w:r>
          </w:p>
          <w:p w14:paraId="09D8AA99">
            <w:pPr>
              <w:spacing w:line="360" w:lineRule="auto"/>
              <w:ind w:firstLine="480" w:firstLineChars="200"/>
              <w:rPr>
                <w:color w:val="000000"/>
                <w:kern w:val="10"/>
                <w:sz w:val="24"/>
                <w:szCs w:val="24"/>
              </w:rPr>
            </w:pPr>
            <w:r>
              <w:rPr>
                <w:rFonts w:hint="eastAsia" w:cs="宋体"/>
                <w:kern w:val="10"/>
                <w:sz w:val="24"/>
                <w:szCs w:val="24"/>
                <w:lang w:bidi="ar"/>
              </w:rPr>
              <w:t>本项目锅炉废水及生产废水</w:t>
            </w:r>
            <w:r>
              <w:rPr>
                <w:rFonts w:hint="eastAsia" w:ascii="宋体" w:hAnsi="宋体" w:cs="宋体"/>
                <w:bCs/>
                <w:sz w:val="24"/>
                <w:szCs w:val="24"/>
              </w:rPr>
              <w:t>依托湖南华益科技发展有限公司（原名湖南华益食品有限公司）自建污水处理站处理</w:t>
            </w:r>
            <w:r>
              <w:rPr>
                <w:rFonts w:hint="eastAsia" w:cs="宋体"/>
                <w:kern w:val="10"/>
                <w:sz w:val="24"/>
                <w:szCs w:val="24"/>
                <w:lang w:bidi="ar"/>
              </w:rPr>
              <w:t>，</w:t>
            </w:r>
            <w:r>
              <w:rPr>
                <w:rFonts w:hint="eastAsia" w:ascii="Calibri" w:hAnsi="Calibri" w:cs="宋体"/>
                <w:sz w:val="24"/>
                <w:szCs w:val="24"/>
                <w:lang w:bidi="ar"/>
              </w:rPr>
              <w:t>废水</w:t>
            </w:r>
            <w:r>
              <w:rPr>
                <w:rFonts w:hint="eastAsia"/>
                <w:bCs/>
                <w:kern w:val="10"/>
                <w:sz w:val="24"/>
                <w:szCs w:val="24"/>
                <w:lang w:bidi="ar"/>
              </w:rPr>
              <w:t>排放过程中产生的</w:t>
            </w:r>
            <w:r>
              <w:rPr>
                <w:kern w:val="10"/>
                <w:sz w:val="24"/>
                <w:szCs w:val="24"/>
                <w:lang w:bidi="ar"/>
              </w:rPr>
              <w:t>COD</w:t>
            </w:r>
            <w:r>
              <w:rPr>
                <w:rFonts w:hint="eastAsia"/>
                <w:kern w:val="10"/>
                <w:sz w:val="24"/>
                <w:szCs w:val="24"/>
                <w:lang w:bidi="ar"/>
              </w:rPr>
              <w:t>、</w:t>
            </w:r>
            <w:r>
              <w:rPr>
                <w:kern w:val="10"/>
                <w:sz w:val="24"/>
                <w:szCs w:val="24"/>
                <w:lang w:bidi="ar"/>
              </w:rPr>
              <w:t>NH</w:t>
            </w:r>
            <w:r>
              <w:rPr>
                <w:kern w:val="10"/>
                <w:sz w:val="24"/>
                <w:szCs w:val="24"/>
                <w:vertAlign w:val="subscript"/>
                <w:lang w:bidi="ar"/>
              </w:rPr>
              <w:t>3</w:t>
            </w:r>
            <w:r>
              <w:rPr>
                <w:kern w:val="10"/>
                <w:sz w:val="24"/>
                <w:szCs w:val="24"/>
                <w:lang w:bidi="ar"/>
              </w:rPr>
              <w:t>-N</w:t>
            </w:r>
            <w:r>
              <w:rPr>
                <w:rFonts w:hint="eastAsia"/>
                <w:kern w:val="10"/>
                <w:sz w:val="24"/>
                <w:szCs w:val="24"/>
                <w:lang w:bidi="ar"/>
              </w:rPr>
              <w:t>、</w:t>
            </w:r>
            <w:r>
              <w:rPr>
                <w:kern w:val="10"/>
                <w:sz w:val="24"/>
                <w:szCs w:val="24"/>
                <w:lang w:bidi="ar"/>
              </w:rPr>
              <w:t>TP</w:t>
            </w:r>
            <w:r>
              <w:rPr>
                <w:rFonts w:hint="eastAsia" w:ascii="宋体" w:hAnsi="宋体"/>
                <w:sz w:val="24"/>
                <w:szCs w:val="24"/>
                <w:lang w:bidi="ar"/>
              </w:rPr>
              <w:t>总量由建设单位购买；</w:t>
            </w:r>
            <w:r>
              <w:rPr>
                <w:rFonts w:hint="eastAsia" w:ascii="Calibri" w:hAnsi="Calibri" w:cs="宋体"/>
                <w:sz w:val="24"/>
                <w:szCs w:val="24"/>
                <w:lang w:bidi="ar"/>
              </w:rPr>
              <w:t>生活污水</w:t>
            </w:r>
            <w:r>
              <w:rPr>
                <w:rFonts w:hint="eastAsia"/>
                <w:bCs/>
                <w:kern w:val="10"/>
                <w:sz w:val="24"/>
                <w:szCs w:val="24"/>
                <w:lang w:bidi="ar"/>
              </w:rPr>
              <w:t>排放过程中产生的</w:t>
            </w:r>
            <w:r>
              <w:rPr>
                <w:kern w:val="10"/>
                <w:sz w:val="24"/>
                <w:szCs w:val="24"/>
                <w:lang w:bidi="ar"/>
              </w:rPr>
              <w:t>COD</w:t>
            </w:r>
            <w:r>
              <w:rPr>
                <w:rFonts w:hint="eastAsia"/>
                <w:kern w:val="10"/>
                <w:sz w:val="24"/>
                <w:szCs w:val="24"/>
                <w:lang w:bidi="ar"/>
              </w:rPr>
              <w:t>、</w:t>
            </w:r>
            <w:r>
              <w:rPr>
                <w:kern w:val="10"/>
                <w:sz w:val="24"/>
                <w:szCs w:val="24"/>
                <w:lang w:bidi="ar"/>
              </w:rPr>
              <w:t>NH</w:t>
            </w:r>
            <w:r>
              <w:rPr>
                <w:kern w:val="10"/>
                <w:sz w:val="24"/>
                <w:szCs w:val="24"/>
                <w:vertAlign w:val="subscript"/>
                <w:lang w:bidi="ar"/>
              </w:rPr>
              <w:t>3</w:t>
            </w:r>
            <w:r>
              <w:rPr>
                <w:kern w:val="10"/>
                <w:sz w:val="24"/>
                <w:szCs w:val="24"/>
                <w:lang w:bidi="ar"/>
              </w:rPr>
              <w:t>-N</w:t>
            </w:r>
            <w:r>
              <w:rPr>
                <w:rFonts w:hint="eastAsia"/>
                <w:kern w:val="10"/>
                <w:sz w:val="24"/>
                <w:szCs w:val="24"/>
                <w:lang w:bidi="ar"/>
              </w:rPr>
              <w:t>、</w:t>
            </w:r>
            <w:r>
              <w:rPr>
                <w:kern w:val="10"/>
                <w:sz w:val="24"/>
                <w:szCs w:val="24"/>
                <w:lang w:bidi="ar"/>
              </w:rPr>
              <w:t>TP</w:t>
            </w:r>
            <w:r>
              <w:rPr>
                <w:rFonts w:hint="eastAsia"/>
                <w:kern w:val="10"/>
                <w:sz w:val="24"/>
                <w:szCs w:val="24"/>
                <w:lang w:bidi="ar"/>
              </w:rPr>
              <w:t>纳入南县第二污水处理厂总量控制指标内，</w:t>
            </w:r>
            <w:r>
              <w:rPr>
                <w:rFonts w:hint="eastAsia" w:ascii="宋体" w:hAnsi="宋体"/>
                <w:sz w:val="24"/>
                <w:szCs w:val="24"/>
                <w:lang w:bidi="ar"/>
              </w:rPr>
              <w:t>无需申请总量控制指标</w:t>
            </w:r>
            <w:r>
              <w:rPr>
                <w:rFonts w:hint="eastAsia"/>
                <w:kern w:val="10"/>
                <w:sz w:val="24"/>
                <w:szCs w:val="24"/>
                <w:lang w:bidi="ar"/>
              </w:rPr>
              <w:t>。</w:t>
            </w:r>
          </w:p>
          <w:p w14:paraId="0F252180">
            <w:pPr>
              <w:spacing w:line="360" w:lineRule="auto"/>
              <w:ind w:firstLine="480" w:firstLineChars="200"/>
              <w:rPr>
                <w:color w:val="000000"/>
                <w:sz w:val="24"/>
                <w:szCs w:val="24"/>
              </w:rPr>
            </w:pPr>
            <w:r>
              <w:rPr>
                <w:color w:val="000000"/>
                <w:sz w:val="24"/>
                <w:szCs w:val="24"/>
              </w:rPr>
              <w:t>本项目污染物排放总量控制因子为废气中SO</w:t>
            </w:r>
            <w:r>
              <w:rPr>
                <w:color w:val="000000"/>
                <w:sz w:val="24"/>
                <w:szCs w:val="24"/>
                <w:vertAlign w:val="subscript"/>
              </w:rPr>
              <w:t>2</w:t>
            </w:r>
            <w:r>
              <w:rPr>
                <w:color w:val="000000"/>
                <w:sz w:val="24"/>
                <w:szCs w:val="24"/>
              </w:rPr>
              <w:t>、NO</w:t>
            </w:r>
            <w:r>
              <w:rPr>
                <w:color w:val="000000"/>
                <w:sz w:val="24"/>
                <w:szCs w:val="24"/>
                <w:vertAlign w:val="subscript"/>
              </w:rPr>
              <w:t>X</w:t>
            </w:r>
            <w:r>
              <w:rPr>
                <w:color w:val="000000"/>
                <w:sz w:val="24"/>
                <w:szCs w:val="24"/>
              </w:rPr>
              <w:t>，根据本项目的工程分析SO</w:t>
            </w:r>
            <w:r>
              <w:rPr>
                <w:color w:val="000000"/>
                <w:sz w:val="24"/>
                <w:szCs w:val="24"/>
                <w:vertAlign w:val="subscript"/>
              </w:rPr>
              <w:t>2</w:t>
            </w:r>
            <w:r>
              <w:rPr>
                <w:color w:val="000000"/>
                <w:sz w:val="24"/>
                <w:szCs w:val="24"/>
              </w:rPr>
              <w:t>、NO</w:t>
            </w:r>
            <w:r>
              <w:rPr>
                <w:color w:val="000000"/>
                <w:sz w:val="24"/>
                <w:szCs w:val="24"/>
                <w:vertAlign w:val="subscript"/>
              </w:rPr>
              <w:t>X</w:t>
            </w:r>
            <w:r>
              <w:rPr>
                <w:color w:val="000000"/>
                <w:sz w:val="24"/>
                <w:szCs w:val="24"/>
              </w:rPr>
              <w:t>的排放浓度分别</w:t>
            </w:r>
            <w:r>
              <w:rPr>
                <w:rFonts w:hint="eastAsia"/>
                <w:color w:val="000000"/>
                <w:sz w:val="24"/>
                <w:szCs w:val="24"/>
              </w:rPr>
              <w:t>17.97</w:t>
            </w:r>
            <w:r>
              <w:rPr>
                <w:color w:val="000000"/>
                <w:sz w:val="24"/>
                <w:szCs w:val="24"/>
              </w:rPr>
              <w:t>mg/m</w:t>
            </w:r>
            <w:r>
              <w:rPr>
                <w:color w:val="000000"/>
                <w:sz w:val="24"/>
                <w:szCs w:val="24"/>
                <w:vertAlign w:val="superscript"/>
              </w:rPr>
              <w:t>3</w:t>
            </w:r>
            <w:r>
              <w:rPr>
                <w:color w:val="000000"/>
                <w:sz w:val="24"/>
                <w:szCs w:val="24"/>
              </w:rPr>
              <w:t>、</w:t>
            </w:r>
            <w:r>
              <w:rPr>
                <w:rFonts w:hint="eastAsia"/>
                <w:color w:val="000000"/>
                <w:sz w:val="24"/>
                <w:szCs w:val="24"/>
              </w:rPr>
              <w:t>94</w:t>
            </w:r>
            <w:r>
              <w:rPr>
                <w:color w:val="000000"/>
                <w:sz w:val="24"/>
                <w:szCs w:val="24"/>
              </w:rPr>
              <w:t>mg/m</w:t>
            </w:r>
            <w:r>
              <w:rPr>
                <w:color w:val="000000"/>
                <w:sz w:val="24"/>
                <w:szCs w:val="24"/>
                <w:vertAlign w:val="superscript"/>
              </w:rPr>
              <w:t>3</w:t>
            </w:r>
            <w:r>
              <w:rPr>
                <w:color w:val="000000"/>
                <w:sz w:val="24"/>
                <w:szCs w:val="24"/>
              </w:rPr>
              <w:t>。总量由建设单位购买。</w:t>
            </w:r>
          </w:p>
          <w:p w14:paraId="6FE1E5F0">
            <w:pPr>
              <w:spacing w:line="360" w:lineRule="auto"/>
              <w:jc w:val="center"/>
              <w:rPr>
                <w:b/>
                <w:sz w:val="24"/>
                <w:szCs w:val="24"/>
              </w:rPr>
            </w:pPr>
            <w:r>
              <w:rPr>
                <w:b/>
                <w:sz w:val="24"/>
                <w:szCs w:val="24"/>
              </w:rPr>
              <w:t>表3-11  项目建议总量控制指标</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346"/>
              <w:gridCol w:w="1990"/>
              <w:gridCol w:w="1354"/>
              <w:gridCol w:w="1671"/>
              <w:gridCol w:w="1996"/>
            </w:tblGrid>
            <w:tr w14:paraId="27F188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805" w:type="pct"/>
                  <w:vAlign w:val="center"/>
                </w:tcPr>
                <w:p w14:paraId="68E1927A">
                  <w:pPr>
                    <w:snapToGrid w:val="0"/>
                    <w:jc w:val="center"/>
                    <w:rPr>
                      <w:b/>
                      <w:szCs w:val="21"/>
                    </w:rPr>
                  </w:pPr>
                  <w:r>
                    <w:rPr>
                      <w:b/>
                      <w:szCs w:val="21"/>
                    </w:rPr>
                    <w:t>项目</w:t>
                  </w:r>
                </w:p>
              </w:tc>
              <w:tc>
                <w:tcPr>
                  <w:tcW w:w="1190" w:type="pct"/>
                  <w:vAlign w:val="center"/>
                </w:tcPr>
                <w:p w14:paraId="35CAE3DB">
                  <w:pPr>
                    <w:snapToGrid w:val="0"/>
                    <w:jc w:val="center"/>
                    <w:rPr>
                      <w:b/>
                      <w:szCs w:val="21"/>
                    </w:rPr>
                  </w:pPr>
                  <w:r>
                    <w:rPr>
                      <w:b/>
                      <w:szCs w:val="21"/>
                    </w:rPr>
                    <w:t>总量控制因子</w:t>
                  </w:r>
                </w:p>
              </w:tc>
              <w:tc>
                <w:tcPr>
                  <w:tcW w:w="810" w:type="pct"/>
                  <w:vAlign w:val="center"/>
                </w:tcPr>
                <w:p w14:paraId="355F8358">
                  <w:pPr>
                    <w:snapToGrid w:val="0"/>
                    <w:jc w:val="center"/>
                    <w:rPr>
                      <w:b/>
                      <w:szCs w:val="21"/>
                    </w:rPr>
                  </w:pPr>
                  <w:r>
                    <w:rPr>
                      <w:b/>
                      <w:szCs w:val="21"/>
                    </w:rPr>
                    <w:t>排放浓度</w:t>
                  </w:r>
                </w:p>
              </w:tc>
              <w:tc>
                <w:tcPr>
                  <w:tcW w:w="1000" w:type="pct"/>
                  <w:vAlign w:val="center"/>
                </w:tcPr>
                <w:p w14:paraId="059C212C">
                  <w:pPr>
                    <w:snapToGrid w:val="0"/>
                    <w:jc w:val="center"/>
                    <w:rPr>
                      <w:b/>
                      <w:szCs w:val="21"/>
                    </w:rPr>
                  </w:pPr>
                  <w:r>
                    <w:rPr>
                      <w:b/>
                      <w:szCs w:val="21"/>
                    </w:rPr>
                    <w:t>预测排放量</w:t>
                  </w:r>
                </w:p>
              </w:tc>
              <w:tc>
                <w:tcPr>
                  <w:tcW w:w="1194" w:type="pct"/>
                  <w:vAlign w:val="center"/>
                </w:tcPr>
                <w:p w14:paraId="7BFC4ABF">
                  <w:pPr>
                    <w:snapToGrid w:val="0"/>
                    <w:jc w:val="center"/>
                    <w:rPr>
                      <w:b/>
                      <w:szCs w:val="21"/>
                    </w:rPr>
                  </w:pPr>
                  <w:r>
                    <w:rPr>
                      <w:b/>
                      <w:szCs w:val="21"/>
                    </w:rPr>
                    <w:t>建议总量指标</w:t>
                  </w:r>
                </w:p>
              </w:tc>
            </w:tr>
            <w:tr w14:paraId="5CB655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805" w:type="pct"/>
                  <w:vMerge w:val="restart"/>
                  <w:vAlign w:val="center"/>
                </w:tcPr>
                <w:p w14:paraId="16FF910D">
                  <w:pPr>
                    <w:snapToGrid w:val="0"/>
                    <w:jc w:val="center"/>
                    <w:rPr>
                      <w:szCs w:val="21"/>
                    </w:rPr>
                  </w:pPr>
                  <w:r>
                    <w:rPr>
                      <w:rFonts w:hint="eastAsia"/>
                      <w:szCs w:val="21"/>
                    </w:rPr>
                    <w:t>水污染物</w:t>
                  </w:r>
                </w:p>
              </w:tc>
              <w:tc>
                <w:tcPr>
                  <w:tcW w:w="1190" w:type="pct"/>
                  <w:vAlign w:val="center"/>
                </w:tcPr>
                <w:p w14:paraId="2FFBB04D">
                  <w:pPr>
                    <w:snapToGrid w:val="0"/>
                    <w:jc w:val="center"/>
                    <w:rPr>
                      <w:szCs w:val="21"/>
                    </w:rPr>
                  </w:pPr>
                  <w:r>
                    <w:rPr>
                      <w:rFonts w:hint="eastAsia"/>
                      <w:szCs w:val="21"/>
                    </w:rPr>
                    <w:t>废水量</w:t>
                  </w:r>
                </w:p>
              </w:tc>
              <w:tc>
                <w:tcPr>
                  <w:tcW w:w="3004" w:type="pct"/>
                  <w:gridSpan w:val="3"/>
                  <w:vAlign w:val="center"/>
                </w:tcPr>
                <w:p w14:paraId="1CF56799">
                  <w:pPr>
                    <w:jc w:val="center"/>
                    <w:rPr>
                      <w:szCs w:val="21"/>
                    </w:rPr>
                  </w:pPr>
                  <w:r>
                    <w:rPr>
                      <w:rFonts w:hint="eastAsia"/>
                      <w:color w:val="000000"/>
                      <w:szCs w:val="21"/>
                      <w:lang w:bidi="ar"/>
                    </w:rPr>
                    <w:t>77868.5</w:t>
                  </w:r>
                  <w:r>
                    <w:rPr>
                      <w:color w:val="000000"/>
                      <w:szCs w:val="21"/>
                      <w:lang w:bidi="ar"/>
                    </w:rPr>
                    <w:t>m</w:t>
                  </w:r>
                  <w:r>
                    <w:rPr>
                      <w:color w:val="000000"/>
                      <w:szCs w:val="21"/>
                      <w:vertAlign w:val="superscript"/>
                      <w:lang w:bidi="ar"/>
                    </w:rPr>
                    <w:t>3</w:t>
                  </w:r>
                  <w:r>
                    <w:rPr>
                      <w:color w:val="000000"/>
                      <w:szCs w:val="21"/>
                      <w:lang w:bidi="ar"/>
                    </w:rPr>
                    <w:t>/a</w:t>
                  </w:r>
                  <w:r>
                    <w:rPr>
                      <w:rFonts w:hint="eastAsia"/>
                      <w:color w:val="000000"/>
                      <w:szCs w:val="21"/>
                      <w:lang w:bidi="ar"/>
                    </w:rPr>
                    <w:t>（锅炉废水</w:t>
                  </w:r>
                  <w:r>
                    <w:rPr>
                      <w:color w:val="000000"/>
                      <w:szCs w:val="21"/>
                      <w:lang w:bidi="ar"/>
                    </w:rPr>
                    <w:t>+</w:t>
                  </w:r>
                  <w:r>
                    <w:rPr>
                      <w:rFonts w:hint="eastAsia"/>
                      <w:color w:val="000000"/>
                      <w:szCs w:val="21"/>
                      <w:lang w:bidi="ar"/>
                    </w:rPr>
                    <w:t>生产废水）</w:t>
                  </w:r>
                </w:p>
              </w:tc>
            </w:tr>
            <w:tr w14:paraId="28ED45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805" w:type="pct"/>
                  <w:vMerge w:val="continue"/>
                  <w:vAlign w:val="center"/>
                </w:tcPr>
                <w:p w14:paraId="2C622518">
                  <w:pPr>
                    <w:snapToGrid w:val="0"/>
                    <w:jc w:val="center"/>
                    <w:rPr>
                      <w:szCs w:val="21"/>
                    </w:rPr>
                  </w:pPr>
                </w:p>
              </w:tc>
              <w:tc>
                <w:tcPr>
                  <w:tcW w:w="1190" w:type="pct"/>
                  <w:vAlign w:val="center"/>
                </w:tcPr>
                <w:p w14:paraId="217572A5">
                  <w:pPr>
                    <w:jc w:val="center"/>
                    <w:rPr>
                      <w:szCs w:val="21"/>
                    </w:rPr>
                  </w:pPr>
                  <w:r>
                    <w:rPr>
                      <w:color w:val="000000"/>
                      <w:szCs w:val="21"/>
                      <w:lang w:bidi="ar"/>
                    </w:rPr>
                    <w:t>COD</w:t>
                  </w:r>
                </w:p>
              </w:tc>
              <w:tc>
                <w:tcPr>
                  <w:tcW w:w="810" w:type="pct"/>
                  <w:vAlign w:val="center"/>
                </w:tcPr>
                <w:p w14:paraId="5125C466">
                  <w:pPr>
                    <w:jc w:val="center"/>
                    <w:rPr>
                      <w:szCs w:val="21"/>
                    </w:rPr>
                  </w:pPr>
                  <w:r>
                    <w:rPr>
                      <w:color w:val="000000"/>
                      <w:szCs w:val="21"/>
                      <w:lang w:bidi="ar"/>
                    </w:rPr>
                    <w:t>50mg/L*</w:t>
                  </w:r>
                </w:p>
              </w:tc>
              <w:tc>
                <w:tcPr>
                  <w:tcW w:w="1000" w:type="pct"/>
                  <w:vAlign w:val="center"/>
                </w:tcPr>
                <w:p w14:paraId="5EC99FF9">
                  <w:pPr>
                    <w:jc w:val="center"/>
                    <w:rPr>
                      <w:szCs w:val="21"/>
                    </w:rPr>
                  </w:pPr>
                  <w:r>
                    <w:rPr>
                      <w:rFonts w:hint="eastAsia"/>
                      <w:szCs w:val="21"/>
                    </w:rPr>
                    <w:t>3.893425</w:t>
                  </w:r>
                </w:p>
              </w:tc>
              <w:tc>
                <w:tcPr>
                  <w:tcW w:w="1194" w:type="pct"/>
                  <w:vAlign w:val="center"/>
                </w:tcPr>
                <w:p w14:paraId="41BC017D">
                  <w:pPr>
                    <w:jc w:val="center"/>
                    <w:rPr>
                      <w:szCs w:val="21"/>
                    </w:rPr>
                  </w:pPr>
                  <w:r>
                    <w:rPr>
                      <w:rFonts w:hint="eastAsia"/>
                      <w:szCs w:val="21"/>
                    </w:rPr>
                    <w:t>3.89</w:t>
                  </w:r>
                </w:p>
              </w:tc>
            </w:tr>
            <w:tr w14:paraId="25A29F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805" w:type="pct"/>
                  <w:vMerge w:val="continue"/>
                  <w:vAlign w:val="center"/>
                </w:tcPr>
                <w:p w14:paraId="53C401EB">
                  <w:pPr>
                    <w:snapToGrid w:val="0"/>
                    <w:jc w:val="center"/>
                    <w:rPr>
                      <w:szCs w:val="21"/>
                    </w:rPr>
                  </w:pPr>
                </w:p>
              </w:tc>
              <w:tc>
                <w:tcPr>
                  <w:tcW w:w="1190" w:type="pct"/>
                  <w:vAlign w:val="center"/>
                </w:tcPr>
                <w:p w14:paraId="2065216D">
                  <w:pPr>
                    <w:jc w:val="center"/>
                    <w:rPr>
                      <w:szCs w:val="21"/>
                    </w:rPr>
                  </w:pPr>
                  <w:r>
                    <w:rPr>
                      <w:rFonts w:hint="eastAsia" w:cs="宋体"/>
                      <w:color w:val="000000"/>
                      <w:szCs w:val="21"/>
                      <w:lang w:bidi="ar"/>
                    </w:rPr>
                    <w:t>氨氮</w:t>
                  </w:r>
                </w:p>
              </w:tc>
              <w:tc>
                <w:tcPr>
                  <w:tcW w:w="810" w:type="pct"/>
                  <w:vAlign w:val="center"/>
                </w:tcPr>
                <w:p w14:paraId="6F66DE25">
                  <w:pPr>
                    <w:widowControl/>
                    <w:adjustRightInd w:val="0"/>
                    <w:jc w:val="center"/>
                    <w:rPr>
                      <w:szCs w:val="21"/>
                    </w:rPr>
                  </w:pPr>
                  <w:r>
                    <w:rPr>
                      <w:color w:val="000000"/>
                      <w:szCs w:val="21"/>
                      <w:lang w:bidi="ar"/>
                    </w:rPr>
                    <w:t>5mg/L*</w:t>
                  </w:r>
                </w:p>
              </w:tc>
              <w:tc>
                <w:tcPr>
                  <w:tcW w:w="1000" w:type="pct"/>
                  <w:vAlign w:val="center"/>
                </w:tcPr>
                <w:p w14:paraId="25CB204C">
                  <w:pPr>
                    <w:jc w:val="center"/>
                    <w:rPr>
                      <w:szCs w:val="21"/>
                    </w:rPr>
                  </w:pPr>
                  <w:r>
                    <w:rPr>
                      <w:rFonts w:hint="eastAsia"/>
                      <w:szCs w:val="21"/>
                    </w:rPr>
                    <w:t>0.3893425</w:t>
                  </w:r>
                </w:p>
              </w:tc>
              <w:tc>
                <w:tcPr>
                  <w:tcW w:w="1194" w:type="pct"/>
                  <w:vAlign w:val="center"/>
                </w:tcPr>
                <w:p w14:paraId="448F379C">
                  <w:pPr>
                    <w:jc w:val="center"/>
                    <w:rPr>
                      <w:szCs w:val="21"/>
                    </w:rPr>
                  </w:pPr>
                  <w:r>
                    <w:rPr>
                      <w:rFonts w:hint="eastAsia"/>
                      <w:szCs w:val="21"/>
                    </w:rPr>
                    <w:t>0.39</w:t>
                  </w:r>
                </w:p>
              </w:tc>
            </w:tr>
            <w:tr w14:paraId="078E47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805" w:type="pct"/>
                  <w:vMerge w:val="continue"/>
                  <w:vAlign w:val="center"/>
                </w:tcPr>
                <w:p w14:paraId="5088C699">
                  <w:pPr>
                    <w:snapToGrid w:val="0"/>
                    <w:jc w:val="center"/>
                    <w:rPr>
                      <w:szCs w:val="21"/>
                    </w:rPr>
                  </w:pPr>
                </w:p>
              </w:tc>
              <w:tc>
                <w:tcPr>
                  <w:tcW w:w="1190" w:type="pct"/>
                  <w:vAlign w:val="center"/>
                </w:tcPr>
                <w:p w14:paraId="10B8C132">
                  <w:pPr>
                    <w:jc w:val="center"/>
                    <w:rPr>
                      <w:szCs w:val="21"/>
                    </w:rPr>
                  </w:pPr>
                  <w:r>
                    <w:rPr>
                      <w:rFonts w:hint="eastAsia" w:cs="宋体"/>
                      <w:color w:val="000000"/>
                      <w:szCs w:val="21"/>
                      <w:lang w:bidi="ar"/>
                    </w:rPr>
                    <w:t>总磷</w:t>
                  </w:r>
                </w:p>
              </w:tc>
              <w:tc>
                <w:tcPr>
                  <w:tcW w:w="810" w:type="pct"/>
                  <w:vAlign w:val="center"/>
                </w:tcPr>
                <w:p w14:paraId="6519EBD5">
                  <w:pPr>
                    <w:widowControl/>
                    <w:adjustRightInd w:val="0"/>
                    <w:jc w:val="center"/>
                    <w:rPr>
                      <w:szCs w:val="21"/>
                    </w:rPr>
                  </w:pPr>
                  <w:r>
                    <w:rPr>
                      <w:color w:val="000000"/>
                      <w:szCs w:val="21"/>
                      <w:lang w:bidi="ar"/>
                    </w:rPr>
                    <w:t>0.5mg/L*</w:t>
                  </w:r>
                </w:p>
              </w:tc>
              <w:tc>
                <w:tcPr>
                  <w:tcW w:w="1000" w:type="pct"/>
                  <w:vAlign w:val="center"/>
                </w:tcPr>
                <w:p w14:paraId="3CFAD3A4">
                  <w:pPr>
                    <w:jc w:val="center"/>
                    <w:rPr>
                      <w:szCs w:val="21"/>
                    </w:rPr>
                  </w:pPr>
                  <w:r>
                    <w:rPr>
                      <w:rFonts w:hint="eastAsia"/>
                      <w:szCs w:val="21"/>
                    </w:rPr>
                    <w:t>0.03893425</w:t>
                  </w:r>
                </w:p>
              </w:tc>
              <w:tc>
                <w:tcPr>
                  <w:tcW w:w="1194" w:type="pct"/>
                  <w:vAlign w:val="center"/>
                </w:tcPr>
                <w:p w14:paraId="37469174">
                  <w:pPr>
                    <w:jc w:val="center"/>
                    <w:rPr>
                      <w:szCs w:val="21"/>
                    </w:rPr>
                  </w:pPr>
                  <w:r>
                    <w:rPr>
                      <w:rFonts w:hint="eastAsia"/>
                      <w:szCs w:val="21"/>
                    </w:rPr>
                    <w:t>0.04</w:t>
                  </w:r>
                </w:p>
              </w:tc>
            </w:tr>
            <w:tr w14:paraId="4CDC66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805" w:type="pct"/>
                  <w:vMerge w:val="restart"/>
                  <w:vAlign w:val="center"/>
                </w:tcPr>
                <w:p w14:paraId="533C5576">
                  <w:pPr>
                    <w:snapToGrid w:val="0"/>
                    <w:jc w:val="center"/>
                    <w:rPr>
                      <w:szCs w:val="21"/>
                    </w:rPr>
                  </w:pPr>
                  <w:r>
                    <w:rPr>
                      <w:szCs w:val="21"/>
                    </w:rPr>
                    <w:t>大气污染物</w:t>
                  </w:r>
                </w:p>
              </w:tc>
              <w:tc>
                <w:tcPr>
                  <w:tcW w:w="1190" w:type="pct"/>
                  <w:vAlign w:val="center"/>
                </w:tcPr>
                <w:p w14:paraId="79708F3E">
                  <w:pPr>
                    <w:snapToGrid w:val="0"/>
                    <w:jc w:val="center"/>
                    <w:rPr>
                      <w:szCs w:val="21"/>
                    </w:rPr>
                  </w:pPr>
                  <w:r>
                    <w:rPr>
                      <w:szCs w:val="21"/>
                    </w:rPr>
                    <w:t>烟气量</w:t>
                  </w:r>
                </w:p>
              </w:tc>
              <w:tc>
                <w:tcPr>
                  <w:tcW w:w="3004" w:type="pct"/>
                  <w:gridSpan w:val="3"/>
                  <w:vAlign w:val="center"/>
                </w:tcPr>
                <w:p w14:paraId="75E3FCF4">
                  <w:pPr>
                    <w:jc w:val="center"/>
                    <w:rPr>
                      <w:szCs w:val="21"/>
                    </w:rPr>
                  </w:pPr>
                  <w:r>
                    <w:rPr>
                      <w:szCs w:val="21"/>
                    </w:rPr>
                    <w:t>1602.72万m</w:t>
                  </w:r>
                  <w:r>
                    <w:rPr>
                      <w:szCs w:val="21"/>
                      <w:vertAlign w:val="superscript"/>
                    </w:rPr>
                    <w:t>3</w:t>
                  </w:r>
                  <w:r>
                    <w:rPr>
                      <w:szCs w:val="21"/>
                    </w:rPr>
                    <w:t>/a</w:t>
                  </w:r>
                </w:p>
              </w:tc>
            </w:tr>
            <w:tr w14:paraId="7F6517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805" w:type="pct"/>
                  <w:vMerge w:val="continue"/>
                  <w:vAlign w:val="center"/>
                </w:tcPr>
                <w:p w14:paraId="18F8E12A">
                  <w:pPr>
                    <w:snapToGrid w:val="0"/>
                    <w:jc w:val="center"/>
                    <w:rPr>
                      <w:szCs w:val="21"/>
                    </w:rPr>
                  </w:pPr>
                </w:p>
              </w:tc>
              <w:tc>
                <w:tcPr>
                  <w:tcW w:w="1190" w:type="pct"/>
                  <w:vAlign w:val="center"/>
                </w:tcPr>
                <w:p w14:paraId="3818130A">
                  <w:pPr>
                    <w:snapToGrid w:val="0"/>
                    <w:jc w:val="center"/>
                    <w:rPr>
                      <w:szCs w:val="21"/>
                    </w:rPr>
                  </w:pPr>
                  <w:r>
                    <w:rPr>
                      <w:szCs w:val="21"/>
                    </w:rPr>
                    <w:t>SO</w:t>
                  </w:r>
                  <w:r>
                    <w:rPr>
                      <w:szCs w:val="21"/>
                      <w:vertAlign w:val="subscript"/>
                    </w:rPr>
                    <w:t>2</w:t>
                  </w:r>
                </w:p>
              </w:tc>
              <w:tc>
                <w:tcPr>
                  <w:tcW w:w="810" w:type="pct"/>
                  <w:vAlign w:val="center"/>
                </w:tcPr>
                <w:p w14:paraId="540F19EF">
                  <w:pPr>
                    <w:pStyle w:val="19"/>
                    <w:adjustRightInd w:val="0"/>
                    <w:ind w:left="0" w:firstLine="0" w:firstLineChars="0"/>
                    <w:jc w:val="center"/>
                    <w:rPr>
                      <w:szCs w:val="21"/>
                    </w:rPr>
                  </w:pPr>
                  <w:r>
                    <w:rPr>
                      <w:bCs/>
                    </w:rPr>
                    <w:t>17.97</w:t>
                  </w:r>
                  <w:r>
                    <w:rPr>
                      <w:sz w:val="24"/>
                      <w:szCs w:val="24"/>
                    </w:rPr>
                    <w:t>mg/m</w:t>
                  </w:r>
                  <w:r>
                    <w:rPr>
                      <w:sz w:val="24"/>
                      <w:szCs w:val="24"/>
                      <w:vertAlign w:val="superscript"/>
                    </w:rPr>
                    <w:t>3</w:t>
                  </w:r>
                </w:p>
              </w:tc>
              <w:tc>
                <w:tcPr>
                  <w:tcW w:w="1000" w:type="pct"/>
                  <w:vAlign w:val="center"/>
                </w:tcPr>
                <w:p w14:paraId="656D0D0C">
                  <w:pPr>
                    <w:pStyle w:val="19"/>
                    <w:adjustRightInd w:val="0"/>
                    <w:ind w:left="0" w:firstLine="0" w:firstLineChars="0"/>
                    <w:jc w:val="center"/>
                    <w:rPr>
                      <w:rFonts w:eastAsia="等线"/>
                      <w:szCs w:val="21"/>
                    </w:rPr>
                  </w:pPr>
                  <w:r>
                    <w:rPr>
                      <w:rFonts w:eastAsia="等线"/>
                    </w:rPr>
                    <w:t>0.288</w:t>
                  </w:r>
                  <w:r>
                    <w:rPr>
                      <w:rFonts w:hint="eastAsia" w:eastAsia="等线"/>
                    </w:rPr>
                    <w:t>t/a</w:t>
                  </w:r>
                </w:p>
              </w:tc>
              <w:tc>
                <w:tcPr>
                  <w:tcW w:w="1194" w:type="pct"/>
                  <w:vAlign w:val="center"/>
                </w:tcPr>
                <w:p w14:paraId="7FDBD23A">
                  <w:pPr>
                    <w:pStyle w:val="50"/>
                    <w:adjustRightInd/>
                    <w:snapToGrid/>
                    <w:spacing w:beforeLines="0" w:line="240" w:lineRule="auto"/>
                    <w:rPr>
                      <w:rFonts w:ascii="Times New Roman" w:hAnsi="Times New Roman"/>
                      <w:szCs w:val="21"/>
                    </w:rPr>
                  </w:pPr>
                  <w:r>
                    <w:rPr>
                      <w:rFonts w:hint="eastAsia" w:ascii="Times New Roman" w:hAnsi="Times New Roman"/>
                      <w:szCs w:val="21"/>
                    </w:rPr>
                    <w:t>0.29</w:t>
                  </w:r>
                  <w:r>
                    <w:rPr>
                      <w:rFonts w:hint="eastAsia" w:ascii="Times New Roman" w:hAnsi="Times New Roman" w:eastAsia="等线"/>
                    </w:rPr>
                    <w:t>t/a</w:t>
                  </w:r>
                </w:p>
              </w:tc>
            </w:tr>
            <w:tr w14:paraId="29F12C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805" w:type="pct"/>
                  <w:vMerge w:val="continue"/>
                  <w:vAlign w:val="center"/>
                </w:tcPr>
                <w:p w14:paraId="7846CBFD">
                  <w:pPr>
                    <w:snapToGrid w:val="0"/>
                    <w:jc w:val="center"/>
                    <w:rPr>
                      <w:szCs w:val="21"/>
                    </w:rPr>
                  </w:pPr>
                </w:p>
              </w:tc>
              <w:tc>
                <w:tcPr>
                  <w:tcW w:w="1190" w:type="pct"/>
                  <w:vAlign w:val="center"/>
                </w:tcPr>
                <w:p w14:paraId="0DD983FB">
                  <w:pPr>
                    <w:snapToGrid w:val="0"/>
                    <w:jc w:val="center"/>
                    <w:rPr>
                      <w:szCs w:val="21"/>
                    </w:rPr>
                  </w:pPr>
                  <w:r>
                    <w:rPr>
                      <w:szCs w:val="21"/>
                    </w:rPr>
                    <w:t>NO</w:t>
                  </w:r>
                  <w:r>
                    <w:rPr>
                      <w:szCs w:val="21"/>
                      <w:vertAlign w:val="subscript"/>
                    </w:rPr>
                    <w:t>X</w:t>
                  </w:r>
                </w:p>
              </w:tc>
              <w:tc>
                <w:tcPr>
                  <w:tcW w:w="810" w:type="pct"/>
                  <w:vAlign w:val="center"/>
                </w:tcPr>
                <w:p w14:paraId="1FB1237E">
                  <w:pPr>
                    <w:pStyle w:val="19"/>
                    <w:adjustRightInd w:val="0"/>
                    <w:ind w:left="0" w:firstLine="0" w:firstLineChars="0"/>
                    <w:jc w:val="center"/>
                    <w:rPr>
                      <w:szCs w:val="21"/>
                    </w:rPr>
                  </w:pPr>
                  <w:r>
                    <w:rPr>
                      <w:bCs/>
                    </w:rPr>
                    <w:t>94</w:t>
                  </w:r>
                  <w:r>
                    <w:rPr>
                      <w:sz w:val="24"/>
                      <w:szCs w:val="24"/>
                    </w:rPr>
                    <w:t>mg/m</w:t>
                  </w:r>
                  <w:r>
                    <w:rPr>
                      <w:sz w:val="24"/>
                      <w:szCs w:val="24"/>
                      <w:vertAlign w:val="superscript"/>
                    </w:rPr>
                    <w:t>3</w:t>
                  </w:r>
                </w:p>
              </w:tc>
              <w:tc>
                <w:tcPr>
                  <w:tcW w:w="1000" w:type="pct"/>
                  <w:vAlign w:val="center"/>
                </w:tcPr>
                <w:p w14:paraId="3A53D8DA">
                  <w:pPr>
                    <w:adjustRightInd w:val="0"/>
                    <w:jc w:val="center"/>
                    <w:rPr>
                      <w:szCs w:val="21"/>
                    </w:rPr>
                  </w:pPr>
                  <w:r>
                    <w:rPr>
                      <w:rFonts w:eastAsia="等线"/>
                    </w:rPr>
                    <w:t>1.505</w:t>
                  </w:r>
                  <w:r>
                    <w:rPr>
                      <w:rFonts w:hint="eastAsia" w:eastAsia="等线"/>
                    </w:rPr>
                    <w:t>t/a</w:t>
                  </w:r>
                </w:p>
              </w:tc>
              <w:tc>
                <w:tcPr>
                  <w:tcW w:w="1194" w:type="pct"/>
                  <w:vAlign w:val="center"/>
                </w:tcPr>
                <w:p w14:paraId="72E3C3E4">
                  <w:pPr>
                    <w:pStyle w:val="50"/>
                    <w:adjustRightInd/>
                    <w:snapToGrid/>
                    <w:spacing w:beforeLines="0" w:line="240" w:lineRule="auto"/>
                    <w:rPr>
                      <w:rFonts w:ascii="Times New Roman" w:hAnsi="Times New Roman"/>
                      <w:szCs w:val="21"/>
                    </w:rPr>
                  </w:pPr>
                  <w:r>
                    <w:rPr>
                      <w:rFonts w:hint="eastAsia" w:ascii="Times New Roman" w:hAnsi="Times New Roman"/>
                      <w:szCs w:val="21"/>
                    </w:rPr>
                    <w:t>1.51</w:t>
                  </w:r>
                  <w:r>
                    <w:rPr>
                      <w:rFonts w:hint="eastAsia" w:ascii="Times New Roman" w:hAnsi="Times New Roman" w:eastAsia="等线"/>
                    </w:rPr>
                    <w:t>t/a</w:t>
                  </w:r>
                </w:p>
              </w:tc>
            </w:tr>
          </w:tbl>
          <w:p w14:paraId="473FAA82">
            <w:pPr>
              <w:rPr>
                <w:szCs w:val="21"/>
              </w:rPr>
            </w:pPr>
            <w:r>
              <w:rPr>
                <w:szCs w:val="21"/>
              </w:rPr>
              <w:t>备注：*水污染物总量控制指标计算过程中，水污染物排放浓度参考《城镇污水处理厂污染物排放标准》（GB18918-2002）一级A标准限值。</w:t>
            </w:r>
          </w:p>
          <w:p w14:paraId="2040B949">
            <w:pPr>
              <w:spacing w:line="360" w:lineRule="auto"/>
              <w:ind w:firstLine="480" w:firstLineChars="200"/>
              <w:rPr>
                <w:color w:val="FF0000"/>
                <w:sz w:val="24"/>
                <w:szCs w:val="24"/>
              </w:rPr>
            </w:pPr>
            <w:r>
              <w:rPr>
                <w:sz w:val="24"/>
                <w:szCs w:val="24"/>
              </w:rPr>
              <w:t>综上所述，本项目需购买的污染物排放总量为：</w:t>
            </w:r>
            <w:r>
              <w:rPr>
                <w:color w:val="000000"/>
                <w:sz w:val="24"/>
                <w:szCs w:val="24"/>
                <w:lang w:bidi="ar"/>
              </w:rPr>
              <w:t>COD</w:t>
            </w:r>
            <w:r>
              <w:rPr>
                <w:rFonts w:hint="eastAsia"/>
                <w:color w:val="000000"/>
                <w:sz w:val="24"/>
                <w:szCs w:val="24"/>
                <w:lang w:bidi="ar"/>
              </w:rPr>
              <w:t>≤3.89</w:t>
            </w:r>
            <w:r>
              <w:rPr>
                <w:color w:val="000000"/>
                <w:sz w:val="24"/>
                <w:szCs w:val="24"/>
                <w:lang w:bidi="ar"/>
              </w:rPr>
              <w:t>t/a</w:t>
            </w:r>
            <w:r>
              <w:rPr>
                <w:rFonts w:hint="eastAsia"/>
                <w:color w:val="000000"/>
                <w:sz w:val="24"/>
                <w:szCs w:val="24"/>
                <w:lang w:bidi="ar"/>
              </w:rPr>
              <w:t>，</w:t>
            </w:r>
            <w:r>
              <w:rPr>
                <w:color w:val="000000"/>
                <w:sz w:val="24"/>
                <w:szCs w:val="24"/>
                <w:lang w:bidi="ar"/>
              </w:rPr>
              <w:t>NH</w:t>
            </w:r>
            <w:r>
              <w:rPr>
                <w:color w:val="000000"/>
                <w:sz w:val="24"/>
                <w:szCs w:val="24"/>
                <w:vertAlign w:val="subscript"/>
                <w:lang w:bidi="ar"/>
              </w:rPr>
              <w:t>3</w:t>
            </w:r>
            <w:r>
              <w:rPr>
                <w:color w:val="000000"/>
                <w:sz w:val="24"/>
                <w:szCs w:val="24"/>
                <w:lang w:bidi="ar"/>
              </w:rPr>
              <w:t>-N</w:t>
            </w:r>
            <w:r>
              <w:rPr>
                <w:rFonts w:hint="eastAsia"/>
                <w:color w:val="000000"/>
                <w:sz w:val="24"/>
                <w:szCs w:val="24"/>
                <w:lang w:bidi="ar"/>
              </w:rPr>
              <w:t>≤</w:t>
            </w:r>
            <w:r>
              <w:rPr>
                <w:color w:val="000000"/>
                <w:sz w:val="24"/>
                <w:szCs w:val="24"/>
                <w:lang w:bidi="ar"/>
              </w:rPr>
              <w:t>0.</w:t>
            </w:r>
            <w:r>
              <w:rPr>
                <w:rFonts w:hint="eastAsia"/>
                <w:color w:val="000000"/>
                <w:sz w:val="24"/>
                <w:szCs w:val="24"/>
                <w:lang w:bidi="ar"/>
              </w:rPr>
              <w:t>39</w:t>
            </w:r>
            <w:r>
              <w:rPr>
                <w:color w:val="000000"/>
                <w:sz w:val="24"/>
                <w:szCs w:val="24"/>
                <w:lang w:bidi="ar"/>
              </w:rPr>
              <w:t>t/a</w:t>
            </w:r>
            <w:r>
              <w:rPr>
                <w:rFonts w:hint="eastAsia"/>
                <w:color w:val="000000"/>
                <w:sz w:val="24"/>
                <w:szCs w:val="24"/>
                <w:lang w:bidi="ar"/>
              </w:rPr>
              <w:t>，</w:t>
            </w:r>
            <w:r>
              <w:rPr>
                <w:color w:val="000000"/>
                <w:sz w:val="24"/>
                <w:szCs w:val="24"/>
                <w:lang w:bidi="ar"/>
              </w:rPr>
              <w:t>TP</w:t>
            </w:r>
            <w:r>
              <w:rPr>
                <w:rFonts w:hint="eastAsia"/>
                <w:color w:val="000000"/>
                <w:sz w:val="24"/>
                <w:szCs w:val="24"/>
                <w:lang w:bidi="ar"/>
              </w:rPr>
              <w:t>≤</w:t>
            </w:r>
            <w:r>
              <w:rPr>
                <w:color w:val="000000"/>
                <w:sz w:val="24"/>
                <w:szCs w:val="24"/>
                <w:lang w:bidi="ar"/>
              </w:rPr>
              <w:t>0.0</w:t>
            </w:r>
            <w:r>
              <w:rPr>
                <w:rFonts w:hint="eastAsia"/>
                <w:color w:val="000000"/>
                <w:sz w:val="24"/>
                <w:szCs w:val="24"/>
                <w:lang w:bidi="ar"/>
              </w:rPr>
              <w:t>4</w:t>
            </w:r>
            <w:r>
              <w:rPr>
                <w:color w:val="000000"/>
                <w:sz w:val="24"/>
                <w:szCs w:val="24"/>
                <w:lang w:bidi="ar"/>
              </w:rPr>
              <w:t>t/a</w:t>
            </w:r>
            <w:r>
              <w:rPr>
                <w:rFonts w:hint="eastAsia"/>
                <w:color w:val="000000"/>
                <w:sz w:val="24"/>
                <w:szCs w:val="24"/>
                <w:lang w:bidi="ar"/>
              </w:rPr>
              <w:t>，</w:t>
            </w:r>
            <w:r>
              <w:rPr>
                <w:sz w:val="24"/>
                <w:szCs w:val="24"/>
              </w:rPr>
              <w:t>SO</w:t>
            </w:r>
            <w:r>
              <w:rPr>
                <w:sz w:val="24"/>
                <w:szCs w:val="24"/>
                <w:vertAlign w:val="subscript"/>
              </w:rPr>
              <w:t>2</w:t>
            </w:r>
            <w:r>
              <w:rPr>
                <w:sz w:val="24"/>
                <w:szCs w:val="24"/>
              </w:rPr>
              <w:t>≤</w:t>
            </w:r>
            <w:r>
              <w:rPr>
                <w:rFonts w:hint="eastAsia"/>
                <w:sz w:val="24"/>
                <w:szCs w:val="24"/>
              </w:rPr>
              <w:t>0.29</w:t>
            </w:r>
            <w:r>
              <w:rPr>
                <w:sz w:val="24"/>
                <w:szCs w:val="24"/>
              </w:rPr>
              <w:t>t/a，NO</w:t>
            </w:r>
            <w:r>
              <w:rPr>
                <w:sz w:val="24"/>
                <w:szCs w:val="24"/>
                <w:vertAlign w:val="subscript"/>
              </w:rPr>
              <w:t>X</w:t>
            </w:r>
            <w:r>
              <w:rPr>
                <w:sz w:val="24"/>
                <w:szCs w:val="24"/>
              </w:rPr>
              <w:t>≤</w:t>
            </w:r>
            <w:r>
              <w:rPr>
                <w:rFonts w:hint="eastAsia"/>
                <w:sz w:val="24"/>
                <w:szCs w:val="24"/>
              </w:rPr>
              <w:t>1.51</w:t>
            </w:r>
            <w:r>
              <w:rPr>
                <w:sz w:val="24"/>
                <w:szCs w:val="24"/>
              </w:rPr>
              <w:t>t/a。</w:t>
            </w:r>
          </w:p>
        </w:tc>
      </w:tr>
    </w:tbl>
    <w:p w14:paraId="41600557">
      <w:pPr>
        <w:pStyle w:val="53"/>
        <w:autoSpaceDE/>
        <w:autoSpaceDN/>
        <w:adjustRightInd/>
        <w:jc w:val="both"/>
        <w:rPr>
          <w:rFonts w:ascii="Times New Roman"/>
          <w:snapToGrid w:val="0"/>
          <w:color w:val="FF0000"/>
        </w:rPr>
        <w:sectPr>
          <w:pgSz w:w="11907" w:h="16840"/>
          <w:pgMar w:top="1701" w:right="1440" w:bottom="1701" w:left="1440" w:header="851" w:footer="851" w:gutter="0"/>
          <w:cols w:space="720" w:num="1"/>
        </w:sectPr>
      </w:pPr>
    </w:p>
    <w:p w14:paraId="7EACE4FB">
      <w:pPr>
        <w:pStyle w:val="21"/>
        <w:spacing w:before="120" w:beforeLines="50" w:beforeAutospacing="0" w:after="120" w:afterLines="50" w:afterAutospacing="0"/>
        <w:jc w:val="center"/>
        <w:outlineLvl w:val="0"/>
        <w:rPr>
          <w:b/>
          <w:bCs/>
          <w:snapToGrid w:val="0"/>
          <w:color w:val="000000"/>
          <w:sz w:val="30"/>
          <w:szCs w:val="30"/>
        </w:rPr>
      </w:pPr>
      <w:bookmarkStart w:id="31" w:name="_Toc135403216"/>
      <w:r>
        <w:rPr>
          <w:b/>
          <w:bCs/>
          <w:snapToGrid w:val="0"/>
          <w:color w:val="000000"/>
          <w:sz w:val="30"/>
          <w:szCs w:val="30"/>
        </w:rPr>
        <w:t>四、主要环境影响和保护措施</w:t>
      </w:r>
      <w:bookmarkEnd w:id="31"/>
    </w:p>
    <w:tbl>
      <w:tblPr>
        <w:tblStyle w:val="24"/>
        <w:tblW w:w="5044"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05"/>
        <w:gridCol w:w="8739"/>
      </w:tblGrid>
      <w:tr w14:paraId="02C34E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91" w:hRule="atLeast"/>
          <w:jc w:val="center"/>
        </w:trPr>
        <w:tc>
          <w:tcPr>
            <w:tcW w:w="273" w:type="pct"/>
            <w:tcMar>
              <w:top w:w="0" w:type="dxa"/>
              <w:left w:w="28" w:type="dxa"/>
              <w:bottom w:w="0" w:type="dxa"/>
              <w:right w:w="28" w:type="dxa"/>
            </w:tcMar>
            <w:vAlign w:val="center"/>
          </w:tcPr>
          <w:p w14:paraId="5003EBED">
            <w:pPr>
              <w:pStyle w:val="21"/>
              <w:adjustRightInd w:val="0"/>
              <w:snapToGrid w:val="0"/>
              <w:spacing w:before="0" w:beforeAutospacing="0" w:after="0" w:afterAutospacing="0" w:line="360" w:lineRule="auto"/>
              <w:jc w:val="center"/>
              <w:rPr>
                <w:rFonts w:ascii="Times New Roman" w:hAnsi="Times New Roman"/>
                <w:bCs/>
                <w:color w:val="FF0000"/>
                <w:szCs w:val="24"/>
              </w:rPr>
            </w:pPr>
            <w:r>
              <w:rPr>
                <w:rFonts w:ascii="Times New Roman" w:hAnsi="Times New Roman"/>
                <w:color w:val="000000"/>
                <w:szCs w:val="24"/>
              </w:rPr>
              <w:t>施工期环境保护措施</w:t>
            </w:r>
          </w:p>
        </w:tc>
        <w:tc>
          <w:tcPr>
            <w:tcW w:w="4726" w:type="pct"/>
            <w:vAlign w:val="center"/>
          </w:tcPr>
          <w:p w14:paraId="2C0879CC">
            <w:pPr>
              <w:snapToGrid w:val="0"/>
              <w:spacing w:line="360" w:lineRule="auto"/>
              <w:ind w:firstLine="470" w:firstLineChars="196"/>
              <w:rPr>
                <w:sz w:val="24"/>
              </w:rPr>
            </w:pPr>
            <w:r>
              <w:rPr>
                <w:sz w:val="24"/>
              </w:rPr>
              <w:t>本项目利用原有厂区已建生产区进行生产，本项目不再新建各建筑物，仅需进行厂房内进行少量生产设备安装等。本项目施工期环境影响较小，本评价不再对本项目施工期环境影响和保护措施进行分析。</w:t>
            </w:r>
          </w:p>
        </w:tc>
      </w:tr>
      <w:tr w14:paraId="08301C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4" w:hRule="atLeast"/>
          <w:jc w:val="center"/>
        </w:trPr>
        <w:tc>
          <w:tcPr>
            <w:tcW w:w="273" w:type="pct"/>
            <w:tcMar>
              <w:top w:w="0" w:type="dxa"/>
              <w:left w:w="28" w:type="dxa"/>
              <w:bottom w:w="0" w:type="dxa"/>
              <w:right w:w="28" w:type="dxa"/>
            </w:tcMar>
            <w:vAlign w:val="center"/>
          </w:tcPr>
          <w:p w14:paraId="3CD94F48">
            <w:pPr>
              <w:adjustRightInd w:val="0"/>
              <w:snapToGrid w:val="0"/>
              <w:spacing w:line="360" w:lineRule="auto"/>
              <w:jc w:val="center"/>
              <w:rPr>
                <w:bCs/>
                <w:color w:val="FF0000"/>
                <w:sz w:val="24"/>
                <w:szCs w:val="24"/>
              </w:rPr>
            </w:pPr>
            <w:r>
              <w:rPr>
                <w:bCs/>
                <w:color w:val="000000"/>
                <w:sz w:val="24"/>
                <w:szCs w:val="24"/>
              </w:rPr>
              <w:t>运营期环境影响和保护措施</w:t>
            </w:r>
          </w:p>
        </w:tc>
        <w:tc>
          <w:tcPr>
            <w:tcW w:w="4726" w:type="pct"/>
            <w:vAlign w:val="center"/>
          </w:tcPr>
          <w:p w14:paraId="0BAF8817">
            <w:pPr>
              <w:adjustRightInd w:val="0"/>
              <w:snapToGrid w:val="0"/>
              <w:spacing w:line="360" w:lineRule="auto"/>
              <w:rPr>
                <w:b/>
                <w:bCs/>
                <w:color w:val="000000"/>
                <w:sz w:val="24"/>
                <w:szCs w:val="24"/>
              </w:rPr>
            </w:pPr>
            <w:r>
              <w:rPr>
                <w:b/>
                <w:bCs/>
                <w:color w:val="000000"/>
                <w:sz w:val="24"/>
                <w:szCs w:val="24"/>
              </w:rPr>
              <w:t>1 废气</w:t>
            </w:r>
          </w:p>
          <w:p w14:paraId="7FE98797">
            <w:pPr>
              <w:adjustRightInd w:val="0"/>
              <w:snapToGrid w:val="0"/>
              <w:spacing w:line="360" w:lineRule="auto"/>
              <w:rPr>
                <w:b/>
                <w:bCs/>
                <w:color w:val="000000"/>
                <w:sz w:val="24"/>
                <w:szCs w:val="24"/>
              </w:rPr>
            </w:pPr>
            <w:r>
              <w:rPr>
                <w:b/>
                <w:bCs/>
                <w:color w:val="000000"/>
                <w:sz w:val="24"/>
                <w:szCs w:val="24"/>
              </w:rPr>
              <w:t>1.1废气源强</w:t>
            </w:r>
          </w:p>
          <w:p w14:paraId="5B26FE0B">
            <w:pPr>
              <w:spacing w:line="360" w:lineRule="auto"/>
              <w:ind w:firstLine="482" w:firstLineChars="200"/>
              <w:rPr>
                <w:b/>
                <w:color w:val="000000"/>
                <w:sz w:val="24"/>
                <w:szCs w:val="24"/>
              </w:rPr>
            </w:pPr>
            <w:r>
              <w:rPr>
                <w:b/>
                <w:color w:val="000000"/>
                <w:sz w:val="24"/>
                <w:szCs w:val="24"/>
              </w:rPr>
              <w:t>生物质气化锅炉废气</w:t>
            </w:r>
          </w:p>
          <w:p w14:paraId="508C070F">
            <w:pPr>
              <w:spacing w:line="360" w:lineRule="auto"/>
              <w:ind w:firstLine="480" w:firstLineChars="200"/>
              <w:rPr>
                <w:color w:val="000000"/>
                <w:sz w:val="24"/>
                <w:szCs w:val="24"/>
              </w:rPr>
            </w:pPr>
            <w:r>
              <w:rPr>
                <w:color w:val="000000"/>
                <w:sz w:val="24"/>
                <w:szCs w:val="24"/>
              </w:rPr>
              <w:t>（1）锅炉烟气量</w:t>
            </w:r>
          </w:p>
          <w:p w14:paraId="1C7C0CE0">
            <w:pPr>
              <w:spacing w:line="360" w:lineRule="auto"/>
              <w:ind w:firstLine="480" w:firstLineChars="200"/>
              <w:rPr>
                <w:color w:val="000000"/>
                <w:sz w:val="24"/>
                <w:szCs w:val="24"/>
              </w:rPr>
            </w:pPr>
            <w:r>
              <w:rPr>
                <w:color w:val="000000"/>
                <w:sz w:val="24"/>
                <w:szCs w:val="24"/>
              </w:rPr>
              <w:t>根据《环境保护计算手册》，气体燃料理论空气需要量 V</w:t>
            </w:r>
            <w:r>
              <w:rPr>
                <w:color w:val="000000"/>
                <w:sz w:val="24"/>
                <w:szCs w:val="24"/>
                <w:vertAlign w:val="subscript"/>
              </w:rPr>
              <w:t>0</w:t>
            </w:r>
            <w:r>
              <w:rPr>
                <w:color w:val="000000"/>
                <w:sz w:val="24"/>
                <w:szCs w:val="24"/>
              </w:rPr>
              <w:t>经验公式：</w:t>
            </w:r>
          </w:p>
          <w:p w14:paraId="4231DCD5">
            <w:pPr>
              <w:spacing w:line="360" w:lineRule="auto"/>
              <w:jc w:val="center"/>
              <w:rPr>
                <w:color w:val="000000"/>
                <w:sz w:val="24"/>
                <w:szCs w:val="24"/>
              </w:rPr>
            </w:pPr>
            <w:r>
              <w:rPr>
                <w:color w:val="000000"/>
                <w:sz w:val="24"/>
                <w:szCs w:val="24"/>
              </w:rPr>
              <w:t>V</w:t>
            </w:r>
            <w:r>
              <w:rPr>
                <w:color w:val="000000"/>
                <w:sz w:val="24"/>
                <w:szCs w:val="24"/>
                <w:vertAlign w:val="subscript"/>
              </w:rPr>
              <w:t>0</w:t>
            </w:r>
            <w:r>
              <w:rPr>
                <w:color w:val="000000"/>
                <w:sz w:val="24"/>
                <w:szCs w:val="24"/>
              </w:rPr>
              <w:t>=0.875×Q/1000   （Nm</w:t>
            </w:r>
            <w:r>
              <w:rPr>
                <w:color w:val="000000"/>
                <w:sz w:val="24"/>
                <w:szCs w:val="24"/>
                <w:vertAlign w:val="superscript"/>
              </w:rPr>
              <w:t>3</w:t>
            </w:r>
            <w:r>
              <w:rPr>
                <w:color w:val="000000"/>
                <w:sz w:val="24"/>
                <w:szCs w:val="24"/>
              </w:rPr>
              <w:t>/kg）</w:t>
            </w:r>
          </w:p>
          <w:p w14:paraId="016A15A5">
            <w:pPr>
              <w:widowControl/>
              <w:spacing w:line="360" w:lineRule="auto"/>
              <w:ind w:firstLine="480" w:firstLineChars="200"/>
              <w:jc w:val="left"/>
              <w:rPr>
                <w:color w:val="000000"/>
                <w:kern w:val="0"/>
                <w:sz w:val="24"/>
                <w:szCs w:val="24"/>
              </w:rPr>
            </w:pPr>
            <w:r>
              <w:rPr>
                <w:color w:val="000000"/>
                <w:kern w:val="0"/>
                <w:sz w:val="24"/>
                <w:szCs w:val="24"/>
              </w:rPr>
              <w:t>烟气量V</w:t>
            </w:r>
            <w:r>
              <w:rPr>
                <w:color w:val="000000"/>
                <w:kern w:val="0"/>
                <w:sz w:val="24"/>
                <w:szCs w:val="24"/>
                <w:vertAlign w:val="subscript"/>
              </w:rPr>
              <w:t>y</w:t>
            </w:r>
            <w:r>
              <w:rPr>
                <w:color w:val="000000"/>
                <w:kern w:val="0"/>
                <w:sz w:val="24"/>
                <w:szCs w:val="24"/>
              </w:rPr>
              <w:t>计算经验公式：</w:t>
            </w:r>
          </w:p>
          <w:p w14:paraId="74D73232">
            <w:pPr>
              <w:widowControl/>
              <w:spacing w:line="360" w:lineRule="auto"/>
              <w:ind w:firstLine="480" w:firstLineChars="200"/>
              <w:jc w:val="center"/>
              <w:rPr>
                <w:color w:val="000000"/>
                <w:kern w:val="0"/>
                <w:sz w:val="24"/>
                <w:szCs w:val="24"/>
              </w:rPr>
            </w:pPr>
            <w:r>
              <w:rPr>
                <w:color w:val="000000"/>
                <w:kern w:val="0"/>
                <w:sz w:val="24"/>
                <w:szCs w:val="24"/>
              </w:rPr>
              <w:t>V</w:t>
            </w:r>
            <w:r>
              <w:rPr>
                <w:color w:val="000000"/>
                <w:kern w:val="0"/>
                <w:sz w:val="24"/>
                <w:szCs w:val="24"/>
                <w:vertAlign w:val="subscript"/>
              </w:rPr>
              <w:t>y</w:t>
            </w:r>
            <w:r>
              <w:rPr>
                <w:color w:val="000000"/>
                <w:kern w:val="0"/>
                <w:sz w:val="24"/>
                <w:szCs w:val="24"/>
              </w:rPr>
              <w:t>=0.725×Q/1000+1+（α-1）</w:t>
            </w:r>
            <w:r>
              <w:rPr>
                <w:color w:val="000000"/>
                <w:sz w:val="24"/>
                <w:szCs w:val="24"/>
              </w:rPr>
              <w:t>V</w:t>
            </w:r>
            <w:r>
              <w:rPr>
                <w:color w:val="000000"/>
                <w:sz w:val="24"/>
                <w:szCs w:val="24"/>
                <w:vertAlign w:val="subscript"/>
              </w:rPr>
              <w:t>0</w:t>
            </w:r>
            <w:r>
              <w:rPr>
                <w:color w:val="000000"/>
                <w:sz w:val="24"/>
                <w:szCs w:val="24"/>
              </w:rPr>
              <w:t xml:space="preserve">   （Nm</w:t>
            </w:r>
            <w:r>
              <w:rPr>
                <w:color w:val="000000"/>
                <w:sz w:val="24"/>
                <w:szCs w:val="24"/>
                <w:vertAlign w:val="superscript"/>
              </w:rPr>
              <w:t>3</w:t>
            </w:r>
            <w:r>
              <w:rPr>
                <w:color w:val="000000"/>
                <w:sz w:val="24"/>
                <w:szCs w:val="24"/>
              </w:rPr>
              <w:t>/kg）</w:t>
            </w:r>
          </w:p>
          <w:p w14:paraId="03DFC635">
            <w:pPr>
              <w:spacing w:line="360" w:lineRule="auto"/>
              <w:ind w:firstLine="480" w:firstLineChars="200"/>
              <w:rPr>
                <w:color w:val="000000"/>
                <w:sz w:val="24"/>
                <w:szCs w:val="24"/>
              </w:rPr>
            </w:pPr>
            <w:r>
              <w:rPr>
                <w:color w:val="000000"/>
                <w:sz w:val="24"/>
                <w:szCs w:val="24"/>
              </w:rPr>
              <w:t>式中：Q—燃料的低位发热量（生物质气化气成分检验报告中生物质气化气低位发热量为5.7MJ/ m</w:t>
            </w:r>
            <w:r>
              <w:rPr>
                <w:color w:val="000000"/>
                <w:sz w:val="24"/>
                <w:szCs w:val="24"/>
                <w:vertAlign w:val="superscript"/>
              </w:rPr>
              <w:t>3</w:t>
            </w:r>
            <w:r>
              <w:rPr>
                <w:color w:val="000000"/>
                <w:sz w:val="24"/>
                <w:szCs w:val="24"/>
              </w:rPr>
              <w:t>，即1362.3kcal/m</w:t>
            </w:r>
            <w:r>
              <w:rPr>
                <w:color w:val="000000"/>
                <w:sz w:val="24"/>
                <w:szCs w:val="24"/>
                <w:vertAlign w:val="superscript"/>
              </w:rPr>
              <w:t>3</w:t>
            </w:r>
            <w:r>
              <w:rPr>
                <w:color w:val="000000"/>
                <w:sz w:val="24"/>
                <w:szCs w:val="24"/>
              </w:rPr>
              <w:t>）；</w:t>
            </w:r>
          </w:p>
          <w:p w14:paraId="35D5EE3D">
            <w:pPr>
              <w:spacing w:line="360" w:lineRule="auto"/>
              <w:ind w:firstLine="480" w:firstLineChars="200"/>
              <w:rPr>
                <w:color w:val="000000"/>
                <w:sz w:val="24"/>
                <w:szCs w:val="24"/>
              </w:rPr>
            </w:pPr>
            <w:r>
              <w:rPr>
                <w:color w:val="000000"/>
                <w:sz w:val="24"/>
                <w:szCs w:val="24"/>
              </w:rPr>
              <w:t>α—空气过剩系数（1.2）。</w:t>
            </w:r>
          </w:p>
          <w:p w14:paraId="0CDDABCC">
            <w:pPr>
              <w:spacing w:line="360" w:lineRule="auto"/>
              <w:ind w:firstLine="480" w:firstLineChars="200"/>
              <w:rPr>
                <w:color w:val="000000"/>
                <w:sz w:val="24"/>
                <w:szCs w:val="24"/>
              </w:rPr>
            </w:pPr>
            <w:r>
              <w:rPr>
                <w:color w:val="000000"/>
                <w:sz w:val="24"/>
                <w:szCs w:val="24"/>
              </w:rPr>
              <w:t>据此计算，项目烟气量V</w:t>
            </w:r>
            <w:r>
              <w:rPr>
                <w:color w:val="000000"/>
                <w:sz w:val="24"/>
                <w:szCs w:val="24"/>
                <w:vertAlign w:val="subscript"/>
              </w:rPr>
              <w:t>y</w:t>
            </w:r>
            <w:r>
              <w:rPr>
                <w:color w:val="000000"/>
                <w:sz w:val="24"/>
                <w:szCs w:val="24"/>
              </w:rPr>
              <w:t>=2.226Nm</w:t>
            </w:r>
            <w:r>
              <w:rPr>
                <w:color w:val="000000"/>
                <w:sz w:val="24"/>
                <w:szCs w:val="24"/>
                <w:vertAlign w:val="superscript"/>
              </w:rPr>
              <w:t>3</w:t>
            </w:r>
            <w:r>
              <w:rPr>
                <w:color w:val="000000"/>
                <w:sz w:val="24"/>
                <w:szCs w:val="24"/>
              </w:rPr>
              <w:t>/m</w:t>
            </w:r>
            <w:r>
              <w:rPr>
                <w:color w:val="000000"/>
                <w:sz w:val="24"/>
                <w:szCs w:val="24"/>
                <w:vertAlign w:val="superscript"/>
              </w:rPr>
              <w:t>3</w:t>
            </w:r>
            <w:r>
              <w:rPr>
                <w:color w:val="000000"/>
                <w:sz w:val="24"/>
                <w:szCs w:val="24"/>
              </w:rPr>
              <w:t>，</w:t>
            </w:r>
            <w:r>
              <w:rPr>
                <w:rFonts w:hint="eastAsia"/>
                <w:color w:val="000000"/>
                <w:sz w:val="24"/>
                <w:szCs w:val="24"/>
              </w:rPr>
              <w:t>生物质用量：1500kg/h×2400h=3600t/a；</w:t>
            </w:r>
            <w:r>
              <w:rPr>
                <w:color w:val="000000"/>
                <w:sz w:val="24"/>
                <w:szCs w:val="24"/>
              </w:rPr>
              <w:t>项目设置1台6t/h生物质气化锅炉6t/h生物质气化锅炉运行时间为8h/d，项目生物质燃气用量720万m</w:t>
            </w:r>
            <w:r>
              <w:rPr>
                <w:color w:val="000000"/>
                <w:sz w:val="24"/>
                <w:szCs w:val="24"/>
                <w:vertAlign w:val="superscript"/>
              </w:rPr>
              <w:t>3</w:t>
            </w:r>
            <w:r>
              <w:rPr>
                <w:color w:val="000000"/>
                <w:sz w:val="24"/>
                <w:szCs w:val="24"/>
              </w:rPr>
              <w:t>/a，则项目废气排放量为1602.72万m</w:t>
            </w:r>
            <w:r>
              <w:rPr>
                <w:color w:val="000000"/>
                <w:sz w:val="24"/>
                <w:szCs w:val="24"/>
                <w:vertAlign w:val="superscript"/>
              </w:rPr>
              <w:t>3</w:t>
            </w:r>
            <w:r>
              <w:rPr>
                <w:color w:val="000000"/>
                <w:sz w:val="24"/>
                <w:szCs w:val="24"/>
              </w:rPr>
              <w:t>/a。生物质燃气用量及废气排放量详见下表：</w:t>
            </w:r>
          </w:p>
          <w:p w14:paraId="2382BEEB">
            <w:pPr>
              <w:spacing w:line="360" w:lineRule="auto"/>
              <w:jc w:val="center"/>
              <w:rPr>
                <w:bCs/>
                <w:color w:val="000000"/>
                <w:sz w:val="24"/>
                <w:szCs w:val="24"/>
              </w:rPr>
            </w:pPr>
            <w:r>
              <w:rPr>
                <w:b/>
                <w:bCs/>
                <w:color w:val="000000"/>
                <w:kern w:val="0"/>
                <w:sz w:val="24"/>
                <w:szCs w:val="24"/>
              </w:rPr>
              <w:t>表4-1  生物质燃气用量及废气排放量一览表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Layout w:type="fixed"/>
              <w:tblCellMar>
                <w:top w:w="0" w:type="dxa"/>
                <w:left w:w="0" w:type="dxa"/>
                <w:bottom w:w="0" w:type="dxa"/>
                <w:right w:w="0" w:type="dxa"/>
              </w:tblCellMar>
            </w:tblPr>
            <w:tblGrid>
              <w:gridCol w:w="1017"/>
              <w:gridCol w:w="1493"/>
              <w:gridCol w:w="1248"/>
              <w:gridCol w:w="1248"/>
              <w:gridCol w:w="1248"/>
              <w:gridCol w:w="1092"/>
              <w:gridCol w:w="1147"/>
            </w:tblGrid>
            <w:tr w14:paraId="75E3FF23">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0" w:type="dxa"/>
                  <w:bottom w:w="0" w:type="dxa"/>
                  <w:right w:w="0" w:type="dxa"/>
                </w:tblCellMar>
              </w:tblPrEx>
              <w:trPr>
                <w:trHeight w:val="839" w:hRule="atLeast"/>
                <w:jc w:val="center"/>
              </w:trPr>
              <w:tc>
                <w:tcPr>
                  <w:tcW w:w="598" w:type="pct"/>
                  <w:tcBorders>
                    <w:bottom w:val="single" w:color="000000" w:sz="8" w:space="0"/>
                    <w:right w:val="single" w:color="000000" w:sz="8" w:space="0"/>
                  </w:tcBorders>
                  <w:tcMar>
                    <w:top w:w="15" w:type="dxa"/>
                    <w:left w:w="15" w:type="dxa"/>
                    <w:bottom w:w="0" w:type="dxa"/>
                    <w:right w:w="15" w:type="dxa"/>
                  </w:tcMar>
                  <w:vAlign w:val="center"/>
                </w:tcPr>
                <w:p w14:paraId="6A54685D">
                  <w:pPr>
                    <w:pStyle w:val="19"/>
                    <w:ind w:left="0" w:firstLine="0" w:firstLineChars="0"/>
                    <w:jc w:val="center"/>
                    <w:rPr>
                      <w:b/>
                      <w:bCs/>
                      <w:szCs w:val="21"/>
                    </w:rPr>
                  </w:pPr>
                  <w:r>
                    <w:rPr>
                      <w:b/>
                      <w:bCs/>
                    </w:rPr>
                    <w:t>设备吨位</w:t>
                  </w:r>
                </w:p>
              </w:tc>
              <w:tc>
                <w:tcPr>
                  <w:tcW w:w="879" w:type="pct"/>
                  <w:tcBorders>
                    <w:left w:val="single" w:color="000000" w:sz="8" w:space="0"/>
                    <w:bottom w:val="single" w:color="000000" w:sz="8" w:space="0"/>
                    <w:right w:val="single" w:color="000000" w:sz="8" w:space="0"/>
                  </w:tcBorders>
                  <w:vAlign w:val="center"/>
                </w:tcPr>
                <w:p w14:paraId="05C32ED7">
                  <w:pPr>
                    <w:pStyle w:val="19"/>
                    <w:ind w:left="0" w:firstLine="0" w:firstLineChars="0"/>
                    <w:jc w:val="center"/>
                    <w:rPr>
                      <w:b/>
                      <w:bCs/>
                    </w:rPr>
                  </w:pPr>
                  <w:r>
                    <w:rPr>
                      <w:b/>
                      <w:bCs/>
                    </w:rPr>
                    <w:t>额定燃料耗量</w:t>
                  </w:r>
                </w:p>
                <w:p w14:paraId="3F2050DF">
                  <w:pPr>
                    <w:pStyle w:val="19"/>
                    <w:ind w:left="0" w:firstLine="0" w:firstLineChars="0"/>
                    <w:jc w:val="center"/>
                    <w:rPr>
                      <w:b/>
                      <w:bCs/>
                    </w:rPr>
                  </w:pPr>
                  <w:r>
                    <w:rPr>
                      <w:b/>
                      <w:bCs/>
                    </w:rPr>
                    <w:t>kg/h</w:t>
                  </w:r>
                </w:p>
              </w:tc>
              <w:tc>
                <w:tcPr>
                  <w:tcW w:w="735" w:type="pct"/>
                  <w:tcBorders>
                    <w:left w:val="single" w:color="000000" w:sz="8" w:space="0"/>
                    <w:bottom w:val="single" w:color="000000" w:sz="8" w:space="0"/>
                    <w:right w:val="single" w:color="000000" w:sz="8" w:space="0"/>
                  </w:tcBorders>
                  <w:vAlign w:val="center"/>
                </w:tcPr>
                <w:p w14:paraId="45093EC3">
                  <w:pPr>
                    <w:pStyle w:val="19"/>
                    <w:ind w:left="0" w:firstLine="0" w:firstLineChars="0"/>
                    <w:jc w:val="center"/>
                    <w:rPr>
                      <w:b/>
                      <w:bCs/>
                    </w:rPr>
                  </w:pPr>
                  <w:r>
                    <w:rPr>
                      <w:b/>
                      <w:bCs/>
                    </w:rPr>
                    <w:t>额定产气量</w:t>
                  </w:r>
                </w:p>
                <w:p w14:paraId="0CCFEC38">
                  <w:pPr>
                    <w:pStyle w:val="19"/>
                    <w:ind w:left="0" w:firstLine="0" w:firstLineChars="0"/>
                    <w:jc w:val="center"/>
                    <w:rPr>
                      <w:b/>
                      <w:bCs/>
                    </w:rPr>
                  </w:pPr>
                  <w:r>
                    <w:rPr>
                      <w:b/>
                      <w:bCs/>
                    </w:rPr>
                    <w:t>m</w:t>
                  </w:r>
                  <w:r>
                    <w:rPr>
                      <w:b/>
                      <w:bCs/>
                      <w:vertAlign w:val="superscript"/>
                    </w:rPr>
                    <w:t>3</w:t>
                  </w:r>
                  <w:r>
                    <w:rPr>
                      <w:b/>
                      <w:bCs/>
                    </w:rPr>
                    <w:t>/h</w:t>
                  </w:r>
                </w:p>
              </w:tc>
              <w:tc>
                <w:tcPr>
                  <w:tcW w:w="735" w:type="pct"/>
                  <w:tcBorders>
                    <w:left w:val="single" w:color="000000" w:sz="8" w:space="0"/>
                    <w:bottom w:val="single" w:color="000000" w:sz="8" w:space="0"/>
                    <w:right w:val="single" w:color="000000" w:sz="8" w:space="0"/>
                  </w:tcBorders>
                  <w:vAlign w:val="center"/>
                </w:tcPr>
                <w:p w14:paraId="3F12729D">
                  <w:pPr>
                    <w:pStyle w:val="19"/>
                    <w:ind w:left="0" w:firstLine="0" w:firstLineChars="0"/>
                    <w:jc w:val="center"/>
                    <w:rPr>
                      <w:b/>
                      <w:bCs/>
                    </w:rPr>
                  </w:pPr>
                  <w:r>
                    <w:rPr>
                      <w:b/>
                      <w:bCs/>
                    </w:rPr>
                    <w:t>年工作时间</w:t>
                  </w:r>
                </w:p>
                <w:p w14:paraId="1D195D6A">
                  <w:pPr>
                    <w:pStyle w:val="19"/>
                    <w:ind w:left="0" w:firstLine="0" w:firstLineChars="0"/>
                    <w:jc w:val="center"/>
                    <w:rPr>
                      <w:b/>
                      <w:bCs/>
                    </w:rPr>
                  </w:pPr>
                  <w:r>
                    <w:rPr>
                      <w:b/>
                      <w:bCs/>
                    </w:rPr>
                    <w:t>h/a</w:t>
                  </w:r>
                </w:p>
              </w:tc>
              <w:tc>
                <w:tcPr>
                  <w:tcW w:w="735" w:type="pct"/>
                  <w:tcBorders>
                    <w:left w:val="single" w:color="000000" w:sz="8" w:space="0"/>
                    <w:bottom w:val="single" w:color="000000" w:sz="8" w:space="0"/>
                    <w:right w:val="single" w:color="000000" w:sz="8" w:space="0"/>
                  </w:tcBorders>
                  <w:vAlign w:val="center"/>
                </w:tcPr>
                <w:p w14:paraId="6D888326">
                  <w:pPr>
                    <w:pStyle w:val="19"/>
                    <w:ind w:left="0" w:firstLine="0" w:firstLineChars="0"/>
                    <w:jc w:val="center"/>
                    <w:rPr>
                      <w:b/>
                      <w:bCs/>
                    </w:rPr>
                  </w:pPr>
                  <w:r>
                    <w:rPr>
                      <w:b/>
                      <w:bCs/>
                    </w:rPr>
                    <w:t>年燃料耗量</w:t>
                  </w:r>
                </w:p>
                <w:p w14:paraId="50CA91AF">
                  <w:pPr>
                    <w:pStyle w:val="19"/>
                    <w:ind w:left="0" w:firstLine="0" w:firstLineChars="0"/>
                    <w:jc w:val="center"/>
                    <w:rPr>
                      <w:b/>
                      <w:bCs/>
                    </w:rPr>
                  </w:pPr>
                  <w:r>
                    <w:rPr>
                      <w:b/>
                      <w:bCs/>
                    </w:rPr>
                    <w:t>t/a</w:t>
                  </w:r>
                </w:p>
              </w:tc>
              <w:tc>
                <w:tcPr>
                  <w:tcW w:w="643" w:type="pct"/>
                  <w:tcBorders>
                    <w:left w:val="single" w:color="000000" w:sz="8" w:space="0"/>
                    <w:bottom w:val="single" w:color="000000" w:sz="8" w:space="0"/>
                    <w:right w:val="single" w:color="000000" w:sz="8" w:space="0"/>
                  </w:tcBorders>
                  <w:vAlign w:val="center"/>
                </w:tcPr>
                <w:p w14:paraId="5F8CE71D">
                  <w:pPr>
                    <w:pStyle w:val="19"/>
                    <w:ind w:left="0" w:firstLine="0" w:firstLineChars="0"/>
                    <w:jc w:val="center"/>
                    <w:rPr>
                      <w:b/>
                      <w:bCs/>
                    </w:rPr>
                  </w:pPr>
                  <w:r>
                    <w:rPr>
                      <w:b/>
                      <w:bCs/>
                    </w:rPr>
                    <w:t>年产气量</w:t>
                  </w:r>
                </w:p>
                <w:p w14:paraId="2AECF080">
                  <w:pPr>
                    <w:pStyle w:val="19"/>
                    <w:ind w:left="0" w:firstLine="0" w:firstLineChars="0"/>
                    <w:jc w:val="center"/>
                    <w:rPr>
                      <w:b/>
                      <w:bCs/>
                    </w:rPr>
                  </w:pPr>
                  <w:r>
                    <w:rPr>
                      <w:b/>
                      <w:bCs/>
                    </w:rPr>
                    <w:t>万m</w:t>
                  </w:r>
                  <w:r>
                    <w:rPr>
                      <w:b/>
                      <w:bCs/>
                      <w:vertAlign w:val="superscript"/>
                    </w:rPr>
                    <w:t>3</w:t>
                  </w:r>
                  <w:r>
                    <w:rPr>
                      <w:b/>
                      <w:bCs/>
                    </w:rPr>
                    <w:t>/a</w:t>
                  </w:r>
                </w:p>
              </w:tc>
              <w:tc>
                <w:tcPr>
                  <w:tcW w:w="675" w:type="pct"/>
                  <w:tcBorders>
                    <w:left w:val="single" w:color="000000" w:sz="8" w:space="0"/>
                    <w:bottom w:val="single" w:color="000000" w:sz="8" w:space="0"/>
                  </w:tcBorders>
                  <w:vAlign w:val="center"/>
                </w:tcPr>
                <w:p w14:paraId="3B59DECA">
                  <w:pPr>
                    <w:pStyle w:val="19"/>
                    <w:ind w:left="0" w:firstLine="0" w:firstLineChars="0"/>
                    <w:jc w:val="center"/>
                    <w:rPr>
                      <w:b/>
                      <w:bCs/>
                    </w:rPr>
                  </w:pPr>
                  <w:r>
                    <w:rPr>
                      <w:b/>
                      <w:bCs/>
                    </w:rPr>
                    <w:t>废气排放量</w:t>
                  </w:r>
                </w:p>
                <w:p w14:paraId="2387DECC">
                  <w:pPr>
                    <w:pStyle w:val="19"/>
                    <w:ind w:left="0" w:firstLine="0" w:firstLineChars="0"/>
                    <w:jc w:val="center"/>
                    <w:rPr>
                      <w:b/>
                      <w:bCs/>
                    </w:rPr>
                  </w:pPr>
                  <w:r>
                    <w:rPr>
                      <w:b/>
                      <w:bCs/>
                    </w:rPr>
                    <w:t>万m</w:t>
                  </w:r>
                  <w:r>
                    <w:rPr>
                      <w:b/>
                      <w:bCs/>
                      <w:vertAlign w:val="superscript"/>
                    </w:rPr>
                    <w:t>3</w:t>
                  </w:r>
                  <w:r>
                    <w:rPr>
                      <w:b/>
                      <w:bCs/>
                    </w:rPr>
                    <w:t>/a</w:t>
                  </w:r>
                </w:p>
              </w:tc>
            </w:tr>
            <w:tr w14:paraId="6CE05ACA">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0" w:type="dxa"/>
                  <w:bottom w:w="0" w:type="dxa"/>
                  <w:right w:w="0" w:type="dxa"/>
                </w:tblCellMar>
              </w:tblPrEx>
              <w:trPr>
                <w:trHeight w:val="390" w:hRule="atLeast"/>
                <w:jc w:val="center"/>
              </w:trPr>
              <w:tc>
                <w:tcPr>
                  <w:tcW w:w="598" w:type="pct"/>
                  <w:tcBorders>
                    <w:top w:val="single" w:color="000000" w:sz="8" w:space="0"/>
                    <w:right w:val="single" w:color="000000" w:sz="8" w:space="0"/>
                  </w:tcBorders>
                  <w:tcMar>
                    <w:top w:w="15" w:type="dxa"/>
                    <w:left w:w="15" w:type="dxa"/>
                    <w:bottom w:w="0" w:type="dxa"/>
                    <w:right w:w="15" w:type="dxa"/>
                  </w:tcMar>
                  <w:vAlign w:val="center"/>
                </w:tcPr>
                <w:p w14:paraId="2C5A0023">
                  <w:pPr>
                    <w:pStyle w:val="19"/>
                    <w:ind w:left="0" w:firstLine="0" w:firstLineChars="0"/>
                    <w:jc w:val="center"/>
                    <w:rPr>
                      <w:kern w:val="0"/>
                    </w:rPr>
                  </w:pPr>
                  <w:r>
                    <w:t>6t/h</w:t>
                  </w:r>
                </w:p>
              </w:tc>
              <w:tc>
                <w:tcPr>
                  <w:tcW w:w="879" w:type="pct"/>
                  <w:tcBorders>
                    <w:top w:val="single" w:color="000000" w:sz="8" w:space="0"/>
                    <w:left w:val="single" w:color="000000" w:sz="8" w:space="0"/>
                    <w:right w:val="single" w:color="000000" w:sz="8" w:space="0"/>
                  </w:tcBorders>
                  <w:vAlign w:val="center"/>
                </w:tcPr>
                <w:p w14:paraId="0668823D">
                  <w:pPr>
                    <w:pStyle w:val="19"/>
                    <w:ind w:left="0" w:firstLine="0" w:firstLineChars="0"/>
                    <w:jc w:val="center"/>
                    <w:rPr>
                      <w:bCs/>
                    </w:rPr>
                  </w:pPr>
                  <w:r>
                    <w:rPr>
                      <w:bCs/>
                    </w:rPr>
                    <w:t>1500</w:t>
                  </w:r>
                </w:p>
              </w:tc>
              <w:tc>
                <w:tcPr>
                  <w:tcW w:w="735" w:type="pct"/>
                  <w:tcBorders>
                    <w:top w:val="single" w:color="000000" w:sz="8" w:space="0"/>
                    <w:left w:val="single" w:color="000000" w:sz="8" w:space="0"/>
                    <w:right w:val="single" w:color="000000" w:sz="8" w:space="0"/>
                  </w:tcBorders>
                  <w:vAlign w:val="center"/>
                </w:tcPr>
                <w:p w14:paraId="4976768A">
                  <w:pPr>
                    <w:pStyle w:val="19"/>
                    <w:ind w:left="0" w:firstLine="0" w:firstLineChars="0"/>
                    <w:jc w:val="center"/>
                    <w:rPr>
                      <w:bCs/>
                    </w:rPr>
                  </w:pPr>
                  <w:r>
                    <w:rPr>
                      <w:bCs/>
                    </w:rPr>
                    <w:t>3000</w:t>
                  </w:r>
                </w:p>
              </w:tc>
              <w:tc>
                <w:tcPr>
                  <w:tcW w:w="735" w:type="pct"/>
                  <w:tcBorders>
                    <w:top w:val="single" w:color="000000" w:sz="8" w:space="0"/>
                    <w:left w:val="single" w:color="000000" w:sz="8" w:space="0"/>
                    <w:right w:val="single" w:color="000000" w:sz="8" w:space="0"/>
                  </w:tcBorders>
                  <w:vAlign w:val="center"/>
                </w:tcPr>
                <w:p w14:paraId="360CCEBE">
                  <w:pPr>
                    <w:pStyle w:val="19"/>
                    <w:ind w:left="0" w:firstLine="0" w:firstLineChars="0"/>
                    <w:jc w:val="center"/>
                    <w:rPr>
                      <w:bCs/>
                    </w:rPr>
                  </w:pPr>
                  <w:r>
                    <w:rPr>
                      <w:bCs/>
                    </w:rPr>
                    <w:t>2400</w:t>
                  </w:r>
                </w:p>
              </w:tc>
              <w:tc>
                <w:tcPr>
                  <w:tcW w:w="735" w:type="pct"/>
                  <w:tcBorders>
                    <w:top w:val="single" w:color="000000" w:sz="8" w:space="0"/>
                    <w:left w:val="single" w:color="000000" w:sz="8" w:space="0"/>
                    <w:right w:val="single" w:color="000000" w:sz="8" w:space="0"/>
                  </w:tcBorders>
                  <w:vAlign w:val="center"/>
                </w:tcPr>
                <w:p w14:paraId="789E1B92">
                  <w:pPr>
                    <w:jc w:val="center"/>
                    <w:rPr>
                      <w:rFonts w:eastAsia="等线"/>
                    </w:rPr>
                  </w:pPr>
                  <w:r>
                    <w:rPr>
                      <w:rFonts w:eastAsia="等线"/>
                    </w:rPr>
                    <w:t>3600</w:t>
                  </w:r>
                </w:p>
              </w:tc>
              <w:tc>
                <w:tcPr>
                  <w:tcW w:w="643" w:type="pct"/>
                  <w:tcBorders>
                    <w:top w:val="single" w:color="000000" w:sz="8" w:space="0"/>
                    <w:left w:val="single" w:color="000000" w:sz="8" w:space="0"/>
                    <w:right w:val="single" w:color="000000" w:sz="8" w:space="0"/>
                  </w:tcBorders>
                  <w:vAlign w:val="center"/>
                </w:tcPr>
                <w:p w14:paraId="020F12FA">
                  <w:pPr>
                    <w:jc w:val="center"/>
                    <w:rPr>
                      <w:rFonts w:eastAsia="等线"/>
                    </w:rPr>
                  </w:pPr>
                  <w:r>
                    <w:rPr>
                      <w:rFonts w:eastAsia="等线"/>
                    </w:rPr>
                    <w:t>720</w:t>
                  </w:r>
                </w:p>
              </w:tc>
              <w:tc>
                <w:tcPr>
                  <w:tcW w:w="675" w:type="pct"/>
                  <w:tcBorders>
                    <w:top w:val="single" w:color="000000" w:sz="8" w:space="0"/>
                    <w:left w:val="single" w:color="000000" w:sz="8" w:space="0"/>
                  </w:tcBorders>
                  <w:vAlign w:val="center"/>
                </w:tcPr>
                <w:p w14:paraId="2C3758F9">
                  <w:pPr>
                    <w:jc w:val="center"/>
                    <w:rPr>
                      <w:rFonts w:eastAsia="等线"/>
                    </w:rPr>
                  </w:pPr>
                  <w:r>
                    <w:rPr>
                      <w:rFonts w:eastAsia="等线"/>
                    </w:rPr>
                    <w:t>1602.72</w:t>
                  </w:r>
                </w:p>
              </w:tc>
            </w:tr>
          </w:tbl>
          <w:p w14:paraId="291BED4A">
            <w:pPr>
              <w:spacing w:line="360" w:lineRule="auto"/>
              <w:ind w:firstLine="600" w:firstLineChars="250"/>
              <w:rPr>
                <w:color w:val="000000"/>
                <w:sz w:val="24"/>
                <w:szCs w:val="24"/>
              </w:rPr>
            </w:pPr>
            <w:r>
              <w:rPr>
                <w:color w:val="000000"/>
                <w:sz w:val="24"/>
                <w:szCs w:val="24"/>
              </w:rPr>
              <w:t>（2）二氧化硫</w:t>
            </w:r>
          </w:p>
          <w:p w14:paraId="110D69CE">
            <w:pPr>
              <w:spacing w:line="360" w:lineRule="auto"/>
              <w:ind w:firstLine="480" w:firstLineChars="200"/>
              <w:rPr>
                <w:color w:val="000000"/>
                <w:sz w:val="24"/>
                <w:szCs w:val="24"/>
              </w:rPr>
            </w:pPr>
            <w:r>
              <w:rPr>
                <w:color w:val="000000"/>
                <w:sz w:val="24"/>
                <w:szCs w:val="24"/>
              </w:rPr>
              <w:t>根据生物质燃料成份检测报告，全硫含量为0.02%；根据企业提供的生物质气燃料检测报告及成分清单，生物质燃气主要成分为 CH</w:t>
            </w:r>
            <w:r>
              <w:rPr>
                <w:color w:val="000000"/>
                <w:sz w:val="24"/>
                <w:szCs w:val="24"/>
                <w:vertAlign w:val="subscript"/>
              </w:rPr>
              <w:t>4</w:t>
            </w:r>
            <w:r>
              <w:rPr>
                <w:color w:val="000000"/>
                <w:sz w:val="24"/>
                <w:szCs w:val="24"/>
              </w:rPr>
              <w:t>、CO、H</w:t>
            </w:r>
            <w:r>
              <w:rPr>
                <w:color w:val="000000"/>
                <w:sz w:val="24"/>
                <w:szCs w:val="24"/>
                <w:vertAlign w:val="subscript"/>
              </w:rPr>
              <w:t>2</w:t>
            </w:r>
            <w:r>
              <w:rPr>
                <w:color w:val="000000"/>
                <w:sz w:val="24"/>
                <w:szCs w:val="24"/>
              </w:rPr>
              <w:t>等，含硫成份只有H</w:t>
            </w:r>
            <w:r>
              <w:rPr>
                <w:color w:val="000000"/>
                <w:sz w:val="24"/>
                <w:szCs w:val="24"/>
                <w:vertAlign w:val="subscript"/>
              </w:rPr>
              <w:t>2</w:t>
            </w:r>
            <w:r>
              <w:rPr>
                <w:color w:val="000000"/>
                <w:sz w:val="24"/>
                <w:szCs w:val="24"/>
              </w:rPr>
              <w:t>S，含量为0.29mg/m</w:t>
            </w:r>
            <w:r>
              <w:rPr>
                <w:color w:val="000000"/>
                <w:sz w:val="24"/>
                <w:szCs w:val="24"/>
                <w:vertAlign w:val="superscript"/>
              </w:rPr>
              <w:t>3</w:t>
            </w:r>
            <w:r>
              <w:rPr>
                <w:color w:val="000000"/>
                <w:sz w:val="24"/>
                <w:szCs w:val="24"/>
              </w:rPr>
              <w:t>，生物质燃气中硫化物较少。生物质气化过程还原区为高温无氧裂解过程，在这一区域CO形成量较多，从而降低了硫分挥发的比例，还原区H</w:t>
            </w:r>
            <w:r>
              <w:rPr>
                <w:color w:val="000000"/>
                <w:sz w:val="24"/>
                <w:szCs w:val="24"/>
                <w:vertAlign w:val="subscript"/>
              </w:rPr>
              <w:t>2</w:t>
            </w:r>
            <w:r>
              <w:rPr>
                <w:color w:val="000000"/>
                <w:sz w:val="24"/>
                <w:szCs w:val="24"/>
              </w:rPr>
              <w:t>S产生量较少，大部分的硫分进入了炉渣内，生物质气进入氧化环节后，仅H</w:t>
            </w:r>
            <w:r>
              <w:rPr>
                <w:color w:val="000000"/>
                <w:sz w:val="24"/>
                <w:szCs w:val="24"/>
                <w:vertAlign w:val="subscript"/>
              </w:rPr>
              <w:t>2</w:t>
            </w:r>
            <w:r>
              <w:rPr>
                <w:color w:val="000000"/>
                <w:sz w:val="24"/>
                <w:szCs w:val="24"/>
              </w:rPr>
              <w:t>S中的硫分可以进行氧化反应，产生SO</w:t>
            </w:r>
            <w:r>
              <w:rPr>
                <w:color w:val="000000"/>
                <w:sz w:val="24"/>
                <w:szCs w:val="24"/>
                <w:vertAlign w:val="subscript"/>
              </w:rPr>
              <w:t>2</w:t>
            </w:r>
            <w:r>
              <w:rPr>
                <w:color w:val="000000"/>
                <w:sz w:val="24"/>
                <w:szCs w:val="24"/>
              </w:rPr>
              <w:t>外排。</w:t>
            </w:r>
          </w:p>
          <w:p w14:paraId="1CF7D82D">
            <w:pPr>
              <w:spacing w:line="360" w:lineRule="auto"/>
              <w:ind w:firstLine="480" w:firstLineChars="200"/>
              <w:rPr>
                <w:color w:val="000000"/>
                <w:sz w:val="24"/>
                <w:szCs w:val="24"/>
              </w:rPr>
            </w:pPr>
            <w:r>
              <w:rPr>
                <w:color w:val="000000"/>
                <w:sz w:val="24"/>
                <w:szCs w:val="24"/>
              </w:rPr>
              <w:t>参考《排污许可证申请与核发技术规范 锅炉》（HJ953-2018）中气体燃料物料衡算法计算二氧化硫的产排情况。</w:t>
            </w:r>
          </w:p>
          <w:p w14:paraId="0CD7355A">
            <w:pPr>
              <w:spacing w:line="360" w:lineRule="auto"/>
              <w:jc w:val="center"/>
              <w:rPr>
                <w:b/>
                <w:bCs/>
                <w:color w:val="000000"/>
                <w:kern w:val="0"/>
                <w:sz w:val="24"/>
                <w:szCs w:val="24"/>
              </w:rPr>
            </w:pPr>
            <w:r>
              <w:drawing>
                <wp:inline distT="0" distB="0" distL="114300" distR="114300">
                  <wp:extent cx="3067050" cy="485775"/>
                  <wp:effectExtent l="0" t="0" r="0" b="0"/>
                  <wp:docPr id="22" name="图片 532" descr="w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32" descr="wps1"/>
                          <pic:cNvPicPr>
                            <a:picLocks noChangeAspect="1"/>
                          </pic:cNvPicPr>
                        </pic:nvPicPr>
                        <pic:blipFill>
                          <a:blip r:embed="rId22"/>
                          <a:stretch>
                            <a:fillRect/>
                          </a:stretch>
                        </pic:blipFill>
                        <pic:spPr>
                          <a:xfrm>
                            <a:off x="0" y="0"/>
                            <a:ext cx="3067050" cy="485775"/>
                          </a:xfrm>
                          <a:prstGeom prst="rect">
                            <a:avLst/>
                          </a:prstGeom>
                          <a:noFill/>
                          <a:ln>
                            <a:noFill/>
                          </a:ln>
                        </pic:spPr>
                      </pic:pic>
                    </a:graphicData>
                  </a:graphic>
                </wp:inline>
              </w:drawing>
            </w:r>
            <w:r>
              <w:rPr>
                <w:b/>
                <w:bCs/>
                <w:color w:val="000000"/>
                <w:kern w:val="0"/>
                <w:sz w:val="24"/>
                <w:szCs w:val="24"/>
              </w:rPr>
              <w:t xml:space="preserve"> </w:t>
            </w:r>
          </w:p>
          <w:p w14:paraId="5A52500B">
            <w:pPr>
              <w:spacing w:line="360" w:lineRule="auto"/>
              <w:ind w:firstLine="480" w:firstLineChars="200"/>
              <w:rPr>
                <w:color w:val="000000"/>
                <w:sz w:val="24"/>
                <w:szCs w:val="24"/>
              </w:rPr>
            </w:pPr>
            <w:r>
              <w:rPr>
                <w:color w:val="000000"/>
                <w:sz w:val="24"/>
                <w:szCs w:val="24"/>
              </w:rPr>
              <w:t>E</w:t>
            </w:r>
            <w:r>
              <w:rPr>
                <w:color w:val="000000"/>
                <w:sz w:val="24"/>
                <w:szCs w:val="24"/>
                <w:vertAlign w:val="subscript"/>
              </w:rPr>
              <w:t>SO2</w:t>
            </w:r>
            <w:r>
              <w:rPr>
                <w:color w:val="000000"/>
                <w:sz w:val="24"/>
                <w:szCs w:val="24"/>
              </w:rPr>
              <w:t>—核算时段内二氧化硫的实际排放量（按直排进行核算），吨；</w:t>
            </w:r>
          </w:p>
          <w:p w14:paraId="3E65486B">
            <w:pPr>
              <w:spacing w:line="360" w:lineRule="auto"/>
              <w:ind w:firstLine="480" w:firstLineChars="200"/>
              <w:rPr>
                <w:color w:val="000000"/>
                <w:sz w:val="24"/>
                <w:szCs w:val="24"/>
              </w:rPr>
            </w:pPr>
            <w:r>
              <w:rPr>
                <w:color w:val="000000"/>
                <w:sz w:val="24"/>
                <w:szCs w:val="24"/>
              </w:rPr>
              <w:t>2.857—1标准立方米二氧化硫的重量，千克/立方米；</w:t>
            </w:r>
          </w:p>
          <w:p w14:paraId="1DB90D00">
            <w:pPr>
              <w:spacing w:line="360" w:lineRule="auto"/>
              <w:ind w:firstLine="480" w:firstLineChars="200"/>
              <w:rPr>
                <w:color w:val="000000"/>
                <w:sz w:val="24"/>
                <w:szCs w:val="24"/>
              </w:rPr>
            </w:pPr>
            <w:r>
              <w:rPr>
                <w:color w:val="000000"/>
                <w:sz w:val="24"/>
                <w:szCs w:val="24"/>
              </w:rPr>
              <w:t>R—核算时段内锅炉燃料耗量，万立方米；720</w:t>
            </w:r>
          </w:p>
          <w:p w14:paraId="0A62DCD9">
            <w:pPr>
              <w:spacing w:line="360" w:lineRule="auto"/>
              <w:ind w:firstLine="480" w:firstLineChars="200"/>
              <w:rPr>
                <w:color w:val="000000"/>
                <w:sz w:val="24"/>
                <w:szCs w:val="24"/>
              </w:rPr>
            </w:pPr>
            <w:r>
              <w:rPr>
                <w:color w:val="000000"/>
                <w:sz w:val="24"/>
                <w:szCs w:val="24"/>
              </w:rPr>
              <w:t>S—燃料中硫化氢的体积百分数，百分比；根据生物质燃气成份单，H</w:t>
            </w:r>
            <w:r>
              <w:rPr>
                <w:color w:val="000000"/>
                <w:sz w:val="24"/>
                <w:szCs w:val="24"/>
                <w:vertAlign w:val="subscript"/>
              </w:rPr>
              <w:t>2</w:t>
            </w:r>
            <w:r>
              <w:rPr>
                <w:color w:val="000000"/>
                <w:sz w:val="24"/>
                <w:szCs w:val="24"/>
              </w:rPr>
              <w:t>S含量0.29 mg/m</w:t>
            </w:r>
            <w:r>
              <w:rPr>
                <w:color w:val="000000"/>
                <w:sz w:val="24"/>
                <w:szCs w:val="24"/>
                <w:vertAlign w:val="superscript"/>
              </w:rPr>
              <w:t>3</w:t>
            </w:r>
            <w:r>
              <w:rPr>
                <w:color w:val="000000"/>
                <w:sz w:val="24"/>
                <w:szCs w:val="24"/>
              </w:rPr>
              <w:t>，密度1.05kg/m</w:t>
            </w:r>
            <w:r>
              <w:rPr>
                <w:color w:val="000000"/>
                <w:sz w:val="24"/>
                <w:szCs w:val="24"/>
                <w:vertAlign w:val="superscript"/>
              </w:rPr>
              <w:t>3</w:t>
            </w:r>
            <w:r>
              <w:rPr>
                <w:color w:val="000000"/>
                <w:sz w:val="24"/>
                <w:szCs w:val="24"/>
              </w:rPr>
              <w:t>，参照《生物质热解气》（T/CECA-G0016-2017）表1生物质热解气质量要求，气体成分硫化氢＜15mg/m</w:t>
            </w:r>
            <w:r>
              <w:rPr>
                <w:color w:val="000000"/>
                <w:sz w:val="24"/>
                <w:szCs w:val="24"/>
                <w:vertAlign w:val="superscript"/>
              </w:rPr>
              <w:t>3</w:t>
            </w:r>
            <w:r>
              <w:rPr>
                <w:color w:val="000000"/>
                <w:sz w:val="24"/>
                <w:szCs w:val="24"/>
              </w:rPr>
              <w:t>，考虑生产过程中存在给料缺失导致生物质气化过程中全硫挥发量增加、给料较多导致燃烧不充分等因素，本项目硫化氢浓度取15mg/m</w:t>
            </w:r>
            <w:r>
              <w:rPr>
                <w:color w:val="000000"/>
                <w:sz w:val="24"/>
                <w:szCs w:val="24"/>
                <w:vertAlign w:val="superscript"/>
              </w:rPr>
              <w:t>3</w:t>
            </w:r>
            <w:r>
              <w:rPr>
                <w:color w:val="000000"/>
                <w:sz w:val="24"/>
                <w:szCs w:val="24"/>
              </w:rPr>
              <w:t>，则硫化氢体积分数为15/1.05/1000000*100%=0.0014%。</w:t>
            </w:r>
          </w:p>
          <w:p w14:paraId="3C6F41E8">
            <w:pPr>
              <w:spacing w:line="360" w:lineRule="auto"/>
              <w:ind w:firstLine="480" w:firstLineChars="200"/>
              <w:rPr>
                <w:color w:val="000000"/>
                <w:sz w:val="24"/>
                <w:szCs w:val="24"/>
              </w:rPr>
            </w:pPr>
            <w:r>
              <w:rPr>
                <w:color w:val="000000"/>
                <w:sz w:val="24"/>
                <w:szCs w:val="24"/>
              </w:rPr>
              <w:t>q</w:t>
            </w:r>
            <w:r>
              <w:rPr>
                <w:color w:val="000000"/>
                <w:sz w:val="24"/>
                <w:szCs w:val="24"/>
                <w:vertAlign w:val="subscript"/>
              </w:rPr>
              <w:t>4</w:t>
            </w:r>
            <w:r>
              <w:rPr>
                <w:color w:val="000000"/>
                <w:sz w:val="24"/>
                <w:szCs w:val="24"/>
              </w:rPr>
              <w:t>—锅炉机械不完全燃烧热损失，百分比；本次评价取 0；</w:t>
            </w:r>
          </w:p>
          <w:p w14:paraId="50CCF0E6">
            <w:pPr>
              <w:spacing w:line="360" w:lineRule="auto"/>
              <w:ind w:firstLine="480" w:firstLineChars="200"/>
              <w:rPr>
                <w:color w:val="000000"/>
                <w:sz w:val="24"/>
                <w:szCs w:val="24"/>
              </w:rPr>
            </w:pPr>
            <w:r>
              <w:rPr>
                <w:color w:val="000000"/>
                <w:sz w:val="24"/>
                <w:szCs w:val="24"/>
              </w:rPr>
              <w:t>K—燃料中硫燃烧后氧化成二氧化硫的份额，无量纲。本次评价取 1。</w:t>
            </w:r>
          </w:p>
          <w:p w14:paraId="18546C82">
            <w:pPr>
              <w:spacing w:line="360" w:lineRule="auto"/>
              <w:ind w:firstLine="480" w:firstLineChars="200"/>
              <w:rPr>
                <w:color w:val="000000"/>
                <w:sz w:val="24"/>
                <w:szCs w:val="24"/>
                <w:u w:val="single"/>
              </w:rPr>
            </w:pPr>
            <w:r>
              <w:rPr>
                <w:color w:val="000000"/>
                <w:sz w:val="24"/>
                <w:szCs w:val="24"/>
              </w:rPr>
              <w:t>计算得项目生物质气化燃气锅炉SO</w:t>
            </w:r>
            <w:r>
              <w:rPr>
                <w:color w:val="000000"/>
                <w:sz w:val="24"/>
                <w:szCs w:val="24"/>
                <w:vertAlign w:val="subscript"/>
              </w:rPr>
              <w:t>2</w:t>
            </w:r>
            <w:r>
              <w:rPr>
                <w:color w:val="000000"/>
                <w:sz w:val="24"/>
                <w:szCs w:val="24"/>
              </w:rPr>
              <w:t xml:space="preserve"> 产生量约为0.288t/a，产生速率为0.12kg/h，</w:t>
            </w:r>
            <w:r>
              <w:rPr>
                <w:sz w:val="24"/>
                <w:szCs w:val="24"/>
              </w:rPr>
              <w:t>产生浓度为17.97mg/m</w:t>
            </w:r>
            <w:r>
              <w:rPr>
                <w:sz w:val="24"/>
                <w:szCs w:val="24"/>
                <w:vertAlign w:val="superscript"/>
              </w:rPr>
              <w:t>3</w:t>
            </w:r>
            <w:r>
              <w:rPr>
                <w:sz w:val="24"/>
                <w:szCs w:val="24"/>
              </w:rPr>
              <w:t>。</w:t>
            </w:r>
          </w:p>
          <w:p w14:paraId="6DBC8E86">
            <w:pPr>
              <w:spacing w:line="360" w:lineRule="auto"/>
              <w:ind w:firstLine="480" w:firstLineChars="200"/>
              <w:rPr>
                <w:color w:val="000000"/>
                <w:sz w:val="24"/>
                <w:szCs w:val="24"/>
              </w:rPr>
            </w:pPr>
            <w:r>
              <w:rPr>
                <w:color w:val="000000"/>
                <w:sz w:val="24"/>
                <w:szCs w:val="24"/>
              </w:rPr>
              <w:t>根据</w:t>
            </w:r>
            <w:r>
              <w:rPr>
                <w:rFonts w:hint="eastAsia" w:asciiTheme="minorEastAsia" w:hAnsiTheme="minorEastAsia" w:eastAsiaTheme="minorEastAsia" w:cstheme="minorEastAsia"/>
                <w:color w:val="000000"/>
                <w:sz w:val="24"/>
                <w:szCs w:val="24"/>
              </w:rPr>
              <w:t>“东莞市华溯检测技术有限公司”所出具</w:t>
            </w:r>
            <w:r>
              <w:rPr>
                <w:color w:val="000000"/>
                <w:sz w:val="24"/>
                <w:szCs w:val="24"/>
              </w:rPr>
              <w:t>的锅炉废气监测结果（报告号为：HSJC20170506006），该检测报告受检单位是东莞市领创环保科技有限公司，建设项目位于东莞市长安镇新民三村新丰路，建设1台8吨的生物质气锅炉，该锅炉工艺为：“生物质燃料→生物质气化炉（裂解气化）→低氮燃烧机→燃气锅炉→生产线供热”，燃烧后的废气经旋风除尘器处理后排放。类比项目燃料为生物质，工艺为生物质气化后燃烧生物质燃气进行供热，废气治理设施为低氮燃烧+旋风除尘，本项目采</w:t>
            </w:r>
            <w:r>
              <w:rPr>
                <w:sz w:val="24"/>
                <w:szCs w:val="24"/>
              </w:rPr>
              <w:t>用低氮燃烧+布袋除尘</w:t>
            </w:r>
            <w:r>
              <w:rPr>
                <w:color w:val="000000"/>
                <w:sz w:val="24"/>
                <w:szCs w:val="24"/>
              </w:rPr>
              <w:t>，与类比项目类似，均为脱硝+除尘的组合处理工艺，综上所述，具有可类比性。SO</w:t>
            </w:r>
            <w:r>
              <w:rPr>
                <w:color w:val="000000"/>
                <w:sz w:val="24"/>
                <w:szCs w:val="24"/>
                <w:vertAlign w:val="subscript"/>
              </w:rPr>
              <w:t>2</w:t>
            </w:r>
            <w:r>
              <w:rPr>
                <w:color w:val="000000"/>
                <w:sz w:val="24"/>
                <w:szCs w:val="24"/>
              </w:rPr>
              <w:t>的监测实测结果为10mg/m</w:t>
            </w:r>
            <w:r>
              <w:rPr>
                <w:color w:val="000000"/>
                <w:sz w:val="24"/>
                <w:szCs w:val="24"/>
                <w:vertAlign w:val="superscript"/>
              </w:rPr>
              <w:t>3</w:t>
            </w:r>
            <w:r>
              <w:rPr>
                <w:color w:val="000000"/>
                <w:sz w:val="24"/>
                <w:szCs w:val="24"/>
              </w:rPr>
              <w:t>，折算浓度为12mg/m</w:t>
            </w:r>
            <w:r>
              <w:rPr>
                <w:color w:val="000000"/>
                <w:sz w:val="24"/>
                <w:szCs w:val="24"/>
                <w:vertAlign w:val="superscript"/>
              </w:rPr>
              <w:t>3</w:t>
            </w:r>
            <w:r>
              <w:rPr>
                <w:color w:val="000000"/>
                <w:sz w:val="24"/>
                <w:szCs w:val="24"/>
              </w:rPr>
              <w:t>。本项目核算的SO</w:t>
            </w:r>
            <w:r>
              <w:rPr>
                <w:color w:val="000000"/>
                <w:sz w:val="24"/>
                <w:szCs w:val="24"/>
                <w:vertAlign w:val="subscript"/>
              </w:rPr>
              <w:t>2</w:t>
            </w:r>
            <w:r>
              <w:rPr>
                <w:color w:val="000000"/>
                <w:sz w:val="24"/>
                <w:szCs w:val="24"/>
              </w:rPr>
              <w:t>排放数据是合理的。</w:t>
            </w:r>
          </w:p>
          <w:p w14:paraId="1A5559BC">
            <w:pPr>
              <w:spacing w:line="360" w:lineRule="auto"/>
              <w:ind w:firstLine="480" w:firstLineChars="200"/>
              <w:rPr>
                <w:color w:val="000000"/>
                <w:sz w:val="24"/>
                <w:szCs w:val="24"/>
              </w:rPr>
            </w:pPr>
            <w:r>
              <w:rPr>
                <w:color w:val="000000"/>
                <w:sz w:val="24"/>
                <w:szCs w:val="24"/>
              </w:rPr>
              <w:t>（3）氮氧化物</w:t>
            </w:r>
          </w:p>
          <w:p w14:paraId="78AC7CF7">
            <w:pPr>
              <w:spacing w:line="360" w:lineRule="auto"/>
              <w:ind w:firstLine="480" w:firstLineChars="200"/>
              <w:rPr>
                <w:color w:val="000000"/>
                <w:sz w:val="24"/>
                <w:szCs w:val="24"/>
              </w:rPr>
            </w:pPr>
            <w:r>
              <w:rPr>
                <w:color w:val="000000"/>
                <w:sz w:val="24"/>
                <w:szCs w:val="24"/>
              </w:rPr>
              <w:t>本锅炉以生物质气化燃气为燃料，生物质气化燃气成分包括氮气、碳氢化合物气体、一氧化碳、氢气等，在燃烧过程中主要是碳氢化合物气体、一氧化碳、氢气等发生反应，燃烧放热，燃烧产物主要为二氧化碳和水。生物质气化燃气中氮气与空气中的氮气一样，为惰性气体，但在高温过程中容易与氧发生反应形成热力型氮氧化物，热力型氮氧化物的形成与温度密切相关。因此本项目采用类比分析方法对其燃烧产生的热力型氮氧化物进行校核确定源强。</w:t>
            </w:r>
          </w:p>
          <w:p w14:paraId="250C6964">
            <w:pPr>
              <w:spacing w:line="360" w:lineRule="auto"/>
              <w:ind w:firstLine="480" w:firstLineChars="200"/>
              <w:rPr>
                <w:color w:val="000000"/>
                <w:sz w:val="24"/>
                <w:szCs w:val="24"/>
              </w:rPr>
            </w:pPr>
            <w:r>
              <w:rPr>
                <w:color w:val="000000"/>
                <w:sz w:val="24"/>
                <w:szCs w:val="24"/>
              </w:rPr>
              <w:t>本项目锅炉废气的氮氧化物排放浓度参考2018年5月开展自主验收的《江门市新会彩艳实业有限公司第一分公司生物质气化锅炉技改项目竣工环境保护验收监测报告》（报告编号：YSJ180048），以下简</w:t>
            </w:r>
            <w:r>
              <w:rPr>
                <w:rFonts w:hint="eastAsia" w:asciiTheme="minorEastAsia" w:hAnsiTheme="minorEastAsia" w:eastAsiaTheme="minorEastAsia" w:cstheme="minorEastAsia"/>
                <w:color w:val="000000"/>
                <w:sz w:val="24"/>
                <w:szCs w:val="24"/>
              </w:rPr>
              <w:t>称“彩艳公司锅炉技改项目”。</w:t>
            </w:r>
            <w:r>
              <w:rPr>
                <w:color w:val="000000"/>
                <w:sz w:val="24"/>
                <w:szCs w:val="24"/>
              </w:rPr>
              <w:t>彩艳公司锅炉技改项目配置1台10t/h燃生物质气锅炉，类比项目燃料、工艺、废气治理设施与本项目类似，具有可类比性。</w:t>
            </w:r>
          </w:p>
          <w:p w14:paraId="2FCECB80">
            <w:pPr>
              <w:spacing w:line="360" w:lineRule="auto"/>
              <w:jc w:val="center"/>
              <w:rPr>
                <w:bCs/>
                <w:color w:val="000000"/>
                <w:sz w:val="24"/>
                <w:szCs w:val="24"/>
              </w:rPr>
            </w:pPr>
            <w:r>
              <w:rPr>
                <w:b/>
                <w:bCs/>
                <w:color w:val="000000"/>
                <w:kern w:val="0"/>
                <w:sz w:val="24"/>
                <w:szCs w:val="24"/>
              </w:rPr>
              <w:t>表4-2  彩艳公司锅炉技改项目10t/h燃生物质气锅炉废气中氮氧化物监测结果</w:t>
            </w:r>
          </w:p>
          <w:tbl>
            <w:tblPr>
              <w:tblStyle w:val="24"/>
              <w:tblW w:w="5000"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
            <w:tblGrid>
              <w:gridCol w:w="2762"/>
              <w:gridCol w:w="2904"/>
              <w:gridCol w:w="1440"/>
              <w:gridCol w:w="1417"/>
            </w:tblGrid>
            <w:tr w14:paraId="1E2D4358">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1620" w:type="pct"/>
                  <w:vMerge w:val="restart"/>
                  <w:tcBorders>
                    <w:top w:val="single" w:color="auto" w:sz="12" w:space="0"/>
                    <w:left w:val="single" w:color="auto" w:sz="12" w:space="0"/>
                    <w:bottom w:val="single" w:color="000000" w:sz="8" w:space="0"/>
                    <w:right w:val="single" w:color="000000" w:sz="8" w:space="0"/>
                  </w:tcBorders>
                  <w:tcMar>
                    <w:top w:w="15" w:type="dxa"/>
                    <w:left w:w="15" w:type="dxa"/>
                    <w:bottom w:w="0" w:type="dxa"/>
                    <w:right w:w="15" w:type="dxa"/>
                  </w:tcMar>
                  <w:vAlign w:val="center"/>
                </w:tcPr>
                <w:p w14:paraId="79FD5828">
                  <w:pPr>
                    <w:pStyle w:val="19"/>
                    <w:ind w:left="422" w:hanging="422"/>
                    <w:jc w:val="center"/>
                    <w:rPr>
                      <w:b/>
                      <w:bCs/>
                      <w:color w:val="000000"/>
                      <w:szCs w:val="21"/>
                    </w:rPr>
                  </w:pPr>
                  <w:r>
                    <w:rPr>
                      <w:b/>
                      <w:bCs/>
                      <w:color w:val="000000"/>
                    </w:rPr>
                    <w:t>监测项目</w:t>
                  </w:r>
                </w:p>
              </w:tc>
              <w:tc>
                <w:tcPr>
                  <w:tcW w:w="1704" w:type="pct"/>
                  <w:vMerge w:val="restart"/>
                  <w:tcBorders>
                    <w:top w:val="single" w:color="auto" w:sz="12" w:space="0"/>
                    <w:left w:val="single" w:color="000000" w:sz="8" w:space="0"/>
                    <w:bottom w:val="single" w:color="000000" w:sz="8" w:space="0"/>
                    <w:right w:val="single" w:color="000000" w:sz="8" w:space="0"/>
                  </w:tcBorders>
                  <w:tcMar>
                    <w:top w:w="15" w:type="dxa"/>
                    <w:left w:w="15" w:type="dxa"/>
                    <w:bottom w:w="0" w:type="dxa"/>
                    <w:right w:w="15" w:type="dxa"/>
                  </w:tcMar>
                  <w:vAlign w:val="center"/>
                </w:tcPr>
                <w:p w14:paraId="5075B83B">
                  <w:pPr>
                    <w:pStyle w:val="19"/>
                    <w:ind w:left="422" w:hanging="422"/>
                    <w:jc w:val="center"/>
                    <w:rPr>
                      <w:b/>
                      <w:bCs/>
                      <w:color w:val="000000"/>
                    </w:rPr>
                  </w:pPr>
                  <w:r>
                    <w:rPr>
                      <w:b/>
                      <w:bCs/>
                      <w:color w:val="000000"/>
                    </w:rPr>
                    <w:t>检测日期</w:t>
                  </w:r>
                </w:p>
              </w:tc>
              <w:tc>
                <w:tcPr>
                  <w:tcW w:w="1676" w:type="pct"/>
                  <w:gridSpan w:val="2"/>
                  <w:tcBorders>
                    <w:top w:val="single" w:color="auto" w:sz="12" w:space="0"/>
                    <w:left w:val="single" w:color="000000" w:sz="8" w:space="0"/>
                    <w:bottom w:val="single" w:color="000000" w:sz="8" w:space="0"/>
                    <w:right w:val="single" w:color="auto" w:sz="12" w:space="0"/>
                  </w:tcBorders>
                  <w:vAlign w:val="center"/>
                </w:tcPr>
                <w:p w14:paraId="7F014933">
                  <w:pPr>
                    <w:pStyle w:val="19"/>
                    <w:ind w:left="422" w:hanging="422"/>
                    <w:jc w:val="center"/>
                    <w:rPr>
                      <w:b/>
                      <w:bCs/>
                      <w:color w:val="000000"/>
                    </w:rPr>
                  </w:pPr>
                  <w:r>
                    <w:rPr>
                      <w:b/>
                      <w:bCs/>
                      <w:color w:val="000000"/>
                    </w:rPr>
                    <w:t>废气处理前浓度</w:t>
                  </w:r>
                </w:p>
              </w:tc>
            </w:tr>
            <w:tr w14:paraId="14672CCE">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1620" w:type="pct"/>
                  <w:vMerge w:val="continue"/>
                  <w:tcBorders>
                    <w:top w:val="single" w:color="000000" w:sz="12" w:space="0"/>
                    <w:left w:val="single" w:color="auto" w:sz="12" w:space="0"/>
                    <w:bottom w:val="single" w:color="000000" w:sz="8" w:space="0"/>
                    <w:right w:val="single" w:color="000000" w:sz="8" w:space="0"/>
                  </w:tcBorders>
                  <w:vAlign w:val="center"/>
                </w:tcPr>
                <w:p w14:paraId="234FD765">
                  <w:pPr>
                    <w:widowControl/>
                    <w:jc w:val="center"/>
                    <w:rPr>
                      <w:b/>
                      <w:bCs/>
                      <w:color w:val="000000"/>
                      <w:kern w:val="0"/>
                      <w:szCs w:val="21"/>
                    </w:rPr>
                  </w:pPr>
                </w:p>
              </w:tc>
              <w:tc>
                <w:tcPr>
                  <w:tcW w:w="1704" w:type="pct"/>
                  <w:vMerge w:val="continue"/>
                  <w:tcBorders>
                    <w:top w:val="single" w:color="000000" w:sz="12" w:space="0"/>
                    <w:left w:val="single" w:color="000000" w:sz="8" w:space="0"/>
                    <w:bottom w:val="single" w:color="000000" w:sz="8" w:space="0"/>
                    <w:right w:val="single" w:color="000000" w:sz="8" w:space="0"/>
                  </w:tcBorders>
                  <w:vAlign w:val="center"/>
                </w:tcPr>
                <w:p w14:paraId="0774A413">
                  <w:pPr>
                    <w:widowControl/>
                    <w:jc w:val="center"/>
                    <w:rPr>
                      <w:b/>
                      <w:bCs/>
                      <w:color w:val="000000"/>
                      <w:kern w:val="0"/>
                      <w:szCs w:val="21"/>
                    </w:rPr>
                  </w:pPr>
                </w:p>
              </w:tc>
              <w:tc>
                <w:tcPr>
                  <w:tcW w:w="845" w:type="pct"/>
                  <w:tcBorders>
                    <w:top w:val="single" w:color="000000" w:sz="8" w:space="0"/>
                    <w:left w:val="single" w:color="000000" w:sz="8" w:space="0"/>
                    <w:bottom w:val="single" w:color="000000" w:sz="8" w:space="0"/>
                    <w:right w:val="single" w:color="000000" w:sz="8" w:space="0"/>
                  </w:tcBorders>
                  <w:vAlign w:val="center"/>
                </w:tcPr>
                <w:p w14:paraId="6967E51A">
                  <w:pPr>
                    <w:pStyle w:val="19"/>
                    <w:ind w:left="422" w:hanging="422"/>
                    <w:jc w:val="center"/>
                    <w:rPr>
                      <w:b/>
                      <w:bCs/>
                      <w:color w:val="000000"/>
                    </w:rPr>
                  </w:pPr>
                  <w:r>
                    <w:rPr>
                      <w:b/>
                      <w:bCs/>
                      <w:color w:val="000000"/>
                    </w:rPr>
                    <w:t>实测</w:t>
                  </w:r>
                </w:p>
              </w:tc>
              <w:tc>
                <w:tcPr>
                  <w:tcW w:w="831" w:type="pct"/>
                  <w:tcBorders>
                    <w:top w:val="single" w:color="000000" w:sz="8" w:space="0"/>
                    <w:left w:val="single" w:color="000000" w:sz="8" w:space="0"/>
                    <w:bottom w:val="single" w:color="000000" w:sz="8" w:space="0"/>
                    <w:right w:val="single" w:color="auto" w:sz="12" w:space="0"/>
                  </w:tcBorders>
                  <w:vAlign w:val="center"/>
                </w:tcPr>
                <w:p w14:paraId="43DAF124">
                  <w:pPr>
                    <w:pStyle w:val="19"/>
                    <w:ind w:left="422" w:hanging="422"/>
                    <w:jc w:val="center"/>
                    <w:rPr>
                      <w:b/>
                      <w:bCs/>
                      <w:color w:val="000000"/>
                    </w:rPr>
                  </w:pPr>
                  <w:r>
                    <w:rPr>
                      <w:b/>
                      <w:bCs/>
                      <w:color w:val="000000"/>
                    </w:rPr>
                    <w:t>折算</w:t>
                  </w:r>
                </w:p>
              </w:tc>
            </w:tr>
            <w:tr w14:paraId="66BB3496">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1620" w:type="pct"/>
                  <w:vMerge w:val="restart"/>
                  <w:tcBorders>
                    <w:top w:val="single" w:color="000000" w:sz="8" w:space="0"/>
                    <w:left w:val="single" w:color="auto" w:sz="12" w:space="0"/>
                    <w:bottom w:val="single" w:color="000000" w:sz="8" w:space="0"/>
                    <w:right w:val="single" w:color="000000" w:sz="8" w:space="0"/>
                  </w:tcBorders>
                  <w:tcMar>
                    <w:top w:w="15" w:type="dxa"/>
                    <w:left w:w="15" w:type="dxa"/>
                    <w:bottom w:w="0" w:type="dxa"/>
                    <w:right w:w="15" w:type="dxa"/>
                  </w:tcMar>
                  <w:vAlign w:val="center"/>
                </w:tcPr>
                <w:p w14:paraId="7800A83F">
                  <w:pPr>
                    <w:pStyle w:val="19"/>
                    <w:ind w:left="420" w:hanging="420"/>
                    <w:jc w:val="center"/>
                    <w:rPr>
                      <w:color w:val="000000"/>
                    </w:rPr>
                  </w:pPr>
                  <w:r>
                    <w:rPr>
                      <w:color w:val="000000"/>
                    </w:rPr>
                    <w:t>氮氧化物</w:t>
                  </w:r>
                </w:p>
              </w:tc>
              <w:tc>
                <w:tcPr>
                  <w:tcW w:w="1704" w:type="pct"/>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14:paraId="61BFC46D">
                  <w:pPr>
                    <w:pStyle w:val="19"/>
                    <w:ind w:left="420" w:hanging="420"/>
                    <w:jc w:val="center"/>
                    <w:rPr>
                      <w:color w:val="000000"/>
                    </w:rPr>
                  </w:pPr>
                  <w:r>
                    <w:rPr>
                      <w:bCs/>
                      <w:color w:val="000000"/>
                    </w:rPr>
                    <w:t>2018-01-23</w:t>
                  </w:r>
                </w:p>
              </w:tc>
              <w:tc>
                <w:tcPr>
                  <w:tcW w:w="845" w:type="pct"/>
                  <w:tcBorders>
                    <w:top w:val="single" w:color="000000" w:sz="8" w:space="0"/>
                    <w:left w:val="single" w:color="000000" w:sz="8" w:space="0"/>
                    <w:bottom w:val="single" w:color="000000" w:sz="8" w:space="0"/>
                    <w:right w:val="single" w:color="000000" w:sz="8" w:space="0"/>
                  </w:tcBorders>
                  <w:vAlign w:val="center"/>
                </w:tcPr>
                <w:p w14:paraId="47904FE9">
                  <w:pPr>
                    <w:pStyle w:val="19"/>
                    <w:ind w:left="420" w:hanging="420"/>
                    <w:jc w:val="center"/>
                    <w:rPr>
                      <w:color w:val="000000"/>
                    </w:rPr>
                  </w:pPr>
                  <w:r>
                    <w:rPr>
                      <w:color w:val="000000"/>
                    </w:rPr>
                    <w:t>72</w:t>
                  </w:r>
                </w:p>
              </w:tc>
              <w:tc>
                <w:tcPr>
                  <w:tcW w:w="831" w:type="pct"/>
                  <w:tcBorders>
                    <w:top w:val="single" w:color="000000" w:sz="8" w:space="0"/>
                    <w:left w:val="single" w:color="000000" w:sz="8" w:space="0"/>
                    <w:bottom w:val="single" w:color="000000" w:sz="8" w:space="0"/>
                    <w:right w:val="single" w:color="auto" w:sz="12" w:space="0"/>
                  </w:tcBorders>
                  <w:vAlign w:val="center"/>
                </w:tcPr>
                <w:p w14:paraId="3FC0212A">
                  <w:pPr>
                    <w:pStyle w:val="19"/>
                    <w:ind w:left="420" w:hanging="420"/>
                    <w:jc w:val="center"/>
                    <w:rPr>
                      <w:color w:val="000000"/>
                    </w:rPr>
                  </w:pPr>
                  <w:r>
                    <w:rPr>
                      <w:color w:val="000000"/>
                    </w:rPr>
                    <w:t>188</w:t>
                  </w:r>
                </w:p>
              </w:tc>
            </w:tr>
            <w:tr w14:paraId="47127432">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1620" w:type="pct"/>
                  <w:vMerge w:val="continue"/>
                  <w:tcBorders>
                    <w:top w:val="single" w:color="000000" w:sz="8" w:space="0"/>
                    <w:left w:val="single" w:color="auto" w:sz="12" w:space="0"/>
                    <w:bottom w:val="single" w:color="000000" w:sz="8" w:space="0"/>
                    <w:right w:val="single" w:color="000000" w:sz="8" w:space="0"/>
                  </w:tcBorders>
                  <w:vAlign w:val="center"/>
                </w:tcPr>
                <w:p w14:paraId="6654A58A">
                  <w:pPr>
                    <w:widowControl/>
                    <w:jc w:val="center"/>
                    <w:rPr>
                      <w:color w:val="000000"/>
                      <w:kern w:val="0"/>
                      <w:szCs w:val="21"/>
                    </w:rPr>
                  </w:pPr>
                </w:p>
              </w:tc>
              <w:tc>
                <w:tcPr>
                  <w:tcW w:w="1704" w:type="pct"/>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14:paraId="21B3C308">
                  <w:pPr>
                    <w:pStyle w:val="19"/>
                    <w:ind w:left="420" w:hanging="420"/>
                    <w:jc w:val="center"/>
                    <w:rPr>
                      <w:bCs/>
                      <w:color w:val="000000"/>
                    </w:rPr>
                  </w:pPr>
                  <w:r>
                    <w:rPr>
                      <w:bCs/>
                      <w:color w:val="000000"/>
                    </w:rPr>
                    <w:t>2018-01-24</w:t>
                  </w:r>
                </w:p>
              </w:tc>
              <w:tc>
                <w:tcPr>
                  <w:tcW w:w="845" w:type="pct"/>
                  <w:tcBorders>
                    <w:top w:val="single" w:color="000000" w:sz="8" w:space="0"/>
                    <w:left w:val="single" w:color="000000" w:sz="8" w:space="0"/>
                    <w:bottom w:val="single" w:color="000000" w:sz="8" w:space="0"/>
                    <w:right w:val="single" w:color="000000" w:sz="8" w:space="0"/>
                  </w:tcBorders>
                  <w:vAlign w:val="center"/>
                </w:tcPr>
                <w:p w14:paraId="6F1C8FA9">
                  <w:pPr>
                    <w:pStyle w:val="19"/>
                    <w:ind w:left="420" w:hanging="420"/>
                    <w:jc w:val="center"/>
                    <w:rPr>
                      <w:color w:val="000000"/>
                    </w:rPr>
                  </w:pPr>
                  <w:r>
                    <w:rPr>
                      <w:color w:val="000000"/>
                    </w:rPr>
                    <w:t>67</w:t>
                  </w:r>
                </w:p>
              </w:tc>
              <w:tc>
                <w:tcPr>
                  <w:tcW w:w="831" w:type="pct"/>
                  <w:tcBorders>
                    <w:top w:val="single" w:color="000000" w:sz="8" w:space="0"/>
                    <w:left w:val="single" w:color="000000" w:sz="8" w:space="0"/>
                    <w:bottom w:val="single" w:color="000000" w:sz="8" w:space="0"/>
                    <w:right w:val="single" w:color="auto" w:sz="12" w:space="0"/>
                  </w:tcBorders>
                  <w:vAlign w:val="center"/>
                </w:tcPr>
                <w:p w14:paraId="073B782C">
                  <w:pPr>
                    <w:pStyle w:val="19"/>
                    <w:ind w:left="420" w:hanging="420"/>
                    <w:jc w:val="center"/>
                    <w:rPr>
                      <w:color w:val="000000"/>
                    </w:rPr>
                  </w:pPr>
                  <w:r>
                    <w:rPr>
                      <w:color w:val="000000"/>
                    </w:rPr>
                    <w:t>170</w:t>
                  </w:r>
                </w:p>
              </w:tc>
            </w:tr>
            <w:tr w14:paraId="35F65017">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1620" w:type="pct"/>
                  <w:vMerge w:val="restart"/>
                  <w:tcBorders>
                    <w:top w:val="single" w:color="000000" w:sz="8" w:space="0"/>
                    <w:left w:val="single" w:color="auto" w:sz="12" w:space="0"/>
                    <w:bottom w:val="single" w:color="000000" w:sz="8" w:space="0"/>
                    <w:right w:val="single" w:color="000000" w:sz="8" w:space="0"/>
                  </w:tcBorders>
                  <w:tcMar>
                    <w:top w:w="15" w:type="dxa"/>
                    <w:left w:w="15" w:type="dxa"/>
                    <w:bottom w:w="0" w:type="dxa"/>
                    <w:right w:w="15" w:type="dxa"/>
                  </w:tcMar>
                  <w:vAlign w:val="center"/>
                </w:tcPr>
                <w:p w14:paraId="29347587">
                  <w:pPr>
                    <w:pStyle w:val="19"/>
                    <w:ind w:left="420" w:hanging="420"/>
                    <w:jc w:val="center"/>
                    <w:rPr>
                      <w:color w:val="000000"/>
                    </w:rPr>
                  </w:pPr>
                  <w:r>
                    <w:rPr>
                      <w:color w:val="000000"/>
                    </w:rPr>
                    <w:t>烟气流量（标干流量m</w:t>
                  </w:r>
                  <w:r>
                    <w:rPr>
                      <w:color w:val="000000"/>
                      <w:vertAlign w:val="superscript"/>
                    </w:rPr>
                    <w:t>3</w:t>
                  </w:r>
                  <w:r>
                    <w:rPr>
                      <w:color w:val="000000"/>
                    </w:rPr>
                    <w:t>/h）</w:t>
                  </w:r>
                </w:p>
              </w:tc>
              <w:tc>
                <w:tcPr>
                  <w:tcW w:w="1704" w:type="pct"/>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14:paraId="6EB0BEF5">
                  <w:pPr>
                    <w:pStyle w:val="19"/>
                    <w:ind w:left="420" w:hanging="420"/>
                    <w:jc w:val="center"/>
                    <w:rPr>
                      <w:bCs/>
                      <w:color w:val="000000"/>
                    </w:rPr>
                  </w:pPr>
                  <w:r>
                    <w:rPr>
                      <w:bCs/>
                      <w:color w:val="000000"/>
                    </w:rPr>
                    <w:t>2018-01-23</w:t>
                  </w:r>
                </w:p>
              </w:tc>
              <w:tc>
                <w:tcPr>
                  <w:tcW w:w="1676" w:type="pct"/>
                  <w:gridSpan w:val="2"/>
                  <w:tcBorders>
                    <w:top w:val="single" w:color="000000" w:sz="8" w:space="0"/>
                    <w:left w:val="single" w:color="000000" w:sz="8" w:space="0"/>
                    <w:bottom w:val="single" w:color="000000" w:sz="8" w:space="0"/>
                    <w:right w:val="single" w:color="auto" w:sz="12" w:space="0"/>
                  </w:tcBorders>
                  <w:vAlign w:val="center"/>
                </w:tcPr>
                <w:p w14:paraId="1FB25E38">
                  <w:pPr>
                    <w:pStyle w:val="19"/>
                    <w:ind w:left="420" w:hanging="420"/>
                    <w:jc w:val="center"/>
                    <w:rPr>
                      <w:color w:val="000000"/>
                    </w:rPr>
                  </w:pPr>
                  <w:r>
                    <w:rPr>
                      <w:color w:val="000000"/>
                    </w:rPr>
                    <w:t>10934</w:t>
                  </w:r>
                </w:p>
              </w:tc>
            </w:tr>
            <w:tr w14:paraId="3F288098">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1620" w:type="pct"/>
                  <w:vMerge w:val="continue"/>
                  <w:tcBorders>
                    <w:top w:val="single" w:color="000000" w:sz="8" w:space="0"/>
                    <w:left w:val="single" w:color="auto" w:sz="12" w:space="0"/>
                    <w:bottom w:val="single" w:color="auto" w:sz="12" w:space="0"/>
                    <w:right w:val="single" w:color="000000" w:sz="8" w:space="0"/>
                  </w:tcBorders>
                  <w:vAlign w:val="center"/>
                </w:tcPr>
                <w:p w14:paraId="482BF400">
                  <w:pPr>
                    <w:widowControl/>
                    <w:jc w:val="center"/>
                    <w:rPr>
                      <w:color w:val="000000"/>
                      <w:kern w:val="0"/>
                      <w:szCs w:val="21"/>
                    </w:rPr>
                  </w:pPr>
                </w:p>
              </w:tc>
              <w:tc>
                <w:tcPr>
                  <w:tcW w:w="1704" w:type="pct"/>
                  <w:tcBorders>
                    <w:top w:val="single" w:color="000000" w:sz="8" w:space="0"/>
                    <w:left w:val="single" w:color="000000" w:sz="8" w:space="0"/>
                    <w:bottom w:val="single" w:color="auto" w:sz="12" w:space="0"/>
                    <w:right w:val="single" w:color="000000" w:sz="8" w:space="0"/>
                  </w:tcBorders>
                  <w:tcMar>
                    <w:top w:w="15" w:type="dxa"/>
                    <w:left w:w="15" w:type="dxa"/>
                    <w:bottom w:w="0" w:type="dxa"/>
                    <w:right w:w="15" w:type="dxa"/>
                  </w:tcMar>
                  <w:vAlign w:val="center"/>
                </w:tcPr>
                <w:p w14:paraId="10568110">
                  <w:pPr>
                    <w:pStyle w:val="19"/>
                    <w:ind w:left="420" w:hanging="420"/>
                    <w:jc w:val="center"/>
                    <w:rPr>
                      <w:bCs/>
                      <w:color w:val="000000"/>
                    </w:rPr>
                  </w:pPr>
                  <w:r>
                    <w:rPr>
                      <w:bCs/>
                      <w:color w:val="000000"/>
                    </w:rPr>
                    <w:t>2018-01-24</w:t>
                  </w:r>
                </w:p>
              </w:tc>
              <w:tc>
                <w:tcPr>
                  <w:tcW w:w="1676" w:type="pct"/>
                  <w:gridSpan w:val="2"/>
                  <w:tcBorders>
                    <w:top w:val="single" w:color="000000" w:sz="8" w:space="0"/>
                    <w:left w:val="single" w:color="000000" w:sz="8" w:space="0"/>
                    <w:bottom w:val="single" w:color="auto" w:sz="12" w:space="0"/>
                    <w:right w:val="single" w:color="auto" w:sz="12" w:space="0"/>
                  </w:tcBorders>
                  <w:vAlign w:val="center"/>
                </w:tcPr>
                <w:p w14:paraId="5B866A5B">
                  <w:pPr>
                    <w:pStyle w:val="19"/>
                    <w:ind w:left="420" w:hanging="420"/>
                    <w:jc w:val="center"/>
                    <w:rPr>
                      <w:color w:val="000000"/>
                    </w:rPr>
                  </w:pPr>
                  <w:r>
                    <w:rPr>
                      <w:color w:val="000000"/>
                    </w:rPr>
                    <w:t>10510</w:t>
                  </w:r>
                </w:p>
              </w:tc>
            </w:tr>
          </w:tbl>
          <w:p w14:paraId="22C6E716">
            <w:pPr>
              <w:spacing w:line="360" w:lineRule="auto"/>
              <w:ind w:firstLine="480" w:firstLineChars="200"/>
              <w:rPr>
                <w:color w:val="000000"/>
                <w:sz w:val="24"/>
                <w:szCs w:val="24"/>
              </w:rPr>
            </w:pPr>
            <w:r>
              <w:rPr>
                <w:color w:val="000000"/>
                <w:sz w:val="24"/>
                <w:szCs w:val="24"/>
              </w:rPr>
              <w:t>本项目取类比项目锅炉废气处理前的折算浓度最大值作为参考，即188 mg/m</w:t>
            </w:r>
            <w:r>
              <w:rPr>
                <w:color w:val="000000"/>
                <w:sz w:val="24"/>
                <w:szCs w:val="24"/>
                <w:vertAlign w:val="superscript"/>
              </w:rPr>
              <w:t>3</w:t>
            </w:r>
            <w:r>
              <w:rPr>
                <w:color w:val="000000"/>
                <w:sz w:val="24"/>
                <w:szCs w:val="24"/>
              </w:rPr>
              <w:t>。</w:t>
            </w:r>
          </w:p>
          <w:p w14:paraId="027E250E">
            <w:pPr>
              <w:spacing w:line="360" w:lineRule="auto"/>
              <w:ind w:firstLine="480" w:firstLineChars="200"/>
              <w:rPr>
                <w:color w:val="000000"/>
                <w:sz w:val="24"/>
                <w:szCs w:val="24"/>
              </w:rPr>
            </w:pPr>
            <w:r>
              <w:rPr>
                <w:color w:val="000000"/>
                <w:sz w:val="24"/>
                <w:szCs w:val="24"/>
              </w:rPr>
              <w:t>计算得项目6t/h生物质气化锅炉烟气量为1602.72万m</w:t>
            </w:r>
            <w:r>
              <w:rPr>
                <w:color w:val="000000"/>
                <w:sz w:val="24"/>
                <w:szCs w:val="24"/>
                <w:vertAlign w:val="superscript"/>
              </w:rPr>
              <w:t>3</w:t>
            </w:r>
            <w:r>
              <w:rPr>
                <w:color w:val="000000"/>
                <w:sz w:val="24"/>
                <w:szCs w:val="24"/>
              </w:rPr>
              <w:t>/a，则氮氧化物产生量约3.01t/a。</w:t>
            </w:r>
            <w:r>
              <w:rPr>
                <w:sz w:val="24"/>
                <w:szCs w:val="24"/>
              </w:rPr>
              <w:t>采用低氮燃烧，根据《排污许可证申请与核发技术规范 锅炉》（HJ953-2018），燃气锅炉低氮燃烧对氮氧化物的处理效率为50%）</w:t>
            </w:r>
            <w:r>
              <w:rPr>
                <w:color w:val="000000"/>
                <w:sz w:val="24"/>
                <w:szCs w:val="24"/>
              </w:rPr>
              <w:t>，则氮氧化物排放量约为1.505t/a，排放浓度约为94mg/m</w:t>
            </w:r>
            <w:r>
              <w:rPr>
                <w:color w:val="000000"/>
                <w:sz w:val="24"/>
                <w:szCs w:val="24"/>
                <w:vertAlign w:val="superscript"/>
              </w:rPr>
              <w:t>3</w:t>
            </w:r>
            <w:r>
              <w:rPr>
                <w:color w:val="000000"/>
                <w:sz w:val="24"/>
                <w:szCs w:val="24"/>
              </w:rPr>
              <w:t>。</w:t>
            </w:r>
          </w:p>
          <w:p w14:paraId="4CD20E2E">
            <w:pPr>
              <w:spacing w:line="360" w:lineRule="auto"/>
              <w:ind w:firstLine="480" w:firstLineChars="200"/>
              <w:rPr>
                <w:color w:val="000000"/>
                <w:sz w:val="24"/>
                <w:szCs w:val="24"/>
              </w:rPr>
            </w:pPr>
            <w:r>
              <w:rPr>
                <w:color w:val="000000"/>
                <w:sz w:val="24"/>
                <w:szCs w:val="24"/>
              </w:rPr>
              <w:t>（4）颗粒物</w:t>
            </w:r>
          </w:p>
          <w:p w14:paraId="2F5DB630">
            <w:pPr>
              <w:spacing w:line="360" w:lineRule="auto"/>
              <w:ind w:firstLine="480" w:firstLineChars="200"/>
              <w:rPr>
                <w:color w:val="000000"/>
                <w:sz w:val="24"/>
                <w:szCs w:val="24"/>
              </w:rPr>
            </w:pPr>
            <w:r>
              <w:rPr>
                <w:color w:val="000000"/>
                <w:sz w:val="24"/>
                <w:szCs w:val="24"/>
              </w:rPr>
              <w:t>生物质在气化过程中少量碳化物形成微小颗粒物随可燃气体带出及可燃气燃烧过程产生的烟尘。根据同类生物质气化工程，生物质气化过程中产生的粉尘产生量约为气化后碳化物收集量3‰，生物质气化过程中的产碳率约为7~8%，取最大值8%计。</w:t>
            </w:r>
          </w:p>
          <w:p w14:paraId="77FA2D28">
            <w:pPr>
              <w:spacing w:line="360" w:lineRule="auto"/>
              <w:ind w:firstLine="480" w:firstLineChars="200"/>
              <w:rPr>
                <w:color w:val="000000"/>
                <w:sz w:val="24"/>
                <w:szCs w:val="24"/>
              </w:rPr>
            </w:pPr>
            <w:r>
              <w:rPr>
                <w:color w:val="000000"/>
                <w:sz w:val="24"/>
                <w:szCs w:val="24"/>
              </w:rPr>
              <w:t>项目6t/h生物质气化锅炉生物质原料用量3600t/a，则碳化物产量为288t/a，气化过程中粉尘产生量约0.864t/a。可燃气体燃烧过程的烟尘产生量参考《环境保护统计手册》中天然气燃烧产生的烟粉尘量为2.4kg/万m</w:t>
            </w:r>
            <w:r>
              <w:rPr>
                <w:color w:val="000000"/>
                <w:sz w:val="24"/>
                <w:szCs w:val="24"/>
                <w:vertAlign w:val="superscript"/>
              </w:rPr>
              <w:t>3</w:t>
            </w:r>
            <w:r>
              <w:rPr>
                <w:color w:val="000000"/>
                <w:sz w:val="24"/>
                <w:szCs w:val="24"/>
              </w:rPr>
              <w:t>（燃气），气化锅炉产气量为720</w:t>
            </w:r>
            <w:r>
              <w:rPr>
                <w:color w:val="000000"/>
                <w:sz w:val="24"/>
              </w:rPr>
              <w:t>万m</w:t>
            </w:r>
            <w:r>
              <w:rPr>
                <w:color w:val="000000"/>
                <w:sz w:val="24"/>
                <w:vertAlign w:val="superscript"/>
              </w:rPr>
              <w:t>3</w:t>
            </w:r>
            <w:r>
              <w:rPr>
                <w:color w:val="000000"/>
                <w:sz w:val="24"/>
              </w:rPr>
              <w:t>/a，则</w:t>
            </w:r>
            <w:r>
              <w:rPr>
                <w:color w:val="000000"/>
                <w:sz w:val="24"/>
                <w:szCs w:val="24"/>
              </w:rPr>
              <w:t>颗粒物产生量约1.728t/a，合计烟尘产生量为2.592t/a（1.08kg/h），产生浓度约为67.39mg/m</w:t>
            </w:r>
            <w:r>
              <w:rPr>
                <w:color w:val="000000"/>
                <w:sz w:val="24"/>
                <w:szCs w:val="24"/>
                <w:vertAlign w:val="superscript"/>
              </w:rPr>
              <w:t>3</w:t>
            </w:r>
            <w:r>
              <w:rPr>
                <w:color w:val="000000"/>
                <w:sz w:val="24"/>
                <w:szCs w:val="24"/>
              </w:rPr>
              <w:t>，后经布袋除尘器处理（处理效率取97%），则烟尘排放量约为0.078t/a（0.032kg/h），排放浓度为2.02mg/m</w:t>
            </w:r>
            <w:r>
              <w:rPr>
                <w:color w:val="000000"/>
                <w:sz w:val="24"/>
                <w:szCs w:val="24"/>
                <w:vertAlign w:val="superscript"/>
              </w:rPr>
              <w:t>3</w:t>
            </w:r>
            <w:r>
              <w:rPr>
                <w:color w:val="000000"/>
                <w:sz w:val="24"/>
                <w:szCs w:val="24"/>
              </w:rPr>
              <w:t>。</w:t>
            </w:r>
          </w:p>
          <w:p w14:paraId="397D3A97">
            <w:pPr>
              <w:spacing w:line="360" w:lineRule="auto"/>
              <w:jc w:val="center"/>
              <w:rPr>
                <w:b/>
                <w:bCs/>
                <w:color w:val="000000"/>
                <w:kern w:val="0"/>
                <w:sz w:val="24"/>
                <w:szCs w:val="24"/>
              </w:rPr>
            </w:pPr>
            <w:r>
              <w:rPr>
                <w:b/>
                <w:bCs/>
                <w:color w:val="000000"/>
                <w:kern w:val="0"/>
                <w:sz w:val="24"/>
                <w:szCs w:val="24"/>
              </w:rPr>
              <w:t>表4-3  生物质气化锅炉烟气产生及排放情况一览表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686"/>
              <w:gridCol w:w="1288"/>
              <w:gridCol w:w="735"/>
              <w:gridCol w:w="749"/>
              <w:gridCol w:w="1175"/>
              <w:gridCol w:w="1029"/>
              <w:gridCol w:w="688"/>
              <w:gridCol w:w="1175"/>
              <w:gridCol w:w="968"/>
            </w:tblGrid>
            <w:tr w14:paraId="6EB0E3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403" w:type="pct"/>
                  <w:vAlign w:val="center"/>
                </w:tcPr>
                <w:p w14:paraId="6179175D">
                  <w:pPr>
                    <w:adjustRightInd w:val="0"/>
                    <w:jc w:val="center"/>
                    <w:rPr>
                      <w:b/>
                      <w:bCs/>
                      <w:color w:val="000000"/>
                      <w:szCs w:val="21"/>
                    </w:rPr>
                  </w:pPr>
                  <w:r>
                    <w:rPr>
                      <w:b/>
                      <w:bCs/>
                      <w:color w:val="000000"/>
                    </w:rPr>
                    <w:t>污染物名称</w:t>
                  </w:r>
                </w:p>
              </w:tc>
              <w:tc>
                <w:tcPr>
                  <w:tcW w:w="758" w:type="pct"/>
                  <w:vAlign w:val="center"/>
                </w:tcPr>
                <w:p w14:paraId="6BEDF0F5">
                  <w:pPr>
                    <w:adjustRightInd w:val="0"/>
                    <w:jc w:val="center"/>
                    <w:rPr>
                      <w:b/>
                      <w:bCs/>
                      <w:color w:val="000000"/>
                    </w:rPr>
                  </w:pPr>
                  <w:r>
                    <w:rPr>
                      <w:b/>
                      <w:bCs/>
                      <w:color w:val="000000"/>
                    </w:rPr>
                    <w:t>产污系数</w:t>
                  </w:r>
                </w:p>
              </w:tc>
              <w:tc>
                <w:tcPr>
                  <w:tcW w:w="433" w:type="pct"/>
                  <w:vAlign w:val="center"/>
                </w:tcPr>
                <w:p w14:paraId="5101E87E">
                  <w:pPr>
                    <w:adjustRightInd w:val="0"/>
                    <w:jc w:val="center"/>
                    <w:rPr>
                      <w:b/>
                      <w:bCs/>
                      <w:color w:val="000000"/>
                    </w:rPr>
                  </w:pPr>
                  <w:r>
                    <w:rPr>
                      <w:b/>
                      <w:bCs/>
                      <w:color w:val="000000"/>
                    </w:rPr>
                    <w:t>燃料用量</w:t>
                  </w:r>
                </w:p>
              </w:tc>
              <w:tc>
                <w:tcPr>
                  <w:tcW w:w="441" w:type="pct"/>
                  <w:vAlign w:val="center"/>
                </w:tcPr>
                <w:p w14:paraId="7352F351">
                  <w:pPr>
                    <w:adjustRightInd w:val="0"/>
                    <w:jc w:val="center"/>
                    <w:rPr>
                      <w:b/>
                      <w:bCs/>
                      <w:color w:val="000000"/>
                    </w:rPr>
                  </w:pPr>
                  <w:r>
                    <w:rPr>
                      <w:b/>
                      <w:bCs/>
                      <w:color w:val="000000"/>
                    </w:rPr>
                    <w:t>产生量t/a</w:t>
                  </w:r>
                </w:p>
              </w:tc>
              <w:tc>
                <w:tcPr>
                  <w:tcW w:w="692" w:type="pct"/>
                  <w:vAlign w:val="center"/>
                </w:tcPr>
                <w:p w14:paraId="51A0F0C2">
                  <w:pPr>
                    <w:adjustRightInd w:val="0"/>
                    <w:jc w:val="center"/>
                    <w:rPr>
                      <w:b/>
                      <w:bCs/>
                      <w:color w:val="000000"/>
                    </w:rPr>
                  </w:pPr>
                  <w:r>
                    <w:rPr>
                      <w:b/>
                      <w:bCs/>
                      <w:color w:val="000000"/>
                    </w:rPr>
                    <w:t>产生速率kg/h</w:t>
                  </w:r>
                </w:p>
              </w:tc>
              <w:tc>
                <w:tcPr>
                  <w:tcW w:w="606" w:type="pct"/>
                  <w:vAlign w:val="center"/>
                </w:tcPr>
                <w:p w14:paraId="6658EA35">
                  <w:pPr>
                    <w:adjustRightInd w:val="0"/>
                    <w:jc w:val="center"/>
                    <w:rPr>
                      <w:b/>
                      <w:bCs/>
                      <w:color w:val="000000"/>
                    </w:rPr>
                  </w:pPr>
                  <w:r>
                    <w:rPr>
                      <w:b/>
                      <w:bCs/>
                      <w:color w:val="000000"/>
                    </w:rPr>
                    <w:t>产生浓度mg/m</w:t>
                  </w:r>
                  <w:r>
                    <w:rPr>
                      <w:b/>
                      <w:bCs/>
                      <w:color w:val="000000"/>
                      <w:vertAlign w:val="superscript"/>
                    </w:rPr>
                    <w:t>3</w:t>
                  </w:r>
                </w:p>
              </w:tc>
              <w:tc>
                <w:tcPr>
                  <w:tcW w:w="405" w:type="pct"/>
                  <w:vAlign w:val="center"/>
                </w:tcPr>
                <w:p w14:paraId="57935BC1">
                  <w:pPr>
                    <w:adjustRightInd w:val="0"/>
                    <w:jc w:val="center"/>
                    <w:rPr>
                      <w:b/>
                      <w:bCs/>
                      <w:color w:val="000000"/>
                    </w:rPr>
                  </w:pPr>
                  <w:r>
                    <w:rPr>
                      <w:b/>
                      <w:bCs/>
                      <w:color w:val="000000"/>
                    </w:rPr>
                    <w:t>排放量t/a</w:t>
                  </w:r>
                </w:p>
              </w:tc>
              <w:tc>
                <w:tcPr>
                  <w:tcW w:w="692" w:type="pct"/>
                  <w:vAlign w:val="center"/>
                </w:tcPr>
                <w:p w14:paraId="585ABF31">
                  <w:pPr>
                    <w:adjustRightInd w:val="0"/>
                    <w:jc w:val="center"/>
                    <w:rPr>
                      <w:b/>
                      <w:bCs/>
                      <w:color w:val="000000"/>
                    </w:rPr>
                  </w:pPr>
                  <w:r>
                    <w:rPr>
                      <w:b/>
                      <w:bCs/>
                      <w:color w:val="000000"/>
                    </w:rPr>
                    <w:t>排放速率kg/h</w:t>
                  </w:r>
                </w:p>
              </w:tc>
              <w:tc>
                <w:tcPr>
                  <w:tcW w:w="571" w:type="pct"/>
                  <w:vAlign w:val="center"/>
                </w:tcPr>
                <w:p w14:paraId="620A1CA0">
                  <w:pPr>
                    <w:adjustRightInd w:val="0"/>
                    <w:jc w:val="center"/>
                    <w:rPr>
                      <w:b/>
                      <w:bCs/>
                      <w:color w:val="000000"/>
                    </w:rPr>
                  </w:pPr>
                  <w:r>
                    <w:rPr>
                      <w:b/>
                      <w:bCs/>
                      <w:color w:val="000000"/>
                    </w:rPr>
                    <w:t>排放浓度mg/m</w:t>
                  </w:r>
                  <w:r>
                    <w:rPr>
                      <w:b/>
                      <w:bCs/>
                      <w:color w:val="000000"/>
                      <w:vertAlign w:val="superscript"/>
                    </w:rPr>
                    <w:t>3</w:t>
                  </w:r>
                </w:p>
              </w:tc>
            </w:tr>
            <w:tr w14:paraId="1D0334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403" w:type="pct"/>
                  <w:vAlign w:val="center"/>
                </w:tcPr>
                <w:p w14:paraId="51D6B03A">
                  <w:pPr>
                    <w:adjustRightInd w:val="0"/>
                    <w:jc w:val="center"/>
                    <w:rPr>
                      <w:color w:val="000000"/>
                    </w:rPr>
                  </w:pPr>
                  <w:r>
                    <w:rPr>
                      <w:color w:val="000000"/>
                    </w:rPr>
                    <w:t>烟气量</w:t>
                  </w:r>
                </w:p>
              </w:tc>
              <w:tc>
                <w:tcPr>
                  <w:tcW w:w="758" w:type="pct"/>
                  <w:vAlign w:val="center"/>
                </w:tcPr>
                <w:p w14:paraId="5C9DCACF">
                  <w:pPr>
                    <w:adjustRightInd w:val="0"/>
                    <w:jc w:val="center"/>
                    <w:rPr>
                      <w:color w:val="000000"/>
                    </w:rPr>
                  </w:pPr>
                  <w:r>
                    <w:rPr>
                      <w:color w:val="000000"/>
                    </w:rPr>
                    <w:t>2.226标m</w:t>
                  </w:r>
                  <w:r>
                    <w:rPr>
                      <w:color w:val="000000"/>
                      <w:vertAlign w:val="superscript"/>
                    </w:rPr>
                    <w:t>3</w:t>
                  </w:r>
                  <w:r>
                    <w:rPr>
                      <w:color w:val="000000"/>
                    </w:rPr>
                    <w:t>/ m</w:t>
                  </w:r>
                  <w:r>
                    <w:rPr>
                      <w:color w:val="000000"/>
                      <w:vertAlign w:val="superscript"/>
                    </w:rPr>
                    <w:t>3</w:t>
                  </w:r>
                  <w:r>
                    <w:rPr>
                      <w:color w:val="000000"/>
                    </w:rPr>
                    <w:t>-原料</w:t>
                  </w:r>
                </w:p>
              </w:tc>
              <w:tc>
                <w:tcPr>
                  <w:tcW w:w="433" w:type="pct"/>
                  <w:vMerge w:val="restart"/>
                  <w:vAlign w:val="center"/>
                </w:tcPr>
                <w:p w14:paraId="4C4F6A08">
                  <w:pPr>
                    <w:adjustRightInd w:val="0"/>
                    <w:jc w:val="center"/>
                    <w:rPr>
                      <w:color w:val="000000"/>
                    </w:rPr>
                  </w:pPr>
                  <w:r>
                    <w:rPr>
                      <w:color w:val="000000"/>
                    </w:rPr>
                    <w:t>720万m</w:t>
                  </w:r>
                  <w:r>
                    <w:rPr>
                      <w:color w:val="000000"/>
                      <w:vertAlign w:val="superscript"/>
                    </w:rPr>
                    <w:t>3</w:t>
                  </w:r>
                  <w:r>
                    <w:rPr>
                      <w:color w:val="000000"/>
                    </w:rPr>
                    <w:t>/a</w:t>
                  </w:r>
                </w:p>
              </w:tc>
              <w:tc>
                <w:tcPr>
                  <w:tcW w:w="3406" w:type="pct"/>
                  <w:gridSpan w:val="6"/>
                  <w:vAlign w:val="center"/>
                </w:tcPr>
                <w:p w14:paraId="11D14379">
                  <w:pPr>
                    <w:adjustRightInd w:val="0"/>
                    <w:jc w:val="center"/>
                    <w:rPr>
                      <w:color w:val="000000"/>
                    </w:rPr>
                  </w:pPr>
                  <w:r>
                    <w:rPr>
                      <w:rFonts w:eastAsia="等线"/>
                    </w:rPr>
                    <w:t>1602.72</w:t>
                  </w:r>
                  <w:r>
                    <w:rPr>
                      <w:color w:val="000000"/>
                    </w:rPr>
                    <w:t>万m</w:t>
                  </w:r>
                  <w:r>
                    <w:rPr>
                      <w:color w:val="000000"/>
                      <w:vertAlign w:val="superscript"/>
                    </w:rPr>
                    <w:t>3</w:t>
                  </w:r>
                  <w:r>
                    <w:rPr>
                      <w:color w:val="000000"/>
                    </w:rPr>
                    <w:t>/a</w:t>
                  </w:r>
                </w:p>
              </w:tc>
            </w:tr>
            <w:tr w14:paraId="384E39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403" w:type="pct"/>
                  <w:vAlign w:val="center"/>
                </w:tcPr>
                <w:p w14:paraId="725D44B5">
                  <w:pPr>
                    <w:adjustRightInd w:val="0"/>
                    <w:jc w:val="center"/>
                    <w:rPr>
                      <w:color w:val="000000"/>
                    </w:rPr>
                  </w:pPr>
                  <w:r>
                    <w:rPr>
                      <w:color w:val="000000"/>
                    </w:rPr>
                    <w:t>SO</w:t>
                  </w:r>
                  <w:r>
                    <w:rPr>
                      <w:color w:val="000000"/>
                      <w:vertAlign w:val="subscript"/>
                    </w:rPr>
                    <w:t>2</w:t>
                  </w:r>
                </w:p>
              </w:tc>
              <w:tc>
                <w:tcPr>
                  <w:tcW w:w="758" w:type="pct"/>
                  <w:vAlign w:val="center"/>
                </w:tcPr>
                <w:p w14:paraId="4F4733F1">
                  <w:pPr>
                    <w:adjustRightInd w:val="0"/>
                    <w:jc w:val="center"/>
                    <w:rPr>
                      <w:color w:val="000000"/>
                    </w:rPr>
                  </w:pPr>
                  <w:r>
                    <w:rPr>
                      <w:color w:val="000000"/>
                    </w:rPr>
                    <w:t>/</w:t>
                  </w:r>
                </w:p>
              </w:tc>
              <w:tc>
                <w:tcPr>
                  <w:tcW w:w="752" w:type="dxa"/>
                  <w:vMerge w:val="continue"/>
                  <w:vAlign w:val="center"/>
                </w:tcPr>
                <w:p w14:paraId="319369E9">
                  <w:pPr>
                    <w:widowControl/>
                    <w:adjustRightInd w:val="0"/>
                    <w:jc w:val="center"/>
                    <w:rPr>
                      <w:color w:val="000000"/>
                      <w:szCs w:val="21"/>
                    </w:rPr>
                  </w:pPr>
                </w:p>
              </w:tc>
              <w:tc>
                <w:tcPr>
                  <w:tcW w:w="441" w:type="pct"/>
                  <w:vAlign w:val="center"/>
                </w:tcPr>
                <w:p w14:paraId="06AC9BAC">
                  <w:pPr>
                    <w:pStyle w:val="19"/>
                    <w:adjustRightInd w:val="0"/>
                    <w:ind w:left="0" w:firstLine="0" w:firstLineChars="0"/>
                    <w:jc w:val="center"/>
                    <w:rPr>
                      <w:bCs/>
                      <w:color w:val="000000"/>
                    </w:rPr>
                  </w:pPr>
                  <w:r>
                    <w:rPr>
                      <w:rFonts w:eastAsia="等线"/>
                      <w:color w:val="000000"/>
                    </w:rPr>
                    <w:t>0.288</w:t>
                  </w:r>
                </w:p>
              </w:tc>
              <w:tc>
                <w:tcPr>
                  <w:tcW w:w="692" w:type="pct"/>
                  <w:vAlign w:val="center"/>
                </w:tcPr>
                <w:p w14:paraId="189578C8">
                  <w:pPr>
                    <w:adjustRightInd w:val="0"/>
                    <w:jc w:val="center"/>
                    <w:rPr>
                      <w:rFonts w:eastAsia="等线"/>
                      <w:color w:val="000000"/>
                    </w:rPr>
                  </w:pPr>
                  <w:r>
                    <w:rPr>
                      <w:rFonts w:eastAsia="等线"/>
                      <w:color w:val="000000"/>
                    </w:rPr>
                    <w:t>0.12</w:t>
                  </w:r>
                </w:p>
              </w:tc>
              <w:tc>
                <w:tcPr>
                  <w:tcW w:w="606" w:type="pct"/>
                  <w:vAlign w:val="center"/>
                </w:tcPr>
                <w:p w14:paraId="785858DC">
                  <w:pPr>
                    <w:pStyle w:val="19"/>
                    <w:adjustRightInd w:val="0"/>
                    <w:ind w:left="0" w:firstLine="0" w:firstLineChars="0"/>
                    <w:jc w:val="center"/>
                    <w:rPr>
                      <w:bCs/>
                      <w:color w:val="000000"/>
                    </w:rPr>
                  </w:pPr>
                  <w:r>
                    <w:rPr>
                      <w:bCs/>
                      <w:color w:val="000000"/>
                    </w:rPr>
                    <w:t>17.97</w:t>
                  </w:r>
                </w:p>
              </w:tc>
              <w:tc>
                <w:tcPr>
                  <w:tcW w:w="405" w:type="pct"/>
                  <w:vAlign w:val="center"/>
                </w:tcPr>
                <w:p w14:paraId="69CBAFFB">
                  <w:pPr>
                    <w:pStyle w:val="19"/>
                    <w:adjustRightInd w:val="0"/>
                    <w:ind w:left="0" w:firstLine="0" w:firstLineChars="0"/>
                    <w:jc w:val="center"/>
                    <w:rPr>
                      <w:bCs/>
                      <w:color w:val="000000"/>
                    </w:rPr>
                  </w:pPr>
                  <w:r>
                    <w:rPr>
                      <w:rFonts w:eastAsia="等线"/>
                      <w:color w:val="000000"/>
                    </w:rPr>
                    <w:t>0.288</w:t>
                  </w:r>
                </w:p>
              </w:tc>
              <w:tc>
                <w:tcPr>
                  <w:tcW w:w="692" w:type="pct"/>
                  <w:vAlign w:val="center"/>
                </w:tcPr>
                <w:p w14:paraId="0BC71EA5">
                  <w:pPr>
                    <w:adjustRightInd w:val="0"/>
                    <w:jc w:val="center"/>
                    <w:rPr>
                      <w:rFonts w:eastAsia="等线"/>
                      <w:color w:val="000000"/>
                    </w:rPr>
                  </w:pPr>
                  <w:r>
                    <w:rPr>
                      <w:rFonts w:eastAsia="等线"/>
                      <w:color w:val="000000"/>
                    </w:rPr>
                    <w:t>0.12</w:t>
                  </w:r>
                </w:p>
              </w:tc>
              <w:tc>
                <w:tcPr>
                  <w:tcW w:w="571" w:type="pct"/>
                  <w:vAlign w:val="center"/>
                </w:tcPr>
                <w:p w14:paraId="5C0AC463">
                  <w:pPr>
                    <w:pStyle w:val="19"/>
                    <w:adjustRightInd w:val="0"/>
                    <w:ind w:left="0" w:firstLine="0" w:firstLineChars="0"/>
                    <w:jc w:val="center"/>
                    <w:rPr>
                      <w:bCs/>
                      <w:color w:val="000000"/>
                    </w:rPr>
                  </w:pPr>
                  <w:r>
                    <w:rPr>
                      <w:bCs/>
                      <w:color w:val="000000"/>
                    </w:rPr>
                    <w:t>17.97</w:t>
                  </w:r>
                </w:p>
              </w:tc>
            </w:tr>
            <w:tr w14:paraId="3A0D24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403" w:type="pct"/>
                  <w:vAlign w:val="center"/>
                </w:tcPr>
                <w:p w14:paraId="57885F21">
                  <w:pPr>
                    <w:adjustRightInd w:val="0"/>
                    <w:jc w:val="center"/>
                    <w:rPr>
                      <w:color w:val="000000"/>
                    </w:rPr>
                  </w:pPr>
                  <w:r>
                    <w:rPr>
                      <w:color w:val="000000"/>
                    </w:rPr>
                    <w:t>NO</w:t>
                  </w:r>
                  <w:r>
                    <w:rPr>
                      <w:color w:val="000000"/>
                      <w:vertAlign w:val="subscript"/>
                    </w:rPr>
                    <w:t>x</w:t>
                  </w:r>
                </w:p>
              </w:tc>
              <w:tc>
                <w:tcPr>
                  <w:tcW w:w="758" w:type="pct"/>
                  <w:vAlign w:val="center"/>
                </w:tcPr>
                <w:p w14:paraId="401B1BCA">
                  <w:pPr>
                    <w:adjustRightInd w:val="0"/>
                    <w:jc w:val="center"/>
                    <w:rPr>
                      <w:color w:val="000000"/>
                    </w:rPr>
                  </w:pPr>
                  <w:r>
                    <w:rPr>
                      <w:color w:val="000000"/>
                    </w:rPr>
                    <w:t>188mg/m</w:t>
                  </w:r>
                  <w:r>
                    <w:rPr>
                      <w:color w:val="000000"/>
                      <w:vertAlign w:val="superscript"/>
                    </w:rPr>
                    <w:t>3</w:t>
                  </w:r>
                </w:p>
              </w:tc>
              <w:tc>
                <w:tcPr>
                  <w:tcW w:w="752" w:type="dxa"/>
                  <w:vMerge w:val="continue"/>
                  <w:vAlign w:val="center"/>
                </w:tcPr>
                <w:p w14:paraId="50AED352">
                  <w:pPr>
                    <w:widowControl/>
                    <w:adjustRightInd w:val="0"/>
                    <w:jc w:val="center"/>
                    <w:rPr>
                      <w:color w:val="000000"/>
                      <w:szCs w:val="21"/>
                    </w:rPr>
                  </w:pPr>
                </w:p>
              </w:tc>
              <w:tc>
                <w:tcPr>
                  <w:tcW w:w="441" w:type="pct"/>
                  <w:vAlign w:val="center"/>
                </w:tcPr>
                <w:p w14:paraId="2DBA2A8C">
                  <w:pPr>
                    <w:pStyle w:val="19"/>
                    <w:adjustRightInd w:val="0"/>
                    <w:ind w:left="0" w:firstLine="0" w:firstLineChars="0"/>
                    <w:jc w:val="center"/>
                    <w:rPr>
                      <w:bCs/>
                      <w:color w:val="000000"/>
                    </w:rPr>
                  </w:pPr>
                  <w:r>
                    <w:rPr>
                      <w:rFonts w:eastAsia="等线"/>
                      <w:color w:val="000000"/>
                    </w:rPr>
                    <w:t>3.01</w:t>
                  </w:r>
                </w:p>
              </w:tc>
              <w:tc>
                <w:tcPr>
                  <w:tcW w:w="692" w:type="pct"/>
                  <w:vAlign w:val="center"/>
                </w:tcPr>
                <w:p w14:paraId="32A94153">
                  <w:pPr>
                    <w:widowControl/>
                    <w:adjustRightInd w:val="0"/>
                    <w:jc w:val="center"/>
                    <w:rPr>
                      <w:rFonts w:eastAsia="等线"/>
                      <w:color w:val="000000"/>
                    </w:rPr>
                  </w:pPr>
                  <w:r>
                    <w:rPr>
                      <w:rFonts w:eastAsia="等线"/>
                      <w:color w:val="000000"/>
                    </w:rPr>
                    <w:t>1.254</w:t>
                  </w:r>
                </w:p>
              </w:tc>
              <w:tc>
                <w:tcPr>
                  <w:tcW w:w="606" w:type="pct"/>
                  <w:vAlign w:val="center"/>
                </w:tcPr>
                <w:p w14:paraId="6E01984E">
                  <w:pPr>
                    <w:pStyle w:val="19"/>
                    <w:adjustRightInd w:val="0"/>
                    <w:ind w:left="0" w:firstLine="0" w:firstLineChars="0"/>
                    <w:jc w:val="center"/>
                    <w:rPr>
                      <w:bCs/>
                      <w:color w:val="000000"/>
                    </w:rPr>
                  </w:pPr>
                  <w:r>
                    <w:rPr>
                      <w:bCs/>
                      <w:color w:val="000000"/>
                    </w:rPr>
                    <w:t>188</w:t>
                  </w:r>
                </w:p>
              </w:tc>
              <w:tc>
                <w:tcPr>
                  <w:tcW w:w="405" w:type="pct"/>
                  <w:vAlign w:val="center"/>
                </w:tcPr>
                <w:p w14:paraId="1C4E7F66">
                  <w:pPr>
                    <w:adjustRightInd w:val="0"/>
                    <w:jc w:val="center"/>
                    <w:rPr>
                      <w:rFonts w:eastAsia="等线"/>
                      <w:color w:val="000000"/>
                    </w:rPr>
                  </w:pPr>
                  <w:r>
                    <w:rPr>
                      <w:rFonts w:eastAsia="等线"/>
                      <w:color w:val="000000"/>
                    </w:rPr>
                    <w:t>1.505</w:t>
                  </w:r>
                </w:p>
              </w:tc>
              <w:tc>
                <w:tcPr>
                  <w:tcW w:w="692" w:type="pct"/>
                  <w:vAlign w:val="center"/>
                </w:tcPr>
                <w:p w14:paraId="589A0151">
                  <w:pPr>
                    <w:adjustRightInd w:val="0"/>
                    <w:jc w:val="center"/>
                    <w:rPr>
                      <w:rFonts w:eastAsia="等线"/>
                      <w:color w:val="000000"/>
                    </w:rPr>
                  </w:pPr>
                  <w:r>
                    <w:rPr>
                      <w:rFonts w:eastAsia="等线"/>
                      <w:color w:val="000000"/>
                    </w:rPr>
                    <w:t>0.627</w:t>
                  </w:r>
                </w:p>
              </w:tc>
              <w:tc>
                <w:tcPr>
                  <w:tcW w:w="571" w:type="pct"/>
                  <w:vAlign w:val="center"/>
                </w:tcPr>
                <w:p w14:paraId="207E3180">
                  <w:pPr>
                    <w:pStyle w:val="19"/>
                    <w:adjustRightInd w:val="0"/>
                    <w:ind w:left="0" w:firstLine="0" w:firstLineChars="0"/>
                    <w:jc w:val="center"/>
                    <w:rPr>
                      <w:bCs/>
                      <w:color w:val="000000"/>
                    </w:rPr>
                  </w:pPr>
                  <w:r>
                    <w:rPr>
                      <w:bCs/>
                      <w:color w:val="000000"/>
                    </w:rPr>
                    <w:t>94</w:t>
                  </w:r>
                </w:p>
              </w:tc>
            </w:tr>
            <w:tr w14:paraId="76FB44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403" w:type="pct"/>
                  <w:vAlign w:val="center"/>
                </w:tcPr>
                <w:p w14:paraId="56E0F023">
                  <w:pPr>
                    <w:adjustRightInd w:val="0"/>
                    <w:jc w:val="center"/>
                    <w:rPr>
                      <w:color w:val="000000"/>
                    </w:rPr>
                  </w:pPr>
                  <w:r>
                    <w:rPr>
                      <w:color w:val="000000"/>
                    </w:rPr>
                    <w:t>颗粒物</w:t>
                  </w:r>
                </w:p>
              </w:tc>
              <w:tc>
                <w:tcPr>
                  <w:tcW w:w="758" w:type="pct"/>
                  <w:vAlign w:val="center"/>
                </w:tcPr>
                <w:p w14:paraId="28D83AA2">
                  <w:pPr>
                    <w:adjustRightInd w:val="0"/>
                    <w:jc w:val="center"/>
                    <w:rPr>
                      <w:color w:val="000000"/>
                    </w:rPr>
                  </w:pPr>
                  <w:r>
                    <w:rPr>
                      <w:color w:val="000000"/>
                    </w:rPr>
                    <w:t>/</w:t>
                  </w:r>
                </w:p>
              </w:tc>
              <w:tc>
                <w:tcPr>
                  <w:tcW w:w="752" w:type="dxa"/>
                  <w:vMerge w:val="continue"/>
                  <w:vAlign w:val="center"/>
                </w:tcPr>
                <w:p w14:paraId="54363B77">
                  <w:pPr>
                    <w:widowControl/>
                    <w:adjustRightInd w:val="0"/>
                    <w:jc w:val="center"/>
                    <w:rPr>
                      <w:color w:val="000000"/>
                      <w:szCs w:val="21"/>
                    </w:rPr>
                  </w:pPr>
                </w:p>
              </w:tc>
              <w:tc>
                <w:tcPr>
                  <w:tcW w:w="441" w:type="pct"/>
                  <w:vAlign w:val="center"/>
                </w:tcPr>
                <w:p w14:paraId="46C6B790">
                  <w:pPr>
                    <w:adjustRightInd w:val="0"/>
                    <w:jc w:val="center"/>
                    <w:rPr>
                      <w:rFonts w:eastAsia="等线"/>
                      <w:color w:val="000000"/>
                    </w:rPr>
                  </w:pPr>
                  <w:r>
                    <w:rPr>
                      <w:rFonts w:eastAsia="等线"/>
                      <w:color w:val="000000"/>
                    </w:rPr>
                    <w:t>2.952</w:t>
                  </w:r>
                </w:p>
              </w:tc>
              <w:tc>
                <w:tcPr>
                  <w:tcW w:w="692" w:type="pct"/>
                  <w:vAlign w:val="center"/>
                </w:tcPr>
                <w:p w14:paraId="2171509B">
                  <w:pPr>
                    <w:adjustRightInd w:val="0"/>
                    <w:jc w:val="center"/>
                    <w:rPr>
                      <w:rFonts w:eastAsia="等线"/>
                      <w:color w:val="000000"/>
                    </w:rPr>
                  </w:pPr>
                  <w:r>
                    <w:rPr>
                      <w:rFonts w:eastAsia="等线"/>
                      <w:color w:val="000000"/>
                    </w:rPr>
                    <w:t>1.08</w:t>
                  </w:r>
                </w:p>
              </w:tc>
              <w:tc>
                <w:tcPr>
                  <w:tcW w:w="606" w:type="pct"/>
                  <w:vAlign w:val="center"/>
                </w:tcPr>
                <w:p w14:paraId="5DCC1035">
                  <w:pPr>
                    <w:adjustRightInd w:val="0"/>
                    <w:jc w:val="center"/>
                    <w:rPr>
                      <w:rFonts w:eastAsia="等线"/>
                      <w:color w:val="000000"/>
                    </w:rPr>
                  </w:pPr>
                  <w:r>
                    <w:rPr>
                      <w:rFonts w:eastAsia="等线"/>
                      <w:color w:val="000000"/>
                    </w:rPr>
                    <w:t>67.38</w:t>
                  </w:r>
                </w:p>
              </w:tc>
              <w:tc>
                <w:tcPr>
                  <w:tcW w:w="405" w:type="pct"/>
                  <w:vAlign w:val="center"/>
                </w:tcPr>
                <w:p w14:paraId="0053D761">
                  <w:pPr>
                    <w:adjustRightInd w:val="0"/>
                    <w:jc w:val="center"/>
                    <w:rPr>
                      <w:rFonts w:eastAsia="等线"/>
                      <w:color w:val="000000"/>
                    </w:rPr>
                  </w:pPr>
                  <w:r>
                    <w:rPr>
                      <w:rFonts w:eastAsia="等线"/>
                      <w:color w:val="000000"/>
                    </w:rPr>
                    <w:t>0.078</w:t>
                  </w:r>
                </w:p>
              </w:tc>
              <w:tc>
                <w:tcPr>
                  <w:tcW w:w="692" w:type="pct"/>
                  <w:vAlign w:val="center"/>
                </w:tcPr>
                <w:p w14:paraId="04D8CCD0">
                  <w:pPr>
                    <w:adjustRightInd w:val="0"/>
                    <w:jc w:val="center"/>
                    <w:rPr>
                      <w:rFonts w:eastAsia="等线"/>
                      <w:color w:val="000000"/>
                    </w:rPr>
                  </w:pPr>
                  <w:r>
                    <w:rPr>
                      <w:rFonts w:eastAsia="等线"/>
                      <w:color w:val="000000"/>
                    </w:rPr>
                    <w:t>0.032</w:t>
                  </w:r>
                </w:p>
              </w:tc>
              <w:tc>
                <w:tcPr>
                  <w:tcW w:w="571" w:type="pct"/>
                  <w:vAlign w:val="center"/>
                </w:tcPr>
                <w:p w14:paraId="778DACD2">
                  <w:pPr>
                    <w:adjustRightInd w:val="0"/>
                    <w:jc w:val="center"/>
                    <w:rPr>
                      <w:rFonts w:eastAsia="等线"/>
                      <w:color w:val="000000"/>
                    </w:rPr>
                  </w:pPr>
                  <w:r>
                    <w:rPr>
                      <w:rFonts w:eastAsia="等线"/>
                      <w:color w:val="000000"/>
                    </w:rPr>
                    <w:t>2.02</w:t>
                  </w:r>
                </w:p>
              </w:tc>
            </w:tr>
          </w:tbl>
          <w:p w14:paraId="36FBC755">
            <w:pPr>
              <w:spacing w:line="360" w:lineRule="auto"/>
              <w:ind w:firstLine="482" w:firstLineChars="200"/>
              <w:rPr>
                <w:rStyle w:val="126"/>
                <w:rFonts w:ascii="Times New Roman" w:hAnsi="Times New Roman"/>
                <w:b/>
                <w:color w:val="000000"/>
              </w:rPr>
            </w:pPr>
            <w:r>
              <w:rPr>
                <w:rStyle w:val="126"/>
                <w:rFonts w:ascii="Times New Roman" w:hAnsi="Times New Roman"/>
                <w:b/>
                <w:color w:val="000000"/>
              </w:rPr>
              <w:t>天然气燃烧废气</w:t>
            </w:r>
          </w:p>
          <w:p w14:paraId="7980836F">
            <w:pPr>
              <w:spacing w:line="360" w:lineRule="auto"/>
              <w:ind w:firstLine="480" w:firstLineChars="200"/>
              <w:rPr>
                <w:rStyle w:val="126"/>
                <w:rFonts w:ascii="Times New Roman" w:hAnsi="Times New Roman"/>
                <w:color w:val="000000"/>
              </w:rPr>
            </w:pPr>
            <w:r>
              <w:rPr>
                <w:rStyle w:val="126"/>
                <w:rFonts w:ascii="Times New Roman" w:hAnsi="Times New Roman"/>
                <w:color w:val="000000"/>
              </w:rPr>
              <w:t>部分猪蹄原料有残余的猪毛需要通过人工使用燎毛机、烙毛机去除，燎毛机、烙毛机采用天然气为燃料烧除猪毛，只产生少量天然气燃烧废气，主要污染物为天然气燃烧产生的二氧化硫、氮氧化物和颗粒物，该少量废气通过生产车间无组织排放。</w:t>
            </w:r>
          </w:p>
          <w:p w14:paraId="2C930CA1">
            <w:pPr>
              <w:spacing w:line="360" w:lineRule="auto"/>
              <w:ind w:firstLine="482" w:firstLineChars="200"/>
              <w:rPr>
                <w:rStyle w:val="126"/>
                <w:rFonts w:ascii="Times New Roman" w:hAnsi="Times New Roman"/>
                <w:b/>
                <w:color w:val="000000"/>
                <w:u w:val="single"/>
              </w:rPr>
            </w:pPr>
            <w:r>
              <w:rPr>
                <w:rStyle w:val="126"/>
                <w:rFonts w:ascii="Times New Roman" w:hAnsi="Times New Roman"/>
                <w:b/>
                <w:color w:val="000000"/>
                <w:u w:val="single"/>
              </w:rPr>
              <w:t>生产异味</w:t>
            </w:r>
          </w:p>
          <w:p w14:paraId="15BBAA34">
            <w:pPr>
              <w:spacing w:line="360" w:lineRule="auto"/>
              <w:ind w:firstLine="480" w:firstLineChars="200"/>
              <w:rPr>
                <w:u w:val="single"/>
              </w:rPr>
            </w:pPr>
            <w:r>
              <w:rPr>
                <w:sz w:val="24"/>
                <w:szCs w:val="24"/>
                <w:u w:val="single"/>
              </w:rPr>
              <w:t>项目在</w:t>
            </w:r>
            <w:r>
              <w:rPr>
                <w:rFonts w:hint="eastAsia"/>
                <w:sz w:val="24"/>
                <w:szCs w:val="24"/>
                <w:u w:val="single"/>
              </w:rPr>
              <w:t>焯水</w:t>
            </w:r>
            <w:r>
              <w:rPr>
                <w:sz w:val="24"/>
                <w:szCs w:val="24"/>
                <w:u w:val="single"/>
              </w:rPr>
              <w:t>、卤制、拌料等工序过程中会产生一定的异味，可能使人产生一定的不适感，污染物以臭气浓度表征，查阅《排放源统计调查产排污核算方法和系数手册》相关行业产污系数表，无该污染物排放系数，本项目生产过程异味主要集中于车间内部，产生量少并且难以定量核算，均以车间无组织排放方式进入大气。</w:t>
            </w:r>
          </w:p>
          <w:p w14:paraId="0CC3C998">
            <w:pPr>
              <w:spacing w:line="360" w:lineRule="auto"/>
              <w:ind w:firstLine="480" w:firstLineChars="200"/>
              <w:rPr>
                <w:sz w:val="24"/>
                <w:szCs w:val="24"/>
                <w:u w:val="single"/>
              </w:rPr>
            </w:pPr>
            <w:r>
              <w:rPr>
                <w:sz w:val="24"/>
                <w:szCs w:val="24"/>
                <w:u w:val="single"/>
              </w:rPr>
              <w:t>本环评建议整个车间内采用机械通风，通过安装排风扇或者新风系统降低车间内异味，另外企业须对车间加强日常清理工作，原料及时清理，设备和地面及时清洗、保持干净，以避免物料长期堆置，防止臭气滋生。车间设置通风管路和通风窗，异味经车间排气扇排出，满足《恶臭污染物排放标准》（GB14554-93）中排放标准要求。</w:t>
            </w:r>
          </w:p>
          <w:p w14:paraId="45540571">
            <w:pPr>
              <w:spacing w:line="360" w:lineRule="auto"/>
              <w:ind w:firstLine="482" w:firstLineChars="200"/>
              <w:rPr>
                <w:sz w:val="24"/>
                <w:szCs w:val="24"/>
              </w:rPr>
            </w:pPr>
            <w:r>
              <w:rPr>
                <w:b/>
                <w:bCs/>
                <w:sz w:val="24"/>
                <w:szCs w:val="24"/>
              </w:rPr>
              <w:t>熬制油烟</w:t>
            </w:r>
          </w:p>
          <w:p w14:paraId="6DF0AD1D">
            <w:pPr>
              <w:spacing w:line="360" w:lineRule="auto"/>
              <w:ind w:firstLine="480" w:firstLineChars="200"/>
              <w:rPr>
                <w:sz w:val="24"/>
                <w:szCs w:val="24"/>
              </w:rPr>
            </w:pPr>
            <w:r>
              <w:rPr>
                <w:sz w:val="24"/>
                <w:szCs w:val="24"/>
              </w:rPr>
              <w:t>本项目火锅猪蹄需要熬制调味料，该工序主要通过食用油对调味料进行熬制，该工序共使用食用油80t/a，类比同类型项目，油烟挥发量一般为拥有量的0.2%，则油烟的排放量为0.16t/a，本项目设置2个炒锅，工作时间为2400h，总风量按6000m</w:t>
            </w:r>
            <w:r>
              <w:rPr>
                <w:sz w:val="24"/>
                <w:szCs w:val="24"/>
                <w:vertAlign w:val="superscript"/>
              </w:rPr>
              <w:t>3</w:t>
            </w:r>
            <w:r>
              <w:rPr>
                <w:sz w:val="24"/>
                <w:szCs w:val="24"/>
              </w:rPr>
              <w:t>/h计，则油炸油烟产生浓度11.11mg/m</w:t>
            </w:r>
            <w:r>
              <w:rPr>
                <w:sz w:val="24"/>
                <w:szCs w:val="24"/>
                <w:vertAlign w:val="superscript"/>
              </w:rPr>
              <w:t>3</w:t>
            </w:r>
            <w:r>
              <w:rPr>
                <w:sz w:val="24"/>
                <w:szCs w:val="24"/>
              </w:rPr>
              <w:t>。项目配套大型油烟净化处理设备1套，处理效率不低于85%，本项目油烟净化器处理效率取85%，则处理后本项目油烟排放量约为0.024t/a，排放速率0.01kg/h，排放浓度1.67mg/m</w:t>
            </w:r>
            <w:r>
              <w:rPr>
                <w:sz w:val="24"/>
                <w:szCs w:val="24"/>
                <w:vertAlign w:val="superscript"/>
              </w:rPr>
              <w:t>3</w:t>
            </w:r>
            <w:r>
              <w:rPr>
                <w:sz w:val="24"/>
                <w:szCs w:val="24"/>
              </w:rPr>
              <w:t>，达到《饮食业油烟排放标准》（GB18483-2001）中规定的最高允许浓度2.0 mg/m</w:t>
            </w:r>
            <w:r>
              <w:rPr>
                <w:sz w:val="24"/>
                <w:szCs w:val="24"/>
                <w:vertAlign w:val="superscript"/>
              </w:rPr>
              <w:t>3</w:t>
            </w:r>
            <w:r>
              <w:rPr>
                <w:sz w:val="24"/>
                <w:szCs w:val="24"/>
              </w:rPr>
              <w:t>的排放标准要求。</w:t>
            </w:r>
          </w:p>
          <w:p w14:paraId="7B436F16">
            <w:pPr>
              <w:tabs>
                <w:tab w:val="left" w:pos="2196"/>
              </w:tabs>
              <w:spacing w:line="360" w:lineRule="auto"/>
              <w:jc w:val="center"/>
              <w:rPr>
                <w:b/>
                <w:sz w:val="24"/>
                <w:szCs w:val="24"/>
              </w:rPr>
            </w:pPr>
            <w:r>
              <w:rPr>
                <w:b/>
                <w:sz w:val="24"/>
                <w:szCs w:val="24"/>
              </w:rPr>
              <w:t>表4-4  废气污染物信息表</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20"/>
              <w:gridCol w:w="420"/>
              <w:gridCol w:w="627"/>
              <w:gridCol w:w="729"/>
              <w:gridCol w:w="664"/>
              <w:gridCol w:w="788"/>
              <w:gridCol w:w="420"/>
              <w:gridCol w:w="727"/>
              <w:gridCol w:w="1004"/>
              <w:gridCol w:w="810"/>
              <w:gridCol w:w="810"/>
              <w:gridCol w:w="1074"/>
            </w:tblGrid>
            <w:tr w14:paraId="789DA8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47" w:type="pct"/>
                  <w:vMerge w:val="restart"/>
                  <w:vAlign w:val="center"/>
                </w:tcPr>
                <w:p w14:paraId="69AA3944">
                  <w:pPr>
                    <w:pStyle w:val="50"/>
                    <w:adjustRightInd/>
                    <w:snapToGrid/>
                    <w:spacing w:beforeLines="0" w:line="240" w:lineRule="auto"/>
                    <w:rPr>
                      <w:rFonts w:ascii="Times New Roman" w:hAnsi="Times New Roman"/>
                      <w:b/>
                      <w:bCs/>
                      <w:szCs w:val="21"/>
                    </w:rPr>
                  </w:pPr>
                  <w:r>
                    <w:rPr>
                      <w:rFonts w:ascii="Times New Roman" w:hAnsi="Times New Roman"/>
                      <w:b/>
                      <w:bCs/>
                      <w:szCs w:val="21"/>
                    </w:rPr>
                    <w:t>序号</w:t>
                  </w:r>
                </w:p>
              </w:tc>
              <w:tc>
                <w:tcPr>
                  <w:tcW w:w="247" w:type="pct"/>
                  <w:vMerge w:val="restart"/>
                  <w:vAlign w:val="center"/>
                </w:tcPr>
                <w:p w14:paraId="7A926B40">
                  <w:pPr>
                    <w:pStyle w:val="50"/>
                    <w:adjustRightInd/>
                    <w:snapToGrid/>
                    <w:spacing w:beforeLines="0" w:line="240" w:lineRule="auto"/>
                    <w:rPr>
                      <w:rFonts w:ascii="Times New Roman" w:hAnsi="Times New Roman"/>
                      <w:b/>
                      <w:bCs/>
                      <w:szCs w:val="21"/>
                    </w:rPr>
                  </w:pPr>
                  <w:r>
                    <w:rPr>
                      <w:rFonts w:ascii="Times New Roman" w:hAnsi="Times New Roman"/>
                      <w:b/>
                      <w:bCs/>
                      <w:szCs w:val="21"/>
                    </w:rPr>
                    <w:t>产污环节</w:t>
                  </w:r>
                </w:p>
                <w:p w14:paraId="49A6CFAA">
                  <w:pPr>
                    <w:pStyle w:val="50"/>
                    <w:adjustRightInd/>
                    <w:snapToGrid/>
                    <w:spacing w:beforeLines="0" w:line="240" w:lineRule="auto"/>
                    <w:rPr>
                      <w:rFonts w:ascii="Times New Roman" w:hAnsi="Times New Roman"/>
                      <w:b/>
                      <w:bCs/>
                      <w:szCs w:val="21"/>
                    </w:rPr>
                  </w:pPr>
                  <w:r>
                    <w:rPr>
                      <w:rFonts w:ascii="Times New Roman" w:hAnsi="Times New Roman"/>
                      <w:b/>
                      <w:bCs/>
                      <w:szCs w:val="21"/>
                    </w:rPr>
                    <w:t>名称</w:t>
                  </w:r>
                </w:p>
              </w:tc>
              <w:tc>
                <w:tcPr>
                  <w:tcW w:w="369" w:type="pct"/>
                  <w:vMerge w:val="restart"/>
                  <w:vAlign w:val="center"/>
                </w:tcPr>
                <w:p w14:paraId="5E583E46">
                  <w:pPr>
                    <w:pStyle w:val="50"/>
                    <w:adjustRightInd/>
                    <w:snapToGrid/>
                    <w:spacing w:beforeLines="0" w:line="240" w:lineRule="auto"/>
                    <w:rPr>
                      <w:rFonts w:ascii="Times New Roman" w:hAnsi="Times New Roman"/>
                      <w:b/>
                      <w:bCs/>
                      <w:szCs w:val="21"/>
                    </w:rPr>
                  </w:pPr>
                  <w:r>
                    <w:rPr>
                      <w:rFonts w:ascii="Times New Roman" w:hAnsi="Times New Roman"/>
                      <w:b/>
                      <w:bCs/>
                      <w:szCs w:val="21"/>
                    </w:rPr>
                    <w:t>污染物</w:t>
                  </w:r>
                </w:p>
                <w:p w14:paraId="3EB63F56">
                  <w:pPr>
                    <w:pStyle w:val="50"/>
                    <w:adjustRightInd/>
                    <w:snapToGrid/>
                    <w:spacing w:beforeLines="0" w:line="240" w:lineRule="auto"/>
                    <w:rPr>
                      <w:rFonts w:ascii="Times New Roman" w:hAnsi="Times New Roman"/>
                      <w:b/>
                      <w:bCs/>
                      <w:szCs w:val="21"/>
                    </w:rPr>
                  </w:pPr>
                  <w:r>
                    <w:rPr>
                      <w:rFonts w:ascii="Times New Roman" w:hAnsi="Times New Roman"/>
                      <w:b/>
                      <w:bCs/>
                      <w:szCs w:val="21"/>
                    </w:rPr>
                    <w:t>种类</w:t>
                  </w:r>
                </w:p>
              </w:tc>
              <w:tc>
                <w:tcPr>
                  <w:tcW w:w="1284" w:type="pct"/>
                  <w:gridSpan w:val="3"/>
                  <w:vAlign w:val="center"/>
                </w:tcPr>
                <w:p w14:paraId="1C9612D4">
                  <w:pPr>
                    <w:pStyle w:val="50"/>
                    <w:adjustRightInd/>
                    <w:snapToGrid/>
                    <w:spacing w:beforeLines="0" w:line="240" w:lineRule="auto"/>
                    <w:rPr>
                      <w:rFonts w:ascii="Times New Roman" w:hAnsi="Times New Roman"/>
                      <w:b/>
                      <w:bCs/>
                      <w:szCs w:val="21"/>
                    </w:rPr>
                  </w:pPr>
                  <w:r>
                    <w:rPr>
                      <w:rFonts w:ascii="Times New Roman" w:hAnsi="Times New Roman"/>
                      <w:b/>
                      <w:bCs/>
                      <w:szCs w:val="21"/>
                    </w:rPr>
                    <w:t>污染物</w:t>
                  </w:r>
                </w:p>
              </w:tc>
              <w:tc>
                <w:tcPr>
                  <w:tcW w:w="247" w:type="pct"/>
                  <w:vMerge w:val="restart"/>
                  <w:vAlign w:val="center"/>
                </w:tcPr>
                <w:p w14:paraId="6AEE90E4">
                  <w:pPr>
                    <w:pStyle w:val="50"/>
                    <w:adjustRightInd/>
                    <w:snapToGrid/>
                    <w:spacing w:beforeLines="0" w:line="240" w:lineRule="auto"/>
                    <w:rPr>
                      <w:rFonts w:ascii="Times New Roman" w:hAnsi="Times New Roman"/>
                      <w:b/>
                      <w:bCs/>
                      <w:szCs w:val="21"/>
                    </w:rPr>
                  </w:pPr>
                  <w:r>
                    <w:rPr>
                      <w:rFonts w:ascii="Times New Roman" w:hAnsi="Times New Roman"/>
                      <w:b/>
                      <w:bCs/>
                      <w:szCs w:val="21"/>
                    </w:rPr>
                    <w:t>排放</w:t>
                  </w:r>
                </w:p>
                <w:p w14:paraId="268FE883">
                  <w:pPr>
                    <w:pStyle w:val="50"/>
                    <w:adjustRightInd/>
                    <w:snapToGrid/>
                    <w:spacing w:beforeLines="0" w:line="240" w:lineRule="auto"/>
                    <w:rPr>
                      <w:rFonts w:ascii="Times New Roman" w:hAnsi="Times New Roman"/>
                      <w:b/>
                      <w:bCs/>
                      <w:szCs w:val="21"/>
                    </w:rPr>
                  </w:pPr>
                  <w:r>
                    <w:rPr>
                      <w:rFonts w:ascii="Times New Roman" w:hAnsi="Times New Roman"/>
                      <w:b/>
                      <w:bCs/>
                      <w:szCs w:val="21"/>
                    </w:rPr>
                    <w:t>方式</w:t>
                  </w:r>
                </w:p>
              </w:tc>
              <w:tc>
                <w:tcPr>
                  <w:tcW w:w="428" w:type="pct"/>
                  <w:vMerge w:val="restart"/>
                  <w:vAlign w:val="center"/>
                </w:tcPr>
                <w:p w14:paraId="54E106AD">
                  <w:pPr>
                    <w:pStyle w:val="50"/>
                    <w:adjustRightInd/>
                    <w:snapToGrid/>
                    <w:spacing w:beforeLines="0" w:line="240" w:lineRule="auto"/>
                    <w:rPr>
                      <w:rFonts w:ascii="Times New Roman" w:hAnsi="Times New Roman"/>
                      <w:b/>
                      <w:bCs/>
                      <w:szCs w:val="21"/>
                    </w:rPr>
                  </w:pPr>
                  <w:r>
                    <w:rPr>
                      <w:rFonts w:ascii="Times New Roman" w:hAnsi="Times New Roman"/>
                      <w:b/>
                      <w:bCs/>
                      <w:szCs w:val="21"/>
                    </w:rPr>
                    <w:t>污染治理设施名称</w:t>
                  </w:r>
                </w:p>
              </w:tc>
              <w:tc>
                <w:tcPr>
                  <w:tcW w:w="1545" w:type="pct"/>
                  <w:gridSpan w:val="3"/>
                  <w:vAlign w:val="center"/>
                </w:tcPr>
                <w:p w14:paraId="4ACF9F3F">
                  <w:pPr>
                    <w:pStyle w:val="50"/>
                    <w:adjustRightInd/>
                    <w:snapToGrid/>
                    <w:spacing w:beforeLines="0" w:line="240" w:lineRule="auto"/>
                    <w:rPr>
                      <w:rFonts w:ascii="Times New Roman" w:hAnsi="Times New Roman"/>
                      <w:b/>
                      <w:bCs/>
                      <w:szCs w:val="21"/>
                    </w:rPr>
                  </w:pPr>
                  <w:r>
                    <w:rPr>
                      <w:rFonts w:ascii="Times New Roman" w:hAnsi="Times New Roman"/>
                      <w:b/>
                      <w:bCs/>
                      <w:szCs w:val="21"/>
                    </w:rPr>
                    <w:t>污染物</w:t>
                  </w:r>
                </w:p>
              </w:tc>
              <w:tc>
                <w:tcPr>
                  <w:tcW w:w="632" w:type="pct"/>
                  <w:vMerge w:val="restart"/>
                  <w:vAlign w:val="center"/>
                </w:tcPr>
                <w:p w14:paraId="128BE1D0">
                  <w:pPr>
                    <w:pStyle w:val="50"/>
                    <w:adjustRightInd/>
                    <w:snapToGrid/>
                    <w:spacing w:beforeLines="0" w:line="240" w:lineRule="auto"/>
                    <w:rPr>
                      <w:rFonts w:ascii="Times New Roman" w:hAnsi="Times New Roman"/>
                      <w:b/>
                      <w:bCs/>
                      <w:szCs w:val="21"/>
                    </w:rPr>
                  </w:pPr>
                  <w:r>
                    <w:rPr>
                      <w:rFonts w:ascii="Times New Roman" w:hAnsi="Times New Roman"/>
                      <w:b/>
                      <w:bCs/>
                      <w:szCs w:val="21"/>
                    </w:rPr>
                    <w:t>排放</w:t>
                  </w:r>
                </w:p>
                <w:p w14:paraId="0015E3E3">
                  <w:pPr>
                    <w:pStyle w:val="50"/>
                    <w:adjustRightInd/>
                    <w:snapToGrid/>
                    <w:spacing w:beforeLines="0" w:line="240" w:lineRule="auto"/>
                    <w:rPr>
                      <w:rFonts w:ascii="Times New Roman" w:hAnsi="Times New Roman"/>
                      <w:b/>
                      <w:bCs/>
                      <w:szCs w:val="21"/>
                    </w:rPr>
                  </w:pPr>
                  <w:r>
                    <w:rPr>
                      <w:rFonts w:ascii="Times New Roman" w:hAnsi="Times New Roman"/>
                      <w:b/>
                      <w:bCs/>
                      <w:szCs w:val="21"/>
                    </w:rPr>
                    <w:t>标准</w:t>
                  </w:r>
                </w:p>
              </w:tc>
            </w:tr>
            <w:tr w14:paraId="1FFA60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47" w:type="pct"/>
                  <w:vMerge w:val="continue"/>
                  <w:vAlign w:val="center"/>
                </w:tcPr>
                <w:p w14:paraId="5CE8F6B5">
                  <w:pPr>
                    <w:pStyle w:val="50"/>
                    <w:adjustRightInd/>
                    <w:snapToGrid/>
                    <w:spacing w:beforeLines="0" w:line="240" w:lineRule="auto"/>
                    <w:rPr>
                      <w:rFonts w:ascii="Times New Roman" w:hAnsi="Times New Roman"/>
                      <w:b/>
                      <w:bCs/>
                      <w:szCs w:val="21"/>
                    </w:rPr>
                  </w:pPr>
                </w:p>
              </w:tc>
              <w:tc>
                <w:tcPr>
                  <w:tcW w:w="247" w:type="pct"/>
                  <w:vMerge w:val="continue"/>
                  <w:vAlign w:val="center"/>
                </w:tcPr>
                <w:p w14:paraId="5A2E1A35">
                  <w:pPr>
                    <w:pStyle w:val="50"/>
                    <w:adjustRightInd/>
                    <w:snapToGrid/>
                    <w:spacing w:beforeLines="0" w:line="240" w:lineRule="auto"/>
                    <w:rPr>
                      <w:rFonts w:ascii="Times New Roman" w:hAnsi="Times New Roman"/>
                      <w:b/>
                      <w:bCs/>
                      <w:szCs w:val="21"/>
                    </w:rPr>
                  </w:pPr>
                </w:p>
              </w:tc>
              <w:tc>
                <w:tcPr>
                  <w:tcW w:w="369" w:type="pct"/>
                  <w:vMerge w:val="continue"/>
                  <w:vAlign w:val="center"/>
                </w:tcPr>
                <w:p w14:paraId="131E0487">
                  <w:pPr>
                    <w:pStyle w:val="50"/>
                    <w:adjustRightInd/>
                    <w:snapToGrid/>
                    <w:spacing w:beforeLines="0" w:line="240" w:lineRule="auto"/>
                    <w:rPr>
                      <w:rFonts w:ascii="Times New Roman" w:hAnsi="Times New Roman"/>
                      <w:b/>
                      <w:bCs/>
                      <w:szCs w:val="21"/>
                    </w:rPr>
                  </w:pPr>
                </w:p>
              </w:tc>
              <w:tc>
                <w:tcPr>
                  <w:tcW w:w="429" w:type="pct"/>
                  <w:vAlign w:val="center"/>
                </w:tcPr>
                <w:p w14:paraId="54034361">
                  <w:pPr>
                    <w:adjustRightInd w:val="0"/>
                    <w:jc w:val="center"/>
                    <w:rPr>
                      <w:b/>
                      <w:bCs/>
                      <w:color w:val="000000"/>
                    </w:rPr>
                  </w:pPr>
                  <w:r>
                    <w:rPr>
                      <w:b/>
                      <w:bCs/>
                      <w:color w:val="000000"/>
                    </w:rPr>
                    <w:t>产生量t/a</w:t>
                  </w:r>
                </w:p>
              </w:tc>
              <w:tc>
                <w:tcPr>
                  <w:tcW w:w="391" w:type="pct"/>
                  <w:vAlign w:val="center"/>
                </w:tcPr>
                <w:p w14:paraId="66B0CCE1">
                  <w:pPr>
                    <w:adjustRightInd w:val="0"/>
                    <w:jc w:val="center"/>
                    <w:rPr>
                      <w:b/>
                      <w:bCs/>
                      <w:color w:val="000000"/>
                    </w:rPr>
                  </w:pPr>
                  <w:r>
                    <w:rPr>
                      <w:b/>
                      <w:bCs/>
                      <w:color w:val="000000"/>
                    </w:rPr>
                    <w:t>产生速率kg/h</w:t>
                  </w:r>
                </w:p>
              </w:tc>
              <w:tc>
                <w:tcPr>
                  <w:tcW w:w="464" w:type="pct"/>
                  <w:vAlign w:val="center"/>
                </w:tcPr>
                <w:p w14:paraId="165B0202">
                  <w:pPr>
                    <w:adjustRightInd w:val="0"/>
                    <w:jc w:val="center"/>
                    <w:rPr>
                      <w:b/>
                      <w:bCs/>
                      <w:color w:val="000000"/>
                    </w:rPr>
                  </w:pPr>
                  <w:r>
                    <w:rPr>
                      <w:b/>
                      <w:bCs/>
                      <w:color w:val="000000"/>
                    </w:rPr>
                    <w:t>产生浓度mg/m</w:t>
                  </w:r>
                  <w:r>
                    <w:rPr>
                      <w:b/>
                      <w:bCs/>
                      <w:color w:val="000000"/>
                      <w:vertAlign w:val="superscript"/>
                    </w:rPr>
                    <w:t>3</w:t>
                  </w:r>
                </w:p>
              </w:tc>
              <w:tc>
                <w:tcPr>
                  <w:tcW w:w="247" w:type="pct"/>
                  <w:vMerge w:val="continue"/>
                  <w:vAlign w:val="center"/>
                </w:tcPr>
                <w:p w14:paraId="55984C92">
                  <w:pPr>
                    <w:pStyle w:val="50"/>
                    <w:adjustRightInd/>
                    <w:snapToGrid/>
                    <w:spacing w:beforeLines="0" w:line="240" w:lineRule="auto"/>
                    <w:rPr>
                      <w:rFonts w:ascii="Times New Roman" w:hAnsi="Times New Roman"/>
                      <w:b/>
                      <w:bCs/>
                      <w:szCs w:val="21"/>
                    </w:rPr>
                  </w:pPr>
                </w:p>
              </w:tc>
              <w:tc>
                <w:tcPr>
                  <w:tcW w:w="428" w:type="pct"/>
                  <w:vMerge w:val="continue"/>
                  <w:vAlign w:val="center"/>
                </w:tcPr>
                <w:p w14:paraId="78D3DD9E">
                  <w:pPr>
                    <w:pStyle w:val="50"/>
                    <w:adjustRightInd/>
                    <w:snapToGrid/>
                    <w:spacing w:beforeLines="0" w:line="240" w:lineRule="auto"/>
                    <w:rPr>
                      <w:rFonts w:ascii="Times New Roman" w:hAnsi="Times New Roman"/>
                      <w:b/>
                      <w:bCs/>
                      <w:szCs w:val="21"/>
                    </w:rPr>
                  </w:pPr>
                </w:p>
              </w:tc>
              <w:tc>
                <w:tcPr>
                  <w:tcW w:w="591" w:type="pct"/>
                  <w:vAlign w:val="center"/>
                </w:tcPr>
                <w:p w14:paraId="77BDB792">
                  <w:pPr>
                    <w:pStyle w:val="50"/>
                    <w:adjustRightInd/>
                    <w:snapToGrid/>
                    <w:spacing w:beforeLines="0" w:line="240" w:lineRule="auto"/>
                    <w:rPr>
                      <w:rFonts w:ascii="Times New Roman" w:hAnsi="Times New Roman"/>
                      <w:b/>
                      <w:bCs/>
                      <w:szCs w:val="21"/>
                    </w:rPr>
                  </w:pPr>
                  <w:r>
                    <w:rPr>
                      <w:rFonts w:ascii="Times New Roman" w:hAnsi="Times New Roman"/>
                      <w:b/>
                      <w:bCs/>
                      <w:szCs w:val="21"/>
                    </w:rPr>
                    <w:t>浓度</w:t>
                  </w:r>
                </w:p>
              </w:tc>
              <w:tc>
                <w:tcPr>
                  <w:tcW w:w="477" w:type="pct"/>
                  <w:vAlign w:val="center"/>
                </w:tcPr>
                <w:p w14:paraId="02ECD149">
                  <w:pPr>
                    <w:pStyle w:val="50"/>
                    <w:adjustRightInd/>
                    <w:snapToGrid/>
                    <w:spacing w:beforeLines="0" w:line="240" w:lineRule="auto"/>
                    <w:rPr>
                      <w:rFonts w:ascii="Times New Roman" w:hAnsi="Times New Roman"/>
                      <w:b/>
                      <w:bCs/>
                      <w:szCs w:val="21"/>
                    </w:rPr>
                  </w:pPr>
                  <w:r>
                    <w:rPr>
                      <w:rFonts w:ascii="Times New Roman" w:hAnsi="Times New Roman"/>
                      <w:b/>
                      <w:bCs/>
                      <w:szCs w:val="21"/>
                    </w:rPr>
                    <w:t>速率</w:t>
                  </w:r>
                </w:p>
              </w:tc>
              <w:tc>
                <w:tcPr>
                  <w:tcW w:w="477" w:type="pct"/>
                  <w:vAlign w:val="center"/>
                </w:tcPr>
                <w:p w14:paraId="0995F11C">
                  <w:pPr>
                    <w:pStyle w:val="50"/>
                    <w:adjustRightInd/>
                    <w:snapToGrid/>
                    <w:spacing w:beforeLines="0" w:line="240" w:lineRule="auto"/>
                    <w:rPr>
                      <w:rFonts w:ascii="Times New Roman" w:hAnsi="Times New Roman"/>
                      <w:b/>
                      <w:bCs/>
                      <w:szCs w:val="21"/>
                    </w:rPr>
                  </w:pPr>
                  <w:r>
                    <w:rPr>
                      <w:rFonts w:ascii="Times New Roman" w:hAnsi="Times New Roman"/>
                      <w:b/>
                      <w:bCs/>
                      <w:szCs w:val="21"/>
                    </w:rPr>
                    <w:t>排放量</w:t>
                  </w:r>
                </w:p>
              </w:tc>
              <w:tc>
                <w:tcPr>
                  <w:tcW w:w="632" w:type="pct"/>
                  <w:vMerge w:val="continue"/>
                  <w:vAlign w:val="center"/>
                </w:tcPr>
                <w:p w14:paraId="3552D46A">
                  <w:pPr>
                    <w:pStyle w:val="50"/>
                    <w:adjustRightInd/>
                    <w:snapToGrid/>
                    <w:spacing w:beforeLines="0" w:line="240" w:lineRule="auto"/>
                    <w:rPr>
                      <w:rFonts w:ascii="Times New Roman" w:hAnsi="Times New Roman"/>
                      <w:b/>
                      <w:bCs/>
                      <w:szCs w:val="21"/>
                    </w:rPr>
                  </w:pPr>
                </w:p>
              </w:tc>
            </w:tr>
            <w:tr w14:paraId="6E7CDD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47" w:type="pct"/>
                  <w:vMerge w:val="restart"/>
                  <w:vAlign w:val="center"/>
                </w:tcPr>
                <w:p w14:paraId="159C4F8F">
                  <w:pPr>
                    <w:pStyle w:val="50"/>
                    <w:adjustRightInd/>
                    <w:snapToGrid/>
                    <w:spacing w:beforeLines="0" w:line="240" w:lineRule="auto"/>
                    <w:rPr>
                      <w:rFonts w:ascii="Times New Roman" w:hAnsi="Times New Roman"/>
                      <w:szCs w:val="21"/>
                    </w:rPr>
                  </w:pPr>
                  <w:r>
                    <w:rPr>
                      <w:rFonts w:ascii="Times New Roman" w:hAnsi="Times New Roman"/>
                      <w:szCs w:val="21"/>
                    </w:rPr>
                    <w:t>1</w:t>
                  </w:r>
                </w:p>
              </w:tc>
              <w:tc>
                <w:tcPr>
                  <w:tcW w:w="247" w:type="pct"/>
                  <w:vMerge w:val="restart"/>
                  <w:vAlign w:val="center"/>
                </w:tcPr>
                <w:p w14:paraId="7A0F75C1">
                  <w:pPr>
                    <w:pStyle w:val="50"/>
                    <w:adjustRightInd/>
                    <w:snapToGrid/>
                    <w:spacing w:beforeLines="0" w:line="240" w:lineRule="auto"/>
                    <w:rPr>
                      <w:rFonts w:ascii="Times New Roman" w:hAnsi="Times New Roman"/>
                      <w:szCs w:val="21"/>
                    </w:rPr>
                  </w:pPr>
                  <w:r>
                    <w:rPr>
                      <w:rFonts w:ascii="Times New Roman" w:hAnsi="Times New Roman"/>
                      <w:szCs w:val="21"/>
                    </w:rPr>
                    <w:t>生物质气化锅炉</w:t>
                  </w:r>
                </w:p>
              </w:tc>
              <w:tc>
                <w:tcPr>
                  <w:tcW w:w="369" w:type="pct"/>
                  <w:vAlign w:val="center"/>
                </w:tcPr>
                <w:p w14:paraId="623AD69D">
                  <w:pPr>
                    <w:pStyle w:val="50"/>
                    <w:adjustRightInd/>
                    <w:snapToGrid/>
                    <w:spacing w:beforeLines="0" w:line="240" w:lineRule="auto"/>
                    <w:rPr>
                      <w:rFonts w:ascii="Times New Roman" w:hAnsi="Times New Roman"/>
                      <w:szCs w:val="21"/>
                    </w:rPr>
                  </w:pPr>
                  <w:r>
                    <w:rPr>
                      <w:rFonts w:ascii="Times New Roman" w:hAnsi="Times New Roman"/>
                      <w:szCs w:val="21"/>
                    </w:rPr>
                    <w:t>SO</w:t>
                  </w:r>
                  <w:r>
                    <w:rPr>
                      <w:rFonts w:ascii="Times New Roman" w:hAnsi="Times New Roman"/>
                      <w:szCs w:val="21"/>
                      <w:vertAlign w:val="subscript"/>
                    </w:rPr>
                    <w:t>2</w:t>
                  </w:r>
                </w:p>
              </w:tc>
              <w:tc>
                <w:tcPr>
                  <w:tcW w:w="429" w:type="pct"/>
                  <w:vAlign w:val="center"/>
                </w:tcPr>
                <w:p w14:paraId="5E228B1F">
                  <w:pPr>
                    <w:pStyle w:val="19"/>
                    <w:adjustRightInd w:val="0"/>
                    <w:ind w:left="0" w:firstLine="0" w:firstLineChars="0"/>
                    <w:jc w:val="center"/>
                    <w:rPr>
                      <w:bCs/>
                      <w:color w:val="000000"/>
                    </w:rPr>
                  </w:pPr>
                  <w:r>
                    <w:rPr>
                      <w:rFonts w:eastAsia="等线"/>
                      <w:color w:val="000000"/>
                    </w:rPr>
                    <w:t>0.288</w:t>
                  </w:r>
                </w:p>
              </w:tc>
              <w:tc>
                <w:tcPr>
                  <w:tcW w:w="391" w:type="pct"/>
                  <w:vAlign w:val="center"/>
                </w:tcPr>
                <w:p w14:paraId="7ADD5879">
                  <w:pPr>
                    <w:adjustRightInd w:val="0"/>
                    <w:jc w:val="center"/>
                    <w:rPr>
                      <w:rFonts w:eastAsia="等线"/>
                      <w:color w:val="000000"/>
                    </w:rPr>
                  </w:pPr>
                  <w:r>
                    <w:rPr>
                      <w:rFonts w:eastAsia="等线"/>
                      <w:color w:val="000000"/>
                    </w:rPr>
                    <w:t>0.12</w:t>
                  </w:r>
                </w:p>
              </w:tc>
              <w:tc>
                <w:tcPr>
                  <w:tcW w:w="464" w:type="pct"/>
                  <w:vAlign w:val="center"/>
                </w:tcPr>
                <w:p w14:paraId="1F2BEA32">
                  <w:pPr>
                    <w:pStyle w:val="19"/>
                    <w:adjustRightInd w:val="0"/>
                    <w:ind w:left="0" w:firstLine="0" w:firstLineChars="0"/>
                    <w:jc w:val="center"/>
                    <w:rPr>
                      <w:bCs/>
                      <w:color w:val="000000"/>
                    </w:rPr>
                  </w:pPr>
                  <w:r>
                    <w:rPr>
                      <w:bCs/>
                      <w:color w:val="000000"/>
                    </w:rPr>
                    <w:t>17.97</w:t>
                  </w:r>
                </w:p>
              </w:tc>
              <w:tc>
                <w:tcPr>
                  <w:tcW w:w="247" w:type="pct"/>
                  <w:vMerge w:val="restart"/>
                  <w:vAlign w:val="center"/>
                </w:tcPr>
                <w:p w14:paraId="061E1D4F">
                  <w:pPr>
                    <w:pStyle w:val="50"/>
                    <w:adjustRightInd/>
                    <w:snapToGrid/>
                    <w:spacing w:beforeLines="0" w:line="240" w:lineRule="auto"/>
                    <w:rPr>
                      <w:rFonts w:ascii="Times New Roman" w:hAnsi="Times New Roman"/>
                      <w:szCs w:val="21"/>
                    </w:rPr>
                  </w:pPr>
                  <w:r>
                    <w:rPr>
                      <w:rFonts w:ascii="Times New Roman" w:hAnsi="Times New Roman"/>
                      <w:szCs w:val="21"/>
                    </w:rPr>
                    <w:t>有组织</w:t>
                  </w:r>
                </w:p>
              </w:tc>
              <w:tc>
                <w:tcPr>
                  <w:tcW w:w="428" w:type="pct"/>
                  <w:vAlign w:val="center"/>
                </w:tcPr>
                <w:p w14:paraId="1448A43C">
                  <w:pPr>
                    <w:pStyle w:val="50"/>
                    <w:adjustRightInd/>
                    <w:snapToGrid/>
                    <w:spacing w:beforeLines="0" w:line="240" w:lineRule="auto"/>
                    <w:rPr>
                      <w:rFonts w:ascii="Times New Roman" w:hAnsi="Times New Roman"/>
                      <w:szCs w:val="21"/>
                    </w:rPr>
                  </w:pPr>
                  <w:r>
                    <w:rPr>
                      <w:rFonts w:ascii="Times New Roman" w:hAnsi="Times New Roman"/>
                      <w:szCs w:val="21"/>
                    </w:rPr>
                    <w:t>/</w:t>
                  </w:r>
                </w:p>
              </w:tc>
              <w:tc>
                <w:tcPr>
                  <w:tcW w:w="591" w:type="pct"/>
                  <w:vAlign w:val="center"/>
                </w:tcPr>
                <w:p w14:paraId="6E07B270">
                  <w:pPr>
                    <w:widowControl/>
                    <w:jc w:val="center"/>
                    <w:textAlignment w:val="center"/>
                    <w:rPr>
                      <w:szCs w:val="21"/>
                    </w:rPr>
                  </w:pPr>
                  <w:r>
                    <w:rPr>
                      <w:bCs/>
                      <w:color w:val="000000"/>
                    </w:rPr>
                    <w:t>17.97</w:t>
                  </w:r>
                </w:p>
              </w:tc>
              <w:tc>
                <w:tcPr>
                  <w:tcW w:w="477" w:type="pct"/>
                  <w:vAlign w:val="center"/>
                </w:tcPr>
                <w:p w14:paraId="7A4C6D01">
                  <w:pPr>
                    <w:widowControl/>
                    <w:jc w:val="center"/>
                    <w:textAlignment w:val="center"/>
                    <w:rPr>
                      <w:rFonts w:eastAsia="等线"/>
                      <w:color w:val="000000"/>
                    </w:rPr>
                  </w:pPr>
                  <w:r>
                    <w:rPr>
                      <w:rFonts w:eastAsia="等线"/>
                      <w:color w:val="000000"/>
                    </w:rPr>
                    <w:t>0.12</w:t>
                  </w:r>
                </w:p>
              </w:tc>
              <w:tc>
                <w:tcPr>
                  <w:tcW w:w="477" w:type="pct"/>
                  <w:vAlign w:val="center"/>
                </w:tcPr>
                <w:p w14:paraId="396634EE">
                  <w:pPr>
                    <w:widowControl/>
                    <w:jc w:val="center"/>
                    <w:textAlignment w:val="center"/>
                    <w:rPr>
                      <w:szCs w:val="21"/>
                    </w:rPr>
                  </w:pPr>
                  <w:r>
                    <w:rPr>
                      <w:rFonts w:eastAsia="等线"/>
                      <w:color w:val="000000"/>
                    </w:rPr>
                    <w:t>0.288</w:t>
                  </w:r>
                </w:p>
              </w:tc>
              <w:tc>
                <w:tcPr>
                  <w:tcW w:w="632" w:type="pct"/>
                  <w:vAlign w:val="center"/>
                </w:tcPr>
                <w:p w14:paraId="56FC1A44">
                  <w:pPr>
                    <w:widowControl/>
                    <w:jc w:val="center"/>
                    <w:textAlignment w:val="center"/>
                    <w:rPr>
                      <w:szCs w:val="21"/>
                    </w:rPr>
                  </w:pPr>
                  <w:r>
                    <w:rPr>
                      <w:kern w:val="0"/>
                      <w:szCs w:val="21"/>
                      <w:lang w:bidi="ar"/>
                    </w:rPr>
                    <w:t>50</w:t>
                  </w:r>
                  <w:r>
                    <w:rPr>
                      <w:szCs w:val="21"/>
                    </w:rPr>
                    <w:t>mg/m</w:t>
                  </w:r>
                  <w:r>
                    <w:rPr>
                      <w:szCs w:val="21"/>
                      <w:vertAlign w:val="superscript"/>
                    </w:rPr>
                    <w:t>3</w:t>
                  </w:r>
                </w:p>
              </w:tc>
            </w:tr>
            <w:tr w14:paraId="7D6FAE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47" w:type="pct"/>
                  <w:vMerge w:val="continue"/>
                  <w:vAlign w:val="center"/>
                </w:tcPr>
                <w:p w14:paraId="7FE1AAE3">
                  <w:pPr>
                    <w:pStyle w:val="50"/>
                    <w:adjustRightInd/>
                    <w:snapToGrid/>
                    <w:spacing w:beforeLines="0" w:line="240" w:lineRule="auto"/>
                    <w:rPr>
                      <w:rFonts w:ascii="Times New Roman" w:hAnsi="Times New Roman"/>
                      <w:szCs w:val="21"/>
                    </w:rPr>
                  </w:pPr>
                </w:p>
              </w:tc>
              <w:tc>
                <w:tcPr>
                  <w:tcW w:w="247" w:type="pct"/>
                  <w:vMerge w:val="continue"/>
                  <w:vAlign w:val="center"/>
                </w:tcPr>
                <w:p w14:paraId="14C91E84">
                  <w:pPr>
                    <w:pStyle w:val="50"/>
                    <w:adjustRightInd/>
                    <w:snapToGrid/>
                    <w:spacing w:beforeLines="0" w:line="240" w:lineRule="auto"/>
                    <w:rPr>
                      <w:rFonts w:ascii="Times New Roman" w:hAnsi="Times New Roman"/>
                      <w:szCs w:val="21"/>
                    </w:rPr>
                  </w:pPr>
                </w:p>
              </w:tc>
              <w:tc>
                <w:tcPr>
                  <w:tcW w:w="369" w:type="pct"/>
                  <w:vAlign w:val="center"/>
                </w:tcPr>
                <w:p w14:paraId="79C64B8D">
                  <w:pPr>
                    <w:pStyle w:val="50"/>
                    <w:adjustRightInd/>
                    <w:snapToGrid/>
                    <w:spacing w:beforeLines="0" w:line="240" w:lineRule="auto"/>
                    <w:rPr>
                      <w:rFonts w:ascii="Times New Roman" w:hAnsi="Times New Roman"/>
                      <w:szCs w:val="21"/>
                    </w:rPr>
                  </w:pPr>
                  <w:r>
                    <w:rPr>
                      <w:rFonts w:ascii="Times New Roman" w:hAnsi="Times New Roman"/>
                      <w:szCs w:val="21"/>
                    </w:rPr>
                    <w:t>NO</w:t>
                  </w:r>
                  <w:r>
                    <w:rPr>
                      <w:rFonts w:ascii="Times New Roman" w:hAnsi="Times New Roman"/>
                      <w:szCs w:val="21"/>
                      <w:vertAlign w:val="subscript"/>
                    </w:rPr>
                    <w:t>X</w:t>
                  </w:r>
                </w:p>
              </w:tc>
              <w:tc>
                <w:tcPr>
                  <w:tcW w:w="429" w:type="pct"/>
                  <w:vAlign w:val="center"/>
                </w:tcPr>
                <w:p w14:paraId="7D801D5F">
                  <w:pPr>
                    <w:pStyle w:val="19"/>
                    <w:adjustRightInd w:val="0"/>
                    <w:ind w:left="0" w:firstLine="0" w:firstLineChars="0"/>
                    <w:jc w:val="center"/>
                    <w:rPr>
                      <w:bCs/>
                      <w:color w:val="000000"/>
                    </w:rPr>
                  </w:pPr>
                  <w:r>
                    <w:rPr>
                      <w:rFonts w:eastAsia="等线"/>
                      <w:color w:val="000000"/>
                    </w:rPr>
                    <w:t>3.01</w:t>
                  </w:r>
                </w:p>
              </w:tc>
              <w:tc>
                <w:tcPr>
                  <w:tcW w:w="391" w:type="pct"/>
                  <w:vAlign w:val="center"/>
                </w:tcPr>
                <w:p w14:paraId="4D3B6FA4">
                  <w:pPr>
                    <w:widowControl/>
                    <w:adjustRightInd w:val="0"/>
                    <w:jc w:val="center"/>
                    <w:rPr>
                      <w:rFonts w:eastAsia="等线"/>
                      <w:color w:val="000000"/>
                    </w:rPr>
                  </w:pPr>
                  <w:r>
                    <w:rPr>
                      <w:rFonts w:eastAsia="等线"/>
                      <w:color w:val="000000"/>
                    </w:rPr>
                    <w:t>1.254</w:t>
                  </w:r>
                </w:p>
              </w:tc>
              <w:tc>
                <w:tcPr>
                  <w:tcW w:w="464" w:type="pct"/>
                  <w:vAlign w:val="center"/>
                </w:tcPr>
                <w:p w14:paraId="2DF231FB">
                  <w:pPr>
                    <w:pStyle w:val="19"/>
                    <w:adjustRightInd w:val="0"/>
                    <w:ind w:left="0" w:firstLine="0" w:firstLineChars="0"/>
                    <w:jc w:val="center"/>
                    <w:rPr>
                      <w:bCs/>
                      <w:color w:val="000000"/>
                    </w:rPr>
                  </w:pPr>
                  <w:r>
                    <w:rPr>
                      <w:bCs/>
                      <w:color w:val="000000"/>
                    </w:rPr>
                    <w:t>188</w:t>
                  </w:r>
                </w:p>
              </w:tc>
              <w:tc>
                <w:tcPr>
                  <w:tcW w:w="247" w:type="pct"/>
                  <w:vMerge w:val="continue"/>
                  <w:vAlign w:val="center"/>
                </w:tcPr>
                <w:p w14:paraId="04096D72">
                  <w:pPr>
                    <w:pStyle w:val="50"/>
                    <w:adjustRightInd/>
                    <w:snapToGrid/>
                    <w:spacing w:beforeLines="0" w:line="240" w:lineRule="auto"/>
                    <w:rPr>
                      <w:rFonts w:ascii="Times New Roman" w:hAnsi="Times New Roman"/>
                      <w:szCs w:val="21"/>
                    </w:rPr>
                  </w:pPr>
                </w:p>
              </w:tc>
              <w:tc>
                <w:tcPr>
                  <w:tcW w:w="428" w:type="pct"/>
                  <w:vAlign w:val="center"/>
                </w:tcPr>
                <w:p w14:paraId="67B276DB">
                  <w:pPr>
                    <w:pStyle w:val="93"/>
                    <w:rPr>
                      <w:color w:val="000000"/>
                    </w:rPr>
                  </w:pPr>
                  <w:r>
                    <w:rPr>
                      <w:color w:val="000000"/>
                      <w:szCs w:val="21"/>
                    </w:rPr>
                    <w:t>低氮燃烧</w:t>
                  </w:r>
                </w:p>
              </w:tc>
              <w:tc>
                <w:tcPr>
                  <w:tcW w:w="591" w:type="pct"/>
                  <w:vAlign w:val="center"/>
                </w:tcPr>
                <w:p w14:paraId="4D7225B0">
                  <w:pPr>
                    <w:widowControl/>
                    <w:jc w:val="center"/>
                    <w:textAlignment w:val="center"/>
                    <w:rPr>
                      <w:szCs w:val="21"/>
                    </w:rPr>
                  </w:pPr>
                  <w:r>
                    <w:rPr>
                      <w:kern w:val="0"/>
                      <w:szCs w:val="21"/>
                      <w:lang w:bidi="ar"/>
                    </w:rPr>
                    <w:t>94</w:t>
                  </w:r>
                </w:p>
              </w:tc>
              <w:tc>
                <w:tcPr>
                  <w:tcW w:w="477" w:type="pct"/>
                  <w:vAlign w:val="center"/>
                </w:tcPr>
                <w:p w14:paraId="1C4553A2">
                  <w:pPr>
                    <w:widowControl/>
                    <w:jc w:val="center"/>
                    <w:textAlignment w:val="center"/>
                    <w:rPr>
                      <w:kern w:val="0"/>
                      <w:szCs w:val="21"/>
                      <w:lang w:bidi="ar"/>
                    </w:rPr>
                  </w:pPr>
                  <w:r>
                    <w:rPr>
                      <w:kern w:val="0"/>
                      <w:szCs w:val="21"/>
                      <w:lang w:bidi="ar"/>
                    </w:rPr>
                    <w:t>0.627</w:t>
                  </w:r>
                </w:p>
              </w:tc>
              <w:tc>
                <w:tcPr>
                  <w:tcW w:w="477" w:type="pct"/>
                  <w:vAlign w:val="center"/>
                </w:tcPr>
                <w:p w14:paraId="079014E3">
                  <w:pPr>
                    <w:widowControl/>
                    <w:jc w:val="center"/>
                    <w:textAlignment w:val="center"/>
                    <w:rPr>
                      <w:szCs w:val="21"/>
                    </w:rPr>
                  </w:pPr>
                  <w:r>
                    <w:rPr>
                      <w:kern w:val="0"/>
                      <w:szCs w:val="21"/>
                      <w:lang w:bidi="ar"/>
                    </w:rPr>
                    <w:t>1.505</w:t>
                  </w:r>
                </w:p>
              </w:tc>
              <w:tc>
                <w:tcPr>
                  <w:tcW w:w="632" w:type="pct"/>
                  <w:vAlign w:val="center"/>
                </w:tcPr>
                <w:p w14:paraId="3CD63F49">
                  <w:pPr>
                    <w:widowControl/>
                    <w:jc w:val="center"/>
                    <w:textAlignment w:val="center"/>
                    <w:rPr>
                      <w:kern w:val="0"/>
                      <w:szCs w:val="21"/>
                      <w:lang w:bidi="ar"/>
                    </w:rPr>
                  </w:pPr>
                  <w:r>
                    <w:rPr>
                      <w:kern w:val="0"/>
                      <w:szCs w:val="21"/>
                      <w:lang w:bidi="ar"/>
                    </w:rPr>
                    <w:t>150</w:t>
                  </w:r>
                </w:p>
                <w:p w14:paraId="2F823559">
                  <w:pPr>
                    <w:widowControl/>
                    <w:jc w:val="center"/>
                    <w:textAlignment w:val="center"/>
                    <w:rPr>
                      <w:szCs w:val="21"/>
                    </w:rPr>
                  </w:pPr>
                  <w:r>
                    <w:rPr>
                      <w:szCs w:val="21"/>
                    </w:rPr>
                    <w:t>mg/m</w:t>
                  </w:r>
                  <w:r>
                    <w:rPr>
                      <w:szCs w:val="21"/>
                      <w:vertAlign w:val="superscript"/>
                    </w:rPr>
                    <w:t>3</w:t>
                  </w:r>
                </w:p>
              </w:tc>
            </w:tr>
            <w:tr w14:paraId="1F8C1A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47" w:type="pct"/>
                  <w:vMerge w:val="continue"/>
                  <w:vAlign w:val="center"/>
                </w:tcPr>
                <w:p w14:paraId="4BA9DC49">
                  <w:pPr>
                    <w:pStyle w:val="50"/>
                    <w:adjustRightInd/>
                    <w:snapToGrid/>
                    <w:spacing w:beforeLines="0" w:line="240" w:lineRule="auto"/>
                    <w:rPr>
                      <w:rFonts w:ascii="Times New Roman" w:hAnsi="Times New Roman"/>
                      <w:szCs w:val="21"/>
                    </w:rPr>
                  </w:pPr>
                </w:p>
              </w:tc>
              <w:tc>
                <w:tcPr>
                  <w:tcW w:w="247" w:type="pct"/>
                  <w:vMerge w:val="continue"/>
                  <w:vAlign w:val="center"/>
                </w:tcPr>
                <w:p w14:paraId="1EDBCA72">
                  <w:pPr>
                    <w:pStyle w:val="50"/>
                    <w:adjustRightInd/>
                    <w:snapToGrid/>
                    <w:spacing w:beforeLines="0" w:line="240" w:lineRule="auto"/>
                    <w:rPr>
                      <w:rFonts w:ascii="Times New Roman" w:hAnsi="Times New Roman"/>
                      <w:szCs w:val="21"/>
                    </w:rPr>
                  </w:pPr>
                </w:p>
              </w:tc>
              <w:tc>
                <w:tcPr>
                  <w:tcW w:w="369" w:type="pct"/>
                  <w:vAlign w:val="center"/>
                </w:tcPr>
                <w:p w14:paraId="2EDD60E3">
                  <w:pPr>
                    <w:pStyle w:val="50"/>
                    <w:adjustRightInd/>
                    <w:snapToGrid/>
                    <w:spacing w:beforeLines="0" w:line="240" w:lineRule="auto"/>
                    <w:rPr>
                      <w:rFonts w:ascii="Times New Roman" w:hAnsi="Times New Roman"/>
                      <w:szCs w:val="21"/>
                    </w:rPr>
                  </w:pPr>
                  <w:r>
                    <w:rPr>
                      <w:rFonts w:ascii="Times New Roman" w:hAnsi="Times New Roman"/>
                      <w:szCs w:val="21"/>
                    </w:rPr>
                    <w:t>颗粒物</w:t>
                  </w:r>
                </w:p>
              </w:tc>
              <w:tc>
                <w:tcPr>
                  <w:tcW w:w="429" w:type="pct"/>
                  <w:vAlign w:val="center"/>
                </w:tcPr>
                <w:p w14:paraId="30BED762">
                  <w:pPr>
                    <w:adjustRightInd w:val="0"/>
                    <w:jc w:val="center"/>
                    <w:rPr>
                      <w:rFonts w:eastAsia="等线"/>
                      <w:color w:val="000000"/>
                    </w:rPr>
                  </w:pPr>
                  <w:r>
                    <w:rPr>
                      <w:rFonts w:eastAsia="等线"/>
                      <w:color w:val="000000"/>
                    </w:rPr>
                    <w:t>2.952</w:t>
                  </w:r>
                </w:p>
              </w:tc>
              <w:tc>
                <w:tcPr>
                  <w:tcW w:w="391" w:type="pct"/>
                  <w:vAlign w:val="center"/>
                </w:tcPr>
                <w:p w14:paraId="2B853DD9">
                  <w:pPr>
                    <w:adjustRightInd w:val="0"/>
                    <w:jc w:val="center"/>
                    <w:rPr>
                      <w:rFonts w:eastAsia="等线"/>
                      <w:color w:val="000000"/>
                    </w:rPr>
                  </w:pPr>
                  <w:r>
                    <w:rPr>
                      <w:rFonts w:eastAsia="等线"/>
                      <w:color w:val="000000"/>
                    </w:rPr>
                    <w:t>1.08</w:t>
                  </w:r>
                </w:p>
              </w:tc>
              <w:tc>
                <w:tcPr>
                  <w:tcW w:w="464" w:type="pct"/>
                  <w:vAlign w:val="center"/>
                </w:tcPr>
                <w:p w14:paraId="19531246">
                  <w:pPr>
                    <w:adjustRightInd w:val="0"/>
                    <w:jc w:val="center"/>
                    <w:rPr>
                      <w:rFonts w:eastAsia="等线"/>
                      <w:color w:val="000000"/>
                    </w:rPr>
                  </w:pPr>
                  <w:r>
                    <w:rPr>
                      <w:rFonts w:eastAsia="等线"/>
                      <w:color w:val="000000"/>
                    </w:rPr>
                    <w:t>67.38</w:t>
                  </w:r>
                </w:p>
              </w:tc>
              <w:tc>
                <w:tcPr>
                  <w:tcW w:w="247" w:type="pct"/>
                  <w:vMerge w:val="continue"/>
                  <w:vAlign w:val="center"/>
                </w:tcPr>
                <w:p w14:paraId="63AB89D6">
                  <w:pPr>
                    <w:pStyle w:val="50"/>
                    <w:adjustRightInd/>
                    <w:snapToGrid/>
                    <w:spacing w:beforeLines="0" w:line="240" w:lineRule="auto"/>
                    <w:rPr>
                      <w:rFonts w:ascii="Times New Roman" w:hAnsi="Times New Roman"/>
                      <w:szCs w:val="21"/>
                    </w:rPr>
                  </w:pPr>
                </w:p>
              </w:tc>
              <w:tc>
                <w:tcPr>
                  <w:tcW w:w="428" w:type="pct"/>
                  <w:vAlign w:val="center"/>
                </w:tcPr>
                <w:p w14:paraId="20B8AAE0">
                  <w:pPr>
                    <w:pStyle w:val="93"/>
                    <w:rPr>
                      <w:color w:val="000000"/>
                    </w:rPr>
                  </w:pPr>
                  <w:r>
                    <w:rPr>
                      <w:color w:val="000000"/>
                      <w:szCs w:val="21"/>
                    </w:rPr>
                    <w:t>布袋除尘</w:t>
                  </w:r>
                </w:p>
              </w:tc>
              <w:tc>
                <w:tcPr>
                  <w:tcW w:w="591" w:type="pct"/>
                  <w:vAlign w:val="center"/>
                </w:tcPr>
                <w:p w14:paraId="3F2642B5">
                  <w:pPr>
                    <w:widowControl/>
                    <w:jc w:val="center"/>
                    <w:textAlignment w:val="center"/>
                    <w:rPr>
                      <w:szCs w:val="21"/>
                    </w:rPr>
                  </w:pPr>
                  <w:r>
                    <w:rPr>
                      <w:kern w:val="0"/>
                      <w:szCs w:val="21"/>
                      <w:lang w:bidi="ar"/>
                    </w:rPr>
                    <w:t>2.02</w:t>
                  </w:r>
                </w:p>
              </w:tc>
              <w:tc>
                <w:tcPr>
                  <w:tcW w:w="477" w:type="pct"/>
                  <w:vAlign w:val="center"/>
                </w:tcPr>
                <w:p w14:paraId="125E2F9A">
                  <w:pPr>
                    <w:widowControl/>
                    <w:jc w:val="center"/>
                    <w:textAlignment w:val="center"/>
                    <w:rPr>
                      <w:kern w:val="0"/>
                      <w:szCs w:val="21"/>
                      <w:lang w:bidi="ar"/>
                    </w:rPr>
                  </w:pPr>
                  <w:r>
                    <w:rPr>
                      <w:kern w:val="0"/>
                      <w:szCs w:val="21"/>
                      <w:lang w:bidi="ar"/>
                    </w:rPr>
                    <w:t>0.032</w:t>
                  </w:r>
                </w:p>
              </w:tc>
              <w:tc>
                <w:tcPr>
                  <w:tcW w:w="477" w:type="pct"/>
                  <w:vAlign w:val="center"/>
                </w:tcPr>
                <w:p w14:paraId="53ADCFCE">
                  <w:pPr>
                    <w:widowControl/>
                    <w:jc w:val="center"/>
                    <w:textAlignment w:val="center"/>
                    <w:rPr>
                      <w:szCs w:val="21"/>
                    </w:rPr>
                  </w:pPr>
                  <w:r>
                    <w:rPr>
                      <w:kern w:val="0"/>
                      <w:szCs w:val="21"/>
                      <w:lang w:bidi="ar"/>
                    </w:rPr>
                    <w:t>0.078</w:t>
                  </w:r>
                </w:p>
              </w:tc>
              <w:tc>
                <w:tcPr>
                  <w:tcW w:w="632" w:type="pct"/>
                  <w:vAlign w:val="center"/>
                </w:tcPr>
                <w:p w14:paraId="72D189ED">
                  <w:pPr>
                    <w:widowControl/>
                    <w:jc w:val="center"/>
                    <w:textAlignment w:val="center"/>
                    <w:rPr>
                      <w:szCs w:val="21"/>
                    </w:rPr>
                  </w:pPr>
                  <w:r>
                    <w:rPr>
                      <w:kern w:val="0"/>
                      <w:szCs w:val="21"/>
                      <w:lang w:bidi="ar"/>
                    </w:rPr>
                    <w:t>20</w:t>
                  </w:r>
                  <w:r>
                    <w:rPr>
                      <w:szCs w:val="21"/>
                    </w:rPr>
                    <w:t>mg/m</w:t>
                  </w:r>
                  <w:r>
                    <w:rPr>
                      <w:szCs w:val="21"/>
                      <w:vertAlign w:val="superscript"/>
                    </w:rPr>
                    <w:t>3</w:t>
                  </w:r>
                </w:p>
              </w:tc>
            </w:tr>
            <w:tr w14:paraId="1C6C51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47" w:type="pct"/>
                  <w:vMerge w:val="restart"/>
                  <w:vAlign w:val="center"/>
                </w:tcPr>
                <w:p w14:paraId="7E0BAAD3">
                  <w:pPr>
                    <w:pStyle w:val="50"/>
                    <w:adjustRightInd/>
                    <w:snapToGrid/>
                    <w:spacing w:beforeLines="0" w:line="240" w:lineRule="auto"/>
                    <w:rPr>
                      <w:rFonts w:ascii="Times New Roman" w:hAnsi="Times New Roman"/>
                      <w:szCs w:val="21"/>
                    </w:rPr>
                  </w:pPr>
                  <w:r>
                    <w:rPr>
                      <w:rFonts w:ascii="Times New Roman" w:hAnsi="Times New Roman"/>
                      <w:szCs w:val="21"/>
                    </w:rPr>
                    <w:t>2</w:t>
                  </w:r>
                </w:p>
              </w:tc>
              <w:tc>
                <w:tcPr>
                  <w:tcW w:w="247" w:type="pct"/>
                  <w:vMerge w:val="restart"/>
                  <w:vAlign w:val="center"/>
                </w:tcPr>
                <w:p w14:paraId="665FEF64">
                  <w:pPr>
                    <w:pStyle w:val="50"/>
                    <w:adjustRightInd/>
                    <w:snapToGrid/>
                    <w:spacing w:beforeLines="0" w:line="240" w:lineRule="auto"/>
                    <w:rPr>
                      <w:rFonts w:ascii="Times New Roman" w:hAnsi="Times New Roman"/>
                      <w:szCs w:val="21"/>
                    </w:rPr>
                  </w:pPr>
                  <w:r>
                    <w:rPr>
                      <w:rFonts w:ascii="Times New Roman" w:hAnsi="Times New Roman"/>
                      <w:szCs w:val="21"/>
                    </w:rPr>
                    <w:t>天然气燃烧</w:t>
                  </w:r>
                </w:p>
              </w:tc>
              <w:tc>
                <w:tcPr>
                  <w:tcW w:w="369" w:type="pct"/>
                  <w:vAlign w:val="center"/>
                </w:tcPr>
                <w:p w14:paraId="334DD653">
                  <w:pPr>
                    <w:pStyle w:val="50"/>
                    <w:adjustRightInd/>
                    <w:snapToGrid/>
                    <w:spacing w:beforeLines="0" w:line="240" w:lineRule="auto"/>
                    <w:rPr>
                      <w:rFonts w:ascii="Times New Roman" w:hAnsi="Times New Roman"/>
                      <w:szCs w:val="21"/>
                    </w:rPr>
                  </w:pPr>
                  <w:r>
                    <w:rPr>
                      <w:rFonts w:ascii="Times New Roman" w:hAnsi="Times New Roman"/>
                      <w:szCs w:val="21"/>
                    </w:rPr>
                    <w:t>SO</w:t>
                  </w:r>
                  <w:r>
                    <w:rPr>
                      <w:rFonts w:ascii="Times New Roman" w:hAnsi="Times New Roman"/>
                      <w:szCs w:val="21"/>
                      <w:vertAlign w:val="subscript"/>
                    </w:rPr>
                    <w:t>2</w:t>
                  </w:r>
                </w:p>
              </w:tc>
              <w:tc>
                <w:tcPr>
                  <w:tcW w:w="429" w:type="pct"/>
                  <w:vAlign w:val="center"/>
                </w:tcPr>
                <w:p w14:paraId="6171DD15">
                  <w:pPr>
                    <w:adjustRightInd w:val="0"/>
                    <w:jc w:val="center"/>
                    <w:rPr>
                      <w:rFonts w:eastAsia="等线"/>
                      <w:color w:val="000000"/>
                    </w:rPr>
                  </w:pPr>
                  <w:r>
                    <w:rPr>
                      <w:rFonts w:eastAsia="等线"/>
                      <w:color w:val="000000"/>
                    </w:rPr>
                    <w:t>/</w:t>
                  </w:r>
                </w:p>
              </w:tc>
              <w:tc>
                <w:tcPr>
                  <w:tcW w:w="391" w:type="pct"/>
                  <w:vAlign w:val="center"/>
                </w:tcPr>
                <w:p w14:paraId="0928A270">
                  <w:pPr>
                    <w:adjustRightInd w:val="0"/>
                    <w:jc w:val="center"/>
                    <w:rPr>
                      <w:rFonts w:eastAsia="等线"/>
                      <w:color w:val="000000"/>
                    </w:rPr>
                  </w:pPr>
                  <w:r>
                    <w:rPr>
                      <w:rFonts w:eastAsia="等线"/>
                      <w:color w:val="000000"/>
                    </w:rPr>
                    <w:t>/</w:t>
                  </w:r>
                </w:p>
              </w:tc>
              <w:tc>
                <w:tcPr>
                  <w:tcW w:w="464" w:type="pct"/>
                  <w:vAlign w:val="center"/>
                </w:tcPr>
                <w:p w14:paraId="590D793A">
                  <w:pPr>
                    <w:adjustRightInd w:val="0"/>
                    <w:jc w:val="center"/>
                    <w:rPr>
                      <w:rFonts w:eastAsia="等线"/>
                      <w:color w:val="000000"/>
                    </w:rPr>
                  </w:pPr>
                  <w:r>
                    <w:rPr>
                      <w:rFonts w:eastAsia="等线"/>
                      <w:color w:val="000000"/>
                    </w:rPr>
                    <w:t>/</w:t>
                  </w:r>
                </w:p>
              </w:tc>
              <w:tc>
                <w:tcPr>
                  <w:tcW w:w="247" w:type="pct"/>
                  <w:vMerge w:val="restart"/>
                  <w:vAlign w:val="center"/>
                </w:tcPr>
                <w:p w14:paraId="4B578DB2">
                  <w:pPr>
                    <w:pStyle w:val="50"/>
                    <w:adjustRightInd/>
                    <w:snapToGrid/>
                    <w:spacing w:beforeLines="0" w:line="240" w:lineRule="auto"/>
                    <w:rPr>
                      <w:rFonts w:ascii="Times New Roman" w:hAnsi="Times New Roman"/>
                      <w:szCs w:val="21"/>
                    </w:rPr>
                  </w:pPr>
                  <w:r>
                    <w:rPr>
                      <w:rFonts w:ascii="Times New Roman" w:hAnsi="Times New Roman"/>
                      <w:szCs w:val="21"/>
                    </w:rPr>
                    <w:t>无组织</w:t>
                  </w:r>
                </w:p>
              </w:tc>
              <w:tc>
                <w:tcPr>
                  <w:tcW w:w="428" w:type="pct"/>
                  <w:vMerge w:val="restart"/>
                  <w:vAlign w:val="center"/>
                </w:tcPr>
                <w:p w14:paraId="406AD607">
                  <w:pPr>
                    <w:pStyle w:val="127"/>
                    <w:jc w:val="center"/>
                  </w:pPr>
                  <w:r>
                    <w:t>加强通风</w:t>
                  </w:r>
                </w:p>
              </w:tc>
              <w:tc>
                <w:tcPr>
                  <w:tcW w:w="591" w:type="pct"/>
                  <w:vAlign w:val="center"/>
                </w:tcPr>
                <w:p w14:paraId="6AEBD2D1">
                  <w:pPr>
                    <w:widowControl/>
                    <w:jc w:val="center"/>
                    <w:textAlignment w:val="center"/>
                    <w:rPr>
                      <w:kern w:val="0"/>
                      <w:szCs w:val="21"/>
                      <w:lang w:bidi="ar"/>
                    </w:rPr>
                  </w:pPr>
                  <w:r>
                    <w:rPr>
                      <w:kern w:val="0"/>
                      <w:szCs w:val="21"/>
                      <w:lang w:bidi="ar"/>
                    </w:rPr>
                    <w:t>/</w:t>
                  </w:r>
                </w:p>
              </w:tc>
              <w:tc>
                <w:tcPr>
                  <w:tcW w:w="477" w:type="pct"/>
                  <w:vAlign w:val="center"/>
                </w:tcPr>
                <w:p w14:paraId="187DC170">
                  <w:pPr>
                    <w:widowControl/>
                    <w:jc w:val="center"/>
                    <w:textAlignment w:val="center"/>
                    <w:rPr>
                      <w:kern w:val="0"/>
                      <w:szCs w:val="21"/>
                      <w:lang w:bidi="ar"/>
                    </w:rPr>
                  </w:pPr>
                  <w:r>
                    <w:rPr>
                      <w:kern w:val="0"/>
                      <w:szCs w:val="21"/>
                      <w:lang w:bidi="ar"/>
                    </w:rPr>
                    <w:t>/</w:t>
                  </w:r>
                </w:p>
              </w:tc>
              <w:tc>
                <w:tcPr>
                  <w:tcW w:w="477" w:type="pct"/>
                  <w:vAlign w:val="center"/>
                </w:tcPr>
                <w:p w14:paraId="29679FE6">
                  <w:pPr>
                    <w:widowControl/>
                    <w:jc w:val="center"/>
                    <w:textAlignment w:val="center"/>
                    <w:rPr>
                      <w:kern w:val="0"/>
                      <w:szCs w:val="21"/>
                      <w:lang w:bidi="ar"/>
                    </w:rPr>
                  </w:pPr>
                  <w:r>
                    <w:rPr>
                      <w:kern w:val="0"/>
                      <w:szCs w:val="21"/>
                      <w:lang w:bidi="ar"/>
                    </w:rPr>
                    <w:t>/</w:t>
                  </w:r>
                </w:p>
              </w:tc>
              <w:tc>
                <w:tcPr>
                  <w:tcW w:w="632" w:type="pct"/>
                  <w:vAlign w:val="center"/>
                </w:tcPr>
                <w:p w14:paraId="6114253E">
                  <w:pPr>
                    <w:widowControl/>
                    <w:jc w:val="center"/>
                    <w:textAlignment w:val="center"/>
                    <w:rPr>
                      <w:kern w:val="0"/>
                      <w:szCs w:val="21"/>
                      <w:lang w:bidi="ar"/>
                    </w:rPr>
                  </w:pPr>
                  <w:r>
                    <w:rPr>
                      <w:kern w:val="0"/>
                      <w:szCs w:val="21"/>
                      <w:lang w:bidi="ar"/>
                    </w:rPr>
                    <w:t>0.4</w:t>
                  </w:r>
                  <w:r>
                    <w:rPr>
                      <w:szCs w:val="21"/>
                    </w:rPr>
                    <w:t>mg/m</w:t>
                  </w:r>
                  <w:r>
                    <w:rPr>
                      <w:szCs w:val="21"/>
                      <w:vertAlign w:val="superscript"/>
                    </w:rPr>
                    <w:t>3</w:t>
                  </w:r>
                </w:p>
              </w:tc>
            </w:tr>
            <w:tr w14:paraId="0A144F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47" w:type="pct"/>
                  <w:vMerge w:val="continue"/>
                  <w:vAlign w:val="center"/>
                </w:tcPr>
                <w:p w14:paraId="4022B64A">
                  <w:pPr>
                    <w:pStyle w:val="50"/>
                    <w:adjustRightInd/>
                    <w:snapToGrid/>
                    <w:spacing w:beforeLines="0" w:line="240" w:lineRule="auto"/>
                    <w:rPr>
                      <w:rFonts w:ascii="Times New Roman" w:hAnsi="Times New Roman"/>
                      <w:szCs w:val="21"/>
                    </w:rPr>
                  </w:pPr>
                </w:p>
              </w:tc>
              <w:tc>
                <w:tcPr>
                  <w:tcW w:w="247" w:type="pct"/>
                  <w:vMerge w:val="continue"/>
                  <w:vAlign w:val="center"/>
                </w:tcPr>
                <w:p w14:paraId="56718A9F">
                  <w:pPr>
                    <w:pStyle w:val="50"/>
                    <w:adjustRightInd/>
                    <w:snapToGrid/>
                    <w:spacing w:beforeLines="0" w:line="240" w:lineRule="auto"/>
                    <w:rPr>
                      <w:rFonts w:ascii="Times New Roman" w:hAnsi="Times New Roman"/>
                      <w:szCs w:val="21"/>
                    </w:rPr>
                  </w:pPr>
                </w:p>
              </w:tc>
              <w:tc>
                <w:tcPr>
                  <w:tcW w:w="369" w:type="pct"/>
                  <w:vAlign w:val="center"/>
                </w:tcPr>
                <w:p w14:paraId="631A16FF">
                  <w:pPr>
                    <w:pStyle w:val="50"/>
                    <w:adjustRightInd/>
                    <w:snapToGrid/>
                    <w:spacing w:beforeLines="0" w:line="240" w:lineRule="auto"/>
                    <w:rPr>
                      <w:rFonts w:ascii="Times New Roman" w:hAnsi="Times New Roman"/>
                      <w:szCs w:val="21"/>
                    </w:rPr>
                  </w:pPr>
                  <w:r>
                    <w:rPr>
                      <w:rFonts w:ascii="Times New Roman" w:hAnsi="Times New Roman"/>
                      <w:szCs w:val="21"/>
                    </w:rPr>
                    <w:t>NO</w:t>
                  </w:r>
                  <w:r>
                    <w:rPr>
                      <w:rFonts w:ascii="Times New Roman" w:hAnsi="Times New Roman"/>
                      <w:szCs w:val="21"/>
                      <w:vertAlign w:val="subscript"/>
                    </w:rPr>
                    <w:t>X</w:t>
                  </w:r>
                </w:p>
              </w:tc>
              <w:tc>
                <w:tcPr>
                  <w:tcW w:w="429" w:type="pct"/>
                  <w:vAlign w:val="center"/>
                </w:tcPr>
                <w:p w14:paraId="334B1BD6">
                  <w:pPr>
                    <w:adjustRightInd w:val="0"/>
                    <w:jc w:val="center"/>
                    <w:rPr>
                      <w:rFonts w:eastAsia="等线"/>
                      <w:color w:val="000000"/>
                    </w:rPr>
                  </w:pPr>
                  <w:r>
                    <w:rPr>
                      <w:rFonts w:eastAsia="等线"/>
                      <w:color w:val="000000"/>
                    </w:rPr>
                    <w:t>/</w:t>
                  </w:r>
                </w:p>
              </w:tc>
              <w:tc>
                <w:tcPr>
                  <w:tcW w:w="391" w:type="pct"/>
                  <w:vAlign w:val="center"/>
                </w:tcPr>
                <w:p w14:paraId="32097B1B">
                  <w:pPr>
                    <w:adjustRightInd w:val="0"/>
                    <w:jc w:val="center"/>
                    <w:rPr>
                      <w:rFonts w:eastAsia="等线"/>
                      <w:color w:val="000000"/>
                    </w:rPr>
                  </w:pPr>
                  <w:r>
                    <w:rPr>
                      <w:rFonts w:eastAsia="等线"/>
                      <w:color w:val="000000"/>
                    </w:rPr>
                    <w:t>/</w:t>
                  </w:r>
                </w:p>
              </w:tc>
              <w:tc>
                <w:tcPr>
                  <w:tcW w:w="464" w:type="pct"/>
                  <w:vAlign w:val="center"/>
                </w:tcPr>
                <w:p w14:paraId="5ACE4266">
                  <w:pPr>
                    <w:adjustRightInd w:val="0"/>
                    <w:jc w:val="center"/>
                    <w:rPr>
                      <w:rFonts w:eastAsia="等线"/>
                      <w:color w:val="000000"/>
                    </w:rPr>
                  </w:pPr>
                  <w:r>
                    <w:rPr>
                      <w:rFonts w:eastAsia="等线"/>
                      <w:color w:val="000000"/>
                    </w:rPr>
                    <w:t>/</w:t>
                  </w:r>
                </w:p>
              </w:tc>
              <w:tc>
                <w:tcPr>
                  <w:tcW w:w="247" w:type="pct"/>
                  <w:vMerge w:val="continue"/>
                  <w:vAlign w:val="center"/>
                </w:tcPr>
                <w:p w14:paraId="3AA049C2">
                  <w:pPr>
                    <w:pStyle w:val="50"/>
                    <w:adjustRightInd/>
                    <w:snapToGrid/>
                    <w:spacing w:beforeLines="0" w:line="240" w:lineRule="auto"/>
                    <w:rPr>
                      <w:rFonts w:ascii="Times New Roman" w:hAnsi="Times New Roman"/>
                      <w:szCs w:val="21"/>
                    </w:rPr>
                  </w:pPr>
                </w:p>
              </w:tc>
              <w:tc>
                <w:tcPr>
                  <w:tcW w:w="428" w:type="pct"/>
                  <w:vMerge w:val="continue"/>
                  <w:vAlign w:val="center"/>
                </w:tcPr>
                <w:p w14:paraId="413BC49C">
                  <w:pPr>
                    <w:pStyle w:val="127"/>
                    <w:jc w:val="center"/>
                  </w:pPr>
                </w:p>
              </w:tc>
              <w:tc>
                <w:tcPr>
                  <w:tcW w:w="591" w:type="pct"/>
                  <w:vAlign w:val="center"/>
                </w:tcPr>
                <w:p w14:paraId="4FFDE701">
                  <w:pPr>
                    <w:adjustRightInd w:val="0"/>
                    <w:jc w:val="center"/>
                    <w:rPr>
                      <w:rFonts w:eastAsia="等线"/>
                      <w:color w:val="000000"/>
                    </w:rPr>
                  </w:pPr>
                  <w:r>
                    <w:rPr>
                      <w:rFonts w:eastAsia="等线"/>
                      <w:color w:val="000000"/>
                    </w:rPr>
                    <w:t>/</w:t>
                  </w:r>
                </w:p>
              </w:tc>
              <w:tc>
                <w:tcPr>
                  <w:tcW w:w="477" w:type="pct"/>
                  <w:vAlign w:val="center"/>
                </w:tcPr>
                <w:p w14:paraId="379A2DAD">
                  <w:pPr>
                    <w:adjustRightInd w:val="0"/>
                    <w:jc w:val="center"/>
                    <w:rPr>
                      <w:rFonts w:eastAsia="等线"/>
                      <w:color w:val="000000"/>
                    </w:rPr>
                  </w:pPr>
                  <w:r>
                    <w:rPr>
                      <w:rFonts w:eastAsia="等线"/>
                      <w:color w:val="000000"/>
                    </w:rPr>
                    <w:t>/</w:t>
                  </w:r>
                </w:p>
              </w:tc>
              <w:tc>
                <w:tcPr>
                  <w:tcW w:w="477" w:type="pct"/>
                  <w:vAlign w:val="center"/>
                </w:tcPr>
                <w:p w14:paraId="357B33D1">
                  <w:pPr>
                    <w:adjustRightInd w:val="0"/>
                    <w:jc w:val="center"/>
                    <w:rPr>
                      <w:rFonts w:eastAsia="等线"/>
                      <w:color w:val="000000"/>
                    </w:rPr>
                  </w:pPr>
                  <w:r>
                    <w:rPr>
                      <w:rFonts w:eastAsia="等线"/>
                      <w:color w:val="000000"/>
                    </w:rPr>
                    <w:t>/</w:t>
                  </w:r>
                </w:p>
              </w:tc>
              <w:tc>
                <w:tcPr>
                  <w:tcW w:w="632" w:type="pct"/>
                  <w:vAlign w:val="center"/>
                </w:tcPr>
                <w:p w14:paraId="7304BB53">
                  <w:pPr>
                    <w:widowControl/>
                    <w:jc w:val="center"/>
                    <w:textAlignment w:val="center"/>
                    <w:rPr>
                      <w:kern w:val="0"/>
                      <w:szCs w:val="21"/>
                      <w:lang w:bidi="ar"/>
                    </w:rPr>
                  </w:pPr>
                  <w:r>
                    <w:rPr>
                      <w:kern w:val="0"/>
                      <w:szCs w:val="21"/>
                      <w:lang w:bidi="ar"/>
                    </w:rPr>
                    <w:t>0.12</w:t>
                  </w:r>
                  <w:r>
                    <w:rPr>
                      <w:szCs w:val="21"/>
                    </w:rPr>
                    <w:t xml:space="preserve"> mg/m</w:t>
                  </w:r>
                  <w:r>
                    <w:rPr>
                      <w:szCs w:val="21"/>
                      <w:vertAlign w:val="superscript"/>
                    </w:rPr>
                    <w:t>3</w:t>
                  </w:r>
                </w:p>
              </w:tc>
            </w:tr>
            <w:tr w14:paraId="2D949F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47" w:type="pct"/>
                  <w:vMerge w:val="continue"/>
                  <w:vAlign w:val="center"/>
                </w:tcPr>
                <w:p w14:paraId="675B96B0">
                  <w:pPr>
                    <w:pStyle w:val="50"/>
                    <w:adjustRightInd/>
                    <w:snapToGrid/>
                    <w:spacing w:beforeLines="0" w:line="240" w:lineRule="auto"/>
                    <w:rPr>
                      <w:rFonts w:ascii="Times New Roman" w:hAnsi="Times New Roman"/>
                      <w:szCs w:val="21"/>
                    </w:rPr>
                  </w:pPr>
                </w:p>
              </w:tc>
              <w:tc>
                <w:tcPr>
                  <w:tcW w:w="247" w:type="pct"/>
                  <w:vMerge w:val="continue"/>
                  <w:vAlign w:val="center"/>
                </w:tcPr>
                <w:p w14:paraId="2FA7F4AB">
                  <w:pPr>
                    <w:pStyle w:val="50"/>
                    <w:adjustRightInd/>
                    <w:snapToGrid/>
                    <w:spacing w:beforeLines="0" w:line="240" w:lineRule="auto"/>
                    <w:rPr>
                      <w:rFonts w:ascii="Times New Roman" w:hAnsi="Times New Roman"/>
                      <w:szCs w:val="21"/>
                    </w:rPr>
                  </w:pPr>
                </w:p>
              </w:tc>
              <w:tc>
                <w:tcPr>
                  <w:tcW w:w="369" w:type="pct"/>
                  <w:vAlign w:val="center"/>
                </w:tcPr>
                <w:p w14:paraId="419D9600">
                  <w:pPr>
                    <w:pStyle w:val="50"/>
                    <w:adjustRightInd/>
                    <w:snapToGrid/>
                    <w:spacing w:beforeLines="0" w:line="240" w:lineRule="auto"/>
                    <w:rPr>
                      <w:rFonts w:ascii="Times New Roman" w:hAnsi="Times New Roman"/>
                      <w:szCs w:val="21"/>
                    </w:rPr>
                  </w:pPr>
                  <w:r>
                    <w:rPr>
                      <w:rFonts w:ascii="Times New Roman" w:hAnsi="Times New Roman"/>
                      <w:szCs w:val="21"/>
                    </w:rPr>
                    <w:t>颗粒物</w:t>
                  </w:r>
                </w:p>
              </w:tc>
              <w:tc>
                <w:tcPr>
                  <w:tcW w:w="429" w:type="pct"/>
                  <w:vAlign w:val="center"/>
                </w:tcPr>
                <w:p w14:paraId="6DBF1537">
                  <w:pPr>
                    <w:adjustRightInd w:val="0"/>
                    <w:jc w:val="center"/>
                    <w:rPr>
                      <w:rFonts w:eastAsia="等线"/>
                      <w:color w:val="000000"/>
                    </w:rPr>
                  </w:pPr>
                  <w:r>
                    <w:rPr>
                      <w:rFonts w:eastAsia="等线"/>
                      <w:color w:val="000000"/>
                    </w:rPr>
                    <w:t>/</w:t>
                  </w:r>
                </w:p>
              </w:tc>
              <w:tc>
                <w:tcPr>
                  <w:tcW w:w="391" w:type="pct"/>
                  <w:vAlign w:val="center"/>
                </w:tcPr>
                <w:p w14:paraId="119905B5">
                  <w:pPr>
                    <w:adjustRightInd w:val="0"/>
                    <w:jc w:val="center"/>
                    <w:rPr>
                      <w:rFonts w:eastAsia="等线"/>
                      <w:color w:val="000000"/>
                    </w:rPr>
                  </w:pPr>
                  <w:r>
                    <w:rPr>
                      <w:rFonts w:eastAsia="等线"/>
                      <w:color w:val="000000"/>
                    </w:rPr>
                    <w:t>/</w:t>
                  </w:r>
                </w:p>
              </w:tc>
              <w:tc>
                <w:tcPr>
                  <w:tcW w:w="464" w:type="pct"/>
                  <w:vAlign w:val="center"/>
                </w:tcPr>
                <w:p w14:paraId="21B9C6CC">
                  <w:pPr>
                    <w:adjustRightInd w:val="0"/>
                    <w:jc w:val="center"/>
                    <w:rPr>
                      <w:rFonts w:eastAsia="等线"/>
                      <w:color w:val="000000"/>
                    </w:rPr>
                  </w:pPr>
                  <w:r>
                    <w:rPr>
                      <w:rFonts w:eastAsia="等线"/>
                      <w:color w:val="000000"/>
                    </w:rPr>
                    <w:t>/</w:t>
                  </w:r>
                </w:p>
              </w:tc>
              <w:tc>
                <w:tcPr>
                  <w:tcW w:w="247" w:type="pct"/>
                  <w:vMerge w:val="continue"/>
                  <w:vAlign w:val="center"/>
                </w:tcPr>
                <w:p w14:paraId="682A4423">
                  <w:pPr>
                    <w:pStyle w:val="50"/>
                    <w:adjustRightInd/>
                    <w:snapToGrid/>
                    <w:spacing w:beforeLines="0" w:line="240" w:lineRule="auto"/>
                    <w:rPr>
                      <w:rFonts w:ascii="Times New Roman" w:hAnsi="Times New Roman"/>
                      <w:szCs w:val="21"/>
                    </w:rPr>
                  </w:pPr>
                </w:p>
              </w:tc>
              <w:tc>
                <w:tcPr>
                  <w:tcW w:w="428" w:type="pct"/>
                  <w:vMerge w:val="continue"/>
                  <w:vAlign w:val="center"/>
                </w:tcPr>
                <w:p w14:paraId="6A8E1B69">
                  <w:pPr>
                    <w:pStyle w:val="127"/>
                    <w:jc w:val="center"/>
                  </w:pPr>
                </w:p>
              </w:tc>
              <w:tc>
                <w:tcPr>
                  <w:tcW w:w="591" w:type="pct"/>
                  <w:vAlign w:val="center"/>
                </w:tcPr>
                <w:p w14:paraId="32F0F955">
                  <w:pPr>
                    <w:adjustRightInd w:val="0"/>
                    <w:jc w:val="center"/>
                    <w:rPr>
                      <w:rFonts w:eastAsia="等线"/>
                      <w:color w:val="000000"/>
                    </w:rPr>
                  </w:pPr>
                  <w:r>
                    <w:rPr>
                      <w:rFonts w:eastAsia="等线"/>
                      <w:color w:val="000000"/>
                    </w:rPr>
                    <w:t>/</w:t>
                  </w:r>
                </w:p>
              </w:tc>
              <w:tc>
                <w:tcPr>
                  <w:tcW w:w="477" w:type="pct"/>
                  <w:vAlign w:val="center"/>
                </w:tcPr>
                <w:p w14:paraId="3D5E986A">
                  <w:pPr>
                    <w:adjustRightInd w:val="0"/>
                    <w:jc w:val="center"/>
                    <w:rPr>
                      <w:rFonts w:eastAsia="等线"/>
                      <w:color w:val="000000"/>
                    </w:rPr>
                  </w:pPr>
                  <w:r>
                    <w:rPr>
                      <w:rFonts w:eastAsia="等线"/>
                      <w:color w:val="000000"/>
                    </w:rPr>
                    <w:t>/</w:t>
                  </w:r>
                </w:p>
              </w:tc>
              <w:tc>
                <w:tcPr>
                  <w:tcW w:w="477" w:type="pct"/>
                  <w:vAlign w:val="center"/>
                </w:tcPr>
                <w:p w14:paraId="20AB44A4">
                  <w:pPr>
                    <w:adjustRightInd w:val="0"/>
                    <w:jc w:val="center"/>
                    <w:rPr>
                      <w:rFonts w:eastAsia="等线"/>
                      <w:color w:val="000000"/>
                    </w:rPr>
                  </w:pPr>
                  <w:r>
                    <w:rPr>
                      <w:rFonts w:eastAsia="等线"/>
                      <w:color w:val="000000"/>
                    </w:rPr>
                    <w:t>/</w:t>
                  </w:r>
                </w:p>
              </w:tc>
              <w:tc>
                <w:tcPr>
                  <w:tcW w:w="632" w:type="pct"/>
                  <w:vAlign w:val="center"/>
                </w:tcPr>
                <w:p w14:paraId="45D87397">
                  <w:pPr>
                    <w:widowControl/>
                    <w:jc w:val="center"/>
                    <w:textAlignment w:val="center"/>
                    <w:rPr>
                      <w:kern w:val="0"/>
                      <w:szCs w:val="21"/>
                      <w:lang w:bidi="ar"/>
                    </w:rPr>
                  </w:pPr>
                  <w:r>
                    <w:rPr>
                      <w:kern w:val="0"/>
                      <w:szCs w:val="21"/>
                      <w:lang w:bidi="ar"/>
                    </w:rPr>
                    <w:t>1.0</w:t>
                  </w:r>
                  <w:r>
                    <w:rPr>
                      <w:szCs w:val="21"/>
                    </w:rPr>
                    <w:t>mg/m</w:t>
                  </w:r>
                  <w:r>
                    <w:rPr>
                      <w:szCs w:val="21"/>
                      <w:vertAlign w:val="superscript"/>
                    </w:rPr>
                    <w:t>3</w:t>
                  </w:r>
                </w:p>
              </w:tc>
            </w:tr>
            <w:tr w14:paraId="1E3C32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47" w:type="pct"/>
                  <w:vAlign w:val="center"/>
                </w:tcPr>
                <w:p w14:paraId="2105EC82">
                  <w:pPr>
                    <w:pStyle w:val="50"/>
                    <w:spacing w:beforeLines="0"/>
                    <w:rPr>
                      <w:rFonts w:ascii="Times New Roman" w:hAnsi="Times New Roman"/>
                      <w:color w:val="000000"/>
                      <w:szCs w:val="21"/>
                    </w:rPr>
                  </w:pPr>
                  <w:r>
                    <w:rPr>
                      <w:rFonts w:ascii="Times New Roman" w:hAnsi="Times New Roman"/>
                      <w:color w:val="000000"/>
                    </w:rPr>
                    <w:t>3</w:t>
                  </w:r>
                </w:p>
              </w:tc>
              <w:tc>
                <w:tcPr>
                  <w:tcW w:w="247" w:type="pct"/>
                  <w:vAlign w:val="center"/>
                </w:tcPr>
                <w:p w14:paraId="31273618">
                  <w:pPr>
                    <w:pStyle w:val="50"/>
                    <w:spacing w:beforeLines="0"/>
                    <w:rPr>
                      <w:rFonts w:ascii="Times New Roman" w:hAnsi="Times New Roman"/>
                      <w:color w:val="000000"/>
                    </w:rPr>
                  </w:pPr>
                  <w:r>
                    <w:rPr>
                      <w:rFonts w:ascii="Times New Roman" w:hAnsi="Times New Roman"/>
                      <w:color w:val="000000"/>
                    </w:rPr>
                    <w:t>生产异味</w:t>
                  </w:r>
                </w:p>
              </w:tc>
              <w:tc>
                <w:tcPr>
                  <w:tcW w:w="369" w:type="pct"/>
                  <w:vAlign w:val="center"/>
                </w:tcPr>
                <w:p w14:paraId="2DF59A4C">
                  <w:pPr>
                    <w:pStyle w:val="50"/>
                    <w:spacing w:beforeLines="0"/>
                    <w:rPr>
                      <w:rFonts w:ascii="Times New Roman" w:hAnsi="Times New Roman"/>
                      <w:color w:val="000000"/>
                    </w:rPr>
                  </w:pPr>
                  <w:r>
                    <w:rPr>
                      <w:rFonts w:ascii="Times New Roman" w:hAnsi="Times New Roman"/>
                      <w:color w:val="000000"/>
                    </w:rPr>
                    <w:t>臭气浓度</w:t>
                  </w:r>
                </w:p>
              </w:tc>
              <w:tc>
                <w:tcPr>
                  <w:tcW w:w="429" w:type="pct"/>
                  <w:vAlign w:val="center"/>
                </w:tcPr>
                <w:p w14:paraId="33EEC311">
                  <w:pPr>
                    <w:pStyle w:val="50"/>
                    <w:spacing w:beforeLines="0"/>
                    <w:rPr>
                      <w:rFonts w:ascii="Times New Roman" w:hAnsi="Times New Roman"/>
                      <w:color w:val="000000"/>
                    </w:rPr>
                  </w:pPr>
                  <w:r>
                    <w:rPr>
                      <w:rFonts w:ascii="Times New Roman" w:hAnsi="Times New Roman"/>
                      <w:color w:val="000000"/>
                    </w:rPr>
                    <w:t>/</w:t>
                  </w:r>
                </w:p>
              </w:tc>
              <w:tc>
                <w:tcPr>
                  <w:tcW w:w="391" w:type="pct"/>
                  <w:vAlign w:val="center"/>
                </w:tcPr>
                <w:p w14:paraId="218E8D84">
                  <w:pPr>
                    <w:pStyle w:val="50"/>
                    <w:spacing w:beforeLines="0"/>
                    <w:rPr>
                      <w:rFonts w:ascii="Times New Roman" w:hAnsi="Times New Roman"/>
                      <w:color w:val="000000"/>
                    </w:rPr>
                  </w:pPr>
                  <w:r>
                    <w:rPr>
                      <w:rFonts w:ascii="Times New Roman" w:hAnsi="Times New Roman"/>
                      <w:color w:val="000000"/>
                    </w:rPr>
                    <w:t>/</w:t>
                  </w:r>
                </w:p>
              </w:tc>
              <w:tc>
                <w:tcPr>
                  <w:tcW w:w="464" w:type="pct"/>
                  <w:vAlign w:val="center"/>
                </w:tcPr>
                <w:p w14:paraId="20DC9C14">
                  <w:pPr>
                    <w:pStyle w:val="50"/>
                    <w:spacing w:beforeLines="0"/>
                    <w:rPr>
                      <w:rFonts w:ascii="Times New Roman" w:hAnsi="Times New Roman"/>
                      <w:color w:val="000000"/>
                    </w:rPr>
                  </w:pPr>
                  <w:r>
                    <w:rPr>
                      <w:rFonts w:ascii="Times New Roman" w:hAnsi="Times New Roman"/>
                      <w:color w:val="000000"/>
                    </w:rPr>
                    <w:t>/</w:t>
                  </w:r>
                </w:p>
              </w:tc>
              <w:tc>
                <w:tcPr>
                  <w:tcW w:w="247" w:type="pct"/>
                  <w:vAlign w:val="center"/>
                </w:tcPr>
                <w:p w14:paraId="62ED4CFF">
                  <w:pPr>
                    <w:pStyle w:val="50"/>
                    <w:adjustRightInd/>
                    <w:snapToGrid/>
                    <w:spacing w:beforeLines="0" w:line="240" w:lineRule="auto"/>
                    <w:rPr>
                      <w:rFonts w:ascii="Times New Roman" w:hAnsi="Times New Roman"/>
                      <w:szCs w:val="21"/>
                    </w:rPr>
                  </w:pPr>
                  <w:r>
                    <w:rPr>
                      <w:rFonts w:ascii="Times New Roman" w:hAnsi="Times New Roman"/>
                      <w:color w:val="000000"/>
                    </w:rPr>
                    <w:t>无组织</w:t>
                  </w:r>
                </w:p>
              </w:tc>
              <w:tc>
                <w:tcPr>
                  <w:tcW w:w="428" w:type="pct"/>
                  <w:vAlign w:val="center"/>
                </w:tcPr>
                <w:p w14:paraId="3213FA9B">
                  <w:pPr>
                    <w:pStyle w:val="127"/>
                    <w:jc w:val="center"/>
                  </w:pPr>
                  <w:r>
                    <w:t>机械通风</w:t>
                  </w:r>
                </w:p>
              </w:tc>
              <w:tc>
                <w:tcPr>
                  <w:tcW w:w="591" w:type="pct"/>
                  <w:vAlign w:val="center"/>
                </w:tcPr>
                <w:p w14:paraId="36CAF515">
                  <w:pPr>
                    <w:adjustRightInd w:val="0"/>
                    <w:jc w:val="center"/>
                    <w:rPr>
                      <w:rFonts w:eastAsia="等线"/>
                      <w:color w:val="000000"/>
                    </w:rPr>
                  </w:pPr>
                  <w:r>
                    <w:rPr>
                      <w:rFonts w:eastAsia="等线"/>
                      <w:color w:val="000000"/>
                    </w:rPr>
                    <w:t>/</w:t>
                  </w:r>
                </w:p>
              </w:tc>
              <w:tc>
                <w:tcPr>
                  <w:tcW w:w="477" w:type="pct"/>
                  <w:vAlign w:val="center"/>
                </w:tcPr>
                <w:p w14:paraId="73FF96AA">
                  <w:pPr>
                    <w:adjustRightInd w:val="0"/>
                    <w:jc w:val="center"/>
                    <w:rPr>
                      <w:rFonts w:eastAsia="等线"/>
                      <w:color w:val="000000"/>
                    </w:rPr>
                  </w:pPr>
                  <w:r>
                    <w:rPr>
                      <w:rFonts w:eastAsia="等线"/>
                      <w:color w:val="000000"/>
                    </w:rPr>
                    <w:t>/</w:t>
                  </w:r>
                </w:p>
              </w:tc>
              <w:tc>
                <w:tcPr>
                  <w:tcW w:w="477" w:type="pct"/>
                  <w:vAlign w:val="center"/>
                </w:tcPr>
                <w:p w14:paraId="78129445">
                  <w:pPr>
                    <w:adjustRightInd w:val="0"/>
                    <w:jc w:val="center"/>
                    <w:rPr>
                      <w:rFonts w:eastAsia="等线"/>
                      <w:color w:val="000000"/>
                    </w:rPr>
                  </w:pPr>
                  <w:r>
                    <w:rPr>
                      <w:rFonts w:eastAsia="等线"/>
                      <w:color w:val="000000"/>
                    </w:rPr>
                    <w:t>/</w:t>
                  </w:r>
                </w:p>
              </w:tc>
              <w:tc>
                <w:tcPr>
                  <w:tcW w:w="632" w:type="pct"/>
                  <w:vAlign w:val="center"/>
                </w:tcPr>
                <w:p w14:paraId="435A7816">
                  <w:pPr>
                    <w:widowControl/>
                    <w:jc w:val="center"/>
                    <w:textAlignment w:val="center"/>
                    <w:rPr>
                      <w:kern w:val="0"/>
                      <w:szCs w:val="21"/>
                      <w:lang w:bidi="ar"/>
                    </w:rPr>
                  </w:pPr>
                  <w:r>
                    <w:rPr>
                      <w:kern w:val="0"/>
                      <w:szCs w:val="21"/>
                      <w:lang w:bidi="ar"/>
                    </w:rPr>
                    <w:t>/</w:t>
                  </w:r>
                </w:p>
              </w:tc>
            </w:tr>
            <w:tr w14:paraId="39E5A5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47" w:type="pct"/>
                  <w:vAlign w:val="center"/>
                </w:tcPr>
                <w:p w14:paraId="4AE26E56">
                  <w:pPr>
                    <w:pStyle w:val="50"/>
                    <w:spacing w:beforeLines="0"/>
                    <w:rPr>
                      <w:rFonts w:ascii="Times New Roman" w:hAnsi="Times New Roman"/>
                      <w:color w:val="000000"/>
                    </w:rPr>
                  </w:pPr>
                  <w:r>
                    <w:rPr>
                      <w:rFonts w:ascii="Times New Roman" w:hAnsi="Times New Roman"/>
                      <w:color w:val="000000"/>
                    </w:rPr>
                    <w:t>4</w:t>
                  </w:r>
                </w:p>
              </w:tc>
              <w:tc>
                <w:tcPr>
                  <w:tcW w:w="247" w:type="pct"/>
                  <w:vAlign w:val="center"/>
                </w:tcPr>
                <w:p w14:paraId="4171A4A3">
                  <w:pPr>
                    <w:pStyle w:val="50"/>
                    <w:spacing w:beforeLines="0"/>
                    <w:rPr>
                      <w:rFonts w:ascii="Times New Roman" w:hAnsi="Times New Roman"/>
                      <w:color w:val="000000"/>
                    </w:rPr>
                  </w:pPr>
                  <w:r>
                    <w:rPr>
                      <w:rFonts w:ascii="Times New Roman" w:hAnsi="Times New Roman"/>
                      <w:color w:val="000000"/>
                    </w:rPr>
                    <w:t>熬制废气</w:t>
                  </w:r>
                </w:p>
              </w:tc>
              <w:tc>
                <w:tcPr>
                  <w:tcW w:w="369" w:type="pct"/>
                  <w:vAlign w:val="center"/>
                </w:tcPr>
                <w:p w14:paraId="2C5AF89D">
                  <w:pPr>
                    <w:pStyle w:val="50"/>
                    <w:spacing w:beforeLines="0"/>
                    <w:rPr>
                      <w:rFonts w:ascii="Times New Roman" w:hAnsi="Times New Roman"/>
                      <w:color w:val="000000"/>
                    </w:rPr>
                  </w:pPr>
                  <w:r>
                    <w:rPr>
                      <w:rFonts w:ascii="Times New Roman" w:hAnsi="Times New Roman"/>
                      <w:color w:val="000000"/>
                    </w:rPr>
                    <w:t>油烟</w:t>
                  </w:r>
                </w:p>
              </w:tc>
              <w:tc>
                <w:tcPr>
                  <w:tcW w:w="429" w:type="pct"/>
                  <w:vAlign w:val="center"/>
                </w:tcPr>
                <w:p w14:paraId="52D98A7A">
                  <w:pPr>
                    <w:pStyle w:val="50"/>
                    <w:spacing w:beforeLines="0"/>
                    <w:rPr>
                      <w:rFonts w:ascii="Times New Roman" w:hAnsi="Times New Roman"/>
                      <w:color w:val="000000"/>
                    </w:rPr>
                  </w:pPr>
                  <w:r>
                    <w:rPr>
                      <w:rFonts w:ascii="Times New Roman" w:hAnsi="Times New Roman"/>
                      <w:color w:val="000000"/>
                    </w:rPr>
                    <w:t>0.16</w:t>
                  </w:r>
                </w:p>
              </w:tc>
              <w:tc>
                <w:tcPr>
                  <w:tcW w:w="391" w:type="pct"/>
                  <w:vAlign w:val="center"/>
                </w:tcPr>
                <w:p w14:paraId="5CAA7E0D">
                  <w:pPr>
                    <w:pStyle w:val="50"/>
                    <w:spacing w:beforeLines="0"/>
                    <w:rPr>
                      <w:rFonts w:ascii="Times New Roman" w:hAnsi="Times New Roman"/>
                      <w:color w:val="000000"/>
                    </w:rPr>
                  </w:pPr>
                  <w:r>
                    <w:rPr>
                      <w:rFonts w:ascii="Times New Roman" w:hAnsi="Times New Roman"/>
                      <w:color w:val="000000"/>
                    </w:rPr>
                    <w:t>0.067</w:t>
                  </w:r>
                </w:p>
              </w:tc>
              <w:tc>
                <w:tcPr>
                  <w:tcW w:w="464" w:type="pct"/>
                  <w:vAlign w:val="center"/>
                </w:tcPr>
                <w:p w14:paraId="5650BE7D">
                  <w:pPr>
                    <w:pStyle w:val="50"/>
                    <w:spacing w:beforeLines="0"/>
                    <w:rPr>
                      <w:rFonts w:ascii="Times New Roman" w:hAnsi="Times New Roman"/>
                      <w:color w:val="000000"/>
                    </w:rPr>
                  </w:pPr>
                  <w:r>
                    <w:rPr>
                      <w:rFonts w:ascii="Times New Roman" w:hAnsi="Times New Roman"/>
                      <w:color w:val="000000"/>
                    </w:rPr>
                    <w:t>11.11</w:t>
                  </w:r>
                </w:p>
              </w:tc>
              <w:tc>
                <w:tcPr>
                  <w:tcW w:w="247" w:type="pct"/>
                  <w:vAlign w:val="center"/>
                </w:tcPr>
                <w:p w14:paraId="08443173">
                  <w:pPr>
                    <w:pStyle w:val="50"/>
                    <w:adjustRightInd/>
                    <w:snapToGrid/>
                    <w:spacing w:beforeLines="0" w:line="240" w:lineRule="auto"/>
                    <w:rPr>
                      <w:rFonts w:ascii="Times New Roman" w:hAnsi="Times New Roman"/>
                      <w:color w:val="000000"/>
                    </w:rPr>
                  </w:pPr>
                  <w:r>
                    <w:rPr>
                      <w:rFonts w:ascii="Times New Roman" w:hAnsi="Times New Roman"/>
                      <w:color w:val="000000"/>
                    </w:rPr>
                    <w:t>有组织</w:t>
                  </w:r>
                </w:p>
              </w:tc>
              <w:tc>
                <w:tcPr>
                  <w:tcW w:w="428" w:type="pct"/>
                  <w:vAlign w:val="center"/>
                </w:tcPr>
                <w:p w14:paraId="21AC53DE">
                  <w:pPr>
                    <w:pStyle w:val="127"/>
                    <w:jc w:val="center"/>
                  </w:pPr>
                  <w:r>
                    <w:t>油烟净化器</w:t>
                  </w:r>
                </w:p>
              </w:tc>
              <w:tc>
                <w:tcPr>
                  <w:tcW w:w="591" w:type="pct"/>
                  <w:vAlign w:val="center"/>
                </w:tcPr>
                <w:p w14:paraId="59AADE94">
                  <w:pPr>
                    <w:adjustRightInd w:val="0"/>
                    <w:jc w:val="center"/>
                    <w:rPr>
                      <w:rFonts w:eastAsia="等线"/>
                      <w:color w:val="000000"/>
                    </w:rPr>
                  </w:pPr>
                  <w:r>
                    <w:rPr>
                      <w:rFonts w:eastAsia="等线"/>
                      <w:color w:val="000000"/>
                    </w:rPr>
                    <w:t>1.67</w:t>
                  </w:r>
                </w:p>
              </w:tc>
              <w:tc>
                <w:tcPr>
                  <w:tcW w:w="477" w:type="pct"/>
                  <w:vAlign w:val="center"/>
                </w:tcPr>
                <w:p w14:paraId="589D6450">
                  <w:pPr>
                    <w:adjustRightInd w:val="0"/>
                    <w:jc w:val="center"/>
                    <w:rPr>
                      <w:rFonts w:eastAsia="等线"/>
                      <w:color w:val="000000"/>
                    </w:rPr>
                  </w:pPr>
                  <w:r>
                    <w:rPr>
                      <w:rFonts w:eastAsia="等线"/>
                      <w:color w:val="000000"/>
                    </w:rPr>
                    <w:t>0.01</w:t>
                  </w:r>
                </w:p>
              </w:tc>
              <w:tc>
                <w:tcPr>
                  <w:tcW w:w="477" w:type="pct"/>
                  <w:vAlign w:val="center"/>
                </w:tcPr>
                <w:p w14:paraId="5E2FA2FE">
                  <w:pPr>
                    <w:adjustRightInd w:val="0"/>
                    <w:jc w:val="center"/>
                    <w:rPr>
                      <w:rFonts w:eastAsia="等线"/>
                      <w:color w:val="000000"/>
                    </w:rPr>
                  </w:pPr>
                  <w:r>
                    <w:rPr>
                      <w:rFonts w:eastAsia="等线"/>
                      <w:color w:val="000000"/>
                    </w:rPr>
                    <w:t>0.024</w:t>
                  </w:r>
                </w:p>
              </w:tc>
              <w:tc>
                <w:tcPr>
                  <w:tcW w:w="632" w:type="pct"/>
                  <w:vAlign w:val="center"/>
                </w:tcPr>
                <w:p w14:paraId="1490A142">
                  <w:pPr>
                    <w:widowControl/>
                    <w:jc w:val="center"/>
                    <w:textAlignment w:val="center"/>
                    <w:rPr>
                      <w:kern w:val="0"/>
                      <w:szCs w:val="21"/>
                      <w:lang w:bidi="ar"/>
                    </w:rPr>
                  </w:pPr>
                  <w:r>
                    <w:rPr>
                      <w:kern w:val="0"/>
                      <w:szCs w:val="21"/>
                      <w:lang w:bidi="ar"/>
                    </w:rPr>
                    <w:t>2.0</w:t>
                  </w:r>
                  <w:r>
                    <w:rPr>
                      <w:szCs w:val="21"/>
                    </w:rPr>
                    <w:t>mg/m</w:t>
                  </w:r>
                  <w:r>
                    <w:rPr>
                      <w:szCs w:val="21"/>
                      <w:vertAlign w:val="superscript"/>
                    </w:rPr>
                    <w:t>3</w:t>
                  </w:r>
                </w:p>
              </w:tc>
            </w:tr>
          </w:tbl>
          <w:p w14:paraId="56C88EC2">
            <w:pPr>
              <w:pStyle w:val="6"/>
              <w:jc w:val="both"/>
              <w:rPr>
                <w:rFonts w:eastAsia="宋体"/>
                <w:b/>
                <w:bCs/>
                <w:color w:val="000000"/>
                <w:szCs w:val="24"/>
              </w:rPr>
            </w:pPr>
            <w:r>
              <w:rPr>
                <w:rFonts w:eastAsia="宋体"/>
                <w:b/>
                <w:bCs/>
                <w:color w:val="000000"/>
                <w:szCs w:val="24"/>
              </w:rPr>
              <w:t>1.2排放口基本情况</w:t>
            </w:r>
          </w:p>
          <w:p w14:paraId="1050F942">
            <w:pPr>
              <w:pStyle w:val="6"/>
              <w:rPr>
                <w:rFonts w:eastAsia="宋体"/>
                <w:color w:val="000000"/>
                <w:szCs w:val="24"/>
              </w:rPr>
            </w:pPr>
            <w:r>
              <w:rPr>
                <w:rFonts w:eastAsia="宋体"/>
                <w:b/>
                <w:color w:val="000000"/>
                <w:szCs w:val="24"/>
              </w:rPr>
              <w:t>表4-5  大气污染物有组织排放量核算表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24"/>
              <w:gridCol w:w="1948"/>
              <w:gridCol w:w="1539"/>
              <w:gridCol w:w="1488"/>
              <w:gridCol w:w="1330"/>
              <w:gridCol w:w="1464"/>
            </w:tblGrid>
            <w:tr w14:paraId="7191EB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426" w:type="pct"/>
                  <w:vAlign w:val="center"/>
                </w:tcPr>
                <w:p w14:paraId="7F13825C">
                  <w:pPr>
                    <w:pStyle w:val="93"/>
                    <w:rPr>
                      <w:b/>
                      <w:bCs/>
                      <w:szCs w:val="21"/>
                    </w:rPr>
                  </w:pPr>
                  <w:r>
                    <w:rPr>
                      <w:b/>
                      <w:bCs/>
                      <w:szCs w:val="21"/>
                    </w:rPr>
                    <w:t>序号</w:t>
                  </w:r>
                </w:p>
              </w:tc>
              <w:tc>
                <w:tcPr>
                  <w:tcW w:w="1146" w:type="pct"/>
                  <w:vAlign w:val="center"/>
                </w:tcPr>
                <w:p w14:paraId="41B56A15">
                  <w:pPr>
                    <w:pStyle w:val="93"/>
                    <w:rPr>
                      <w:b/>
                      <w:bCs/>
                      <w:szCs w:val="21"/>
                    </w:rPr>
                  </w:pPr>
                  <w:r>
                    <w:rPr>
                      <w:b/>
                      <w:bCs/>
                      <w:szCs w:val="21"/>
                    </w:rPr>
                    <w:t>排放口编号</w:t>
                  </w:r>
                </w:p>
              </w:tc>
              <w:tc>
                <w:tcPr>
                  <w:tcW w:w="906" w:type="pct"/>
                  <w:vAlign w:val="center"/>
                </w:tcPr>
                <w:p w14:paraId="12BCECF7">
                  <w:pPr>
                    <w:pStyle w:val="93"/>
                    <w:rPr>
                      <w:b/>
                      <w:bCs/>
                      <w:szCs w:val="21"/>
                    </w:rPr>
                  </w:pPr>
                  <w:r>
                    <w:rPr>
                      <w:b/>
                      <w:bCs/>
                      <w:szCs w:val="21"/>
                    </w:rPr>
                    <w:t>污染物</w:t>
                  </w:r>
                </w:p>
              </w:tc>
              <w:tc>
                <w:tcPr>
                  <w:tcW w:w="876" w:type="pct"/>
                  <w:vAlign w:val="center"/>
                </w:tcPr>
                <w:p w14:paraId="28AE8853">
                  <w:pPr>
                    <w:pStyle w:val="93"/>
                    <w:rPr>
                      <w:b/>
                      <w:bCs/>
                      <w:szCs w:val="21"/>
                    </w:rPr>
                  </w:pPr>
                  <w:r>
                    <w:rPr>
                      <w:b/>
                      <w:bCs/>
                      <w:szCs w:val="21"/>
                    </w:rPr>
                    <w:t>核算排放浓度（mg/m³）</w:t>
                  </w:r>
                </w:p>
              </w:tc>
              <w:tc>
                <w:tcPr>
                  <w:tcW w:w="782" w:type="pct"/>
                  <w:vAlign w:val="center"/>
                </w:tcPr>
                <w:p w14:paraId="6A5A31EE">
                  <w:pPr>
                    <w:pStyle w:val="93"/>
                    <w:rPr>
                      <w:b/>
                      <w:bCs/>
                      <w:szCs w:val="21"/>
                    </w:rPr>
                  </w:pPr>
                  <w:r>
                    <w:rPr>
                      <w:b/>
                      <w:bCs/>
                      <w:szCs w:val="21"/>
                    </w:rPr>
                    <w:t>核算排放速率（kg/h）</w:t>
                  </w:r>
                </w:p>
              </w:tc>
              <w:tc>
                <w:tcPr>
                  <w:tcW w:w="861" w:type="pct"/>
                  <w:vAlign w:val="center"/>
                </w:tcPr>
                <w:p w14:paraId="6FE29FAA">
                  <w:pPr>
                    <w:pStyle w:val="93"/>
                    <w:rPr>
                      <w:b/>
                      <w:bCs/>
                      <w:szCs w:val="21"/>
                    </w:rPr>
                  </w:pPr>
                  <w:r>
                    <w:rPr>
                      <w:b/>
                      <w:bCs/>
                      <w:szCs w:val="21"/>
                    </w:rPr>
                    <w:t>核算年排放量（t/a）</w:t>
                  </w:r>
                </w:p>
              </w:tc>
            </w:tr>
            <w:tr w14:paraId="3F7A4D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5000" w:type="pct"/>
                  <w:gridSpan w:val="6"/>
                  <w:vAlign w:val="center"/>
                </w:tcPr>
                <w:p w14:paraId="5EBA3B3F">
                  <w:pPr>
                    <w:pStyle w:val="93"/>
                    <w:rPr>
                      <w:szCs w:val="21"/>
                    </w:rPr>
                  </w:pPr>
                  <w:r>
                    <w:rPr>
                      <w:szCs w:val="21"/>
                    </w:rPr>
                    <w:t>主要排放口</w:t>
                  </w:r>
                </w:p>
              </w:tc>
            </w:tr>
            <w:tr w14:paraId="24B726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426" w:type="pct"/>
                  <w:vAlign w:val="center"/>
                </w:tcPr>
                <w:p w14:paraId="37E6CA27">
                  <w:pPr>
                    <w:pStyle w:val="93"/>
                    <w:rPr>
                      <w:szCs w:val="21"/>
                    </w:rPr>
                  </w:pPr>
                  <w:r>
                    <w:rPr>
                      <w:szCs w:val="21"/>
                    </w:rPr>
                    <w:t>1</w:t>
                  </w:r>
                </w:p>
              </w:tc>
              <w:tc>
                <w:tcPr>
                  <w:tcW w:w="1146" w:type="pct"/>
                  <w:vAlign w:val="center"/>
                </w:tcPr>
                <w:p w14:paraId="003353A5">
                  <w:pPr>
                    <w:pStyle w:val="93"/>
                    <w:rPr>
                      <w:szCs w:val="21"/>
                    </w:rPr>
                  </w:pPr>
                  <w:r>
                    <w:rPr>
                      <w:rFonts w:hint="eastAsia"/>
                      <w:szCs w:val="21"/>
                    </w:rPr>
                    <w:t>/</w:t>
                  </w:r>
                </w:p>
              </w:tc>
              <w:tc>
                <w:tcPr>
                  <w:tcW w:w="906" w:type="pct"/>
                  <w:vAlign w:val="center"/>
                </w:tcPr>
                <w:p w14:paraId="68AC320D">
                  <w:pPr>
                    <w:pStyle w:val="93"/>
                    <w:rPr>
                      <w:szCs w:val="21"/>
                    </w:rPr>
                  </w:pPr>
                  <w:r>
                    <w:rPr>
                      <w:rFonts w:hint="eastAsia"/>
                      <w:szCs w:val="21"/>
                    </w:rPr>
                    <w:t>/</w:t>
                  </w:r>
                </w:p>
              </w:tc>
              <w:tc>
                <w:tcPr>
                  <w:tcW w:w="876" w:type="pct"/>
                  <w:vAlign w:val="center"/>
                </w:tcPr>
                <w:p w14:paraId="07CE2EDF">
                  <w:pPr>
                    <w:widowControl/>
                    <w:jc w:val="center"/>
                    <w:textAlignment w:val="center"/>
                    <w:rPr>
                      <w:szCs w:val="21"/>
                    </w:rPr>
                  </w:pPr>
                  <w:r>
                    <w:rPr>
                      <w:rFonts w:hint="eastAsia"/>
                      <w:bCs/>
                      <w:color w:val="000000"/>
                    </w:rPr>
                    <w:t>/</w:t>
                  </w:r>
                </w:p>
              </w:tc>
              <w:tc>
                <w:tcPr>
                  <w:tcW w:w="782" w:type="pct"/>
                  <w:vAlign w:val="center"/>
                </w:tcPr>
                <w:p w14:paraId="00B7B659">
                  <w:pPr>
                    <w:widowControl/>
                    <w:jc w:val="center"/>
                    <w:textAlignment w:val="center"/>
                    <w:rPr>
                      <w:rFonts w:eastAsia="等线"/>
                      <w:color w:val="000000"/>
                    </w:rPr>
                  </w:pPr>
                  <w:r>
                    <w:rPr>
                      <w:rFonts w:hint="eastAsia" w:eastAsia="等线"/>
                      <w:color w:val="000000"/>
                    </w:rPr>
                    <w:t>/</w:t>
                  </w:r>
                </w:p>
              </w:tc>
              <w:tc>
                <w:tcPr>
                  <w:tcW w:w="861" w:type="pct"/>
                  <w:vAlign w:val="center"/>
                </w:tcPr>
                <w:p w14:paraId="4468E059">
                  <w:pPr>
                    <w:widowControl/>
                    <w:jc w:val="center"/>
                    <w:textAlignment w:val="center"/>
                    <w:rPr>
                      <w:szCs w:val="21"/>
                    </w:rPr>
                  </w:pPr>
                  <w:r>
                    <w:rPr>
                      <w:rFonts w:hint="eastAsia" w:eastAsia="等线"/>
                      <w:color w:val="000000"/>
                    </w:rPr>
                    <w:t>/</w:t>
                  </w:r>
                </w:p>
              </w:tc>
            </w:tr>
            <w:tr w14:paraId="28953F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573" w:type="pct"/>
                  <w:gridSpan w:val="2"/>
                  <w:vAlign w:val="center"/>
                </w:tcPr>
                <w:p w14:paraId="4BCD2A8E">
                  <w:pPr>
                    <w:pStyle w:val="93"/>
                    <w:rPr>
                      <w:szCs w:val="21"/>
                    </w:rPr>
                  </w:pPr>
                  <w:r>
                    <w:rPr>
                      <w:szCs w:val="21"/>
                    </w:rPr>
                    <w:t>主要排放口合计</w:t>
                  </w:r>
                </w:p>
              </w:tc>
              <w:tc>
                <w:tcPr>
                  <w:tcW w:w="2565" w:type="pct"/>
                  <w:gridSpan w:val="3"/>
                  <w:vAlign w:val="center"/>
                </w:tcPr>
                <w:p w14:paraId="0B5C1152">
                  <w:pPr>
                    <w:pStyle w:val="93"/>
                    <w:rPr>
                      <w:szCs w:val="21"/>
                    </w:rPr>
                  </w:pPr>
                  <w:r>
                    <w:rPr>
                      <w:rFonts w:hint="eastAsia"/>
                      <w:szCs w:val="21"/>
                    </w:rPr>
                    <w:t>/</w:t>
                  </w:r>
                </w:p>
              </w:tc>
              <w:tc>
                <w:tcPr>
                  <w:tcW w:w="861" w:type="pct"/>
                  <w:vAlign w:val="center"/>
                </w:tcPr>
                <w:p w14:paraId="49AE4F6C">
                  <w:pPr>
                    <w:pStyle w:val="93"/>
                    <w:rPr>
                      <w:szCs w:val="21"/>
                    </w:rPr>
                  </w:pPr>
                  <w:r>
                    <w:rPr>
                      <w:rFonts w:hint="eastAsia"/>
                      <w:szCs w:val="21"/>
                    </w:rPr>
                    <w:t>/</w:t>
                  </w:r>
                </w:p>
              </w:tc>
            </w:tr>
            <w:tr w14:paraId="42AD00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6"/>
                  <w:vAlign w:val="center"/>
                </w:tcPr>
                <w:p w14:paraId="2941EC6B">
                  <w:pPr>
                    <w:pStyle w:val="93"/>
                    <w:rPr>
                      <w:szCs w:val="21"/>
                    </w:rPr>
                  </w:pPr>
                  <w:r>
                    <w:rPr>
                      <w:szCs w:val="21"/>
                    </w:rPr>
                    <w:t>一般排放口</w:t>
                  </w:r>
                </w:p>
              </w:tc>
            </w:tr>
            <w:tr w14:paraId="518E68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26" w:type="pct"/>
                  <w:vMerge w:val="restart"/>
                  <w:vAlign w:val="center"/>
                </w:tcPr>
                <w:p w14:paraId="0192B0BA">
                  <w:pPr>
                    <w:pStyle w:val="93"/>
                    <w:rPr>
                      <w:szCs w:val="21"/>
                    </w:rPr>
                  </w:pPr>
                  <w:r>
                    <w:rPr>
                      <w:szCs w:val="21"/>
                    </w:rPr>
                    <w:t>1</w:t>
                  </w:r>
                </w:p>
              </w:tc>
              <w:tc>
                <w:tcPr>
                  <w:tcW w:w="1146" w:type="pct"/>
                  <w:vMerge w:val="restart"/>
                  <w:vAlign w:val="center"/>
                </w:tcPr>
                <w:p w14:paraId="504E5F7A">
                  <w:pPr>
                    <w:pStyle w:val="93"/>
                    <w:rPr>
                      <w:szCs w:val="21"/>
                    </w:rPr>
                  </w:pPr>
                  <w:r>
                    <w:rPr>
                      <w:szCs w:val="21"/>
                    </w:rPr>
                    <w:t>DA001排气筒</w:t>
                  </w:r>
                </w:p>
              </w:tc>
              <w:tc>
                <w:tcPr>
                  <w:tcW w:w="906" w:type="pct"/>
                  <w:vAlign w:val="center"/>
                </w:tcPr>
                <w:p w14:paraId="54442394">
                  <w:pPr>
                    <w:pStyle w:val="93"/>
                    <w:rPr>
                      <w:szCs w:val="21"/>
                    </w:rPr>
                  </w:pPr>
                  <w:r>
                    <w:rPr>
                      <w:szCs w:val="21"/>
                    </w:rPr>
                    <w:t>SO</w:t>
                  </w:r>
                  <w:r>
                    <w:rPr>
                      <w:szCs w:val="21"/>
                      <w:vertAlign w:val="subscript"/>
                    </w:rPr>
                    <w:t>2</w:t>
                  </w:r>
                </w:p>
              </w:tc>
              <w:tc>
                <w:tcPr>
                  <w:tcW w:w="876" w:type="pct"/>
                  <w:vAlign w:val="center"/>
                </w:tcPr>
                <w:p w14:paraId="79766094">
                  <w:pPr>
                    <w:widowControl/>
                    <w:jc w:val="center"/>
                    <w:textAlignment w:val="center"/>
                    <w:rPr>
                      <w:szCs w:val="21"/>
                    </w:rPr>
                  </w:pPr>
                  <w:r>
                    <w:rPr>
                      <w:bCs/>
                      <w:color w:val="000000"/>
                    </w:rPr>
                    <w:t>17.97</w:t>
                  </w:r>
                </w:p>
              </w:tc>
              <w:tc>
                <w:tcPr>
                  <w:tcW w:w="782" w:type="pct"/>
                  <w:vAlign w:val="center"/>
                </w:tcPr>
                <w:p w14:paraId="7117EC75">
                  <w:pPr>
                    <w:widowControl/>
                    <w:jc w:val="center"/>
                    <w:textAlignment w:val="center"/>
                    <w:rPr>
                      <w:rFonts w:eastAsia="等线"/>
                      <w:color w:val="000000"/>
                    </w:rPr>
                  </w:pPr>
                  <w:r>
                    <w:rPr>
                      <w:rFonts w:eastAsia="等线"/>
                      <w:color w:val="000000"/>
                    </w:rPr>
                    <w:t>0.12</w:t>
                  </w:r>
                </w:p>
              </w:tc>
              <w:tc>
                <w:tcPr>
                  <w:tcW w:w="861" w:type="pct"/>
                  <w:vAlign w:val="center"/>
                </w:tcPr>
                <w:p w14:paraId="49EE286C">
                  <w:pPr>
                    <w:widowControl/>
                    <w:jc w:val="center"/>
                    <w:textAlignment w:val="center"/>
                    <w:rPr>
                      <w:szCs w:val="21"/>
                    </w:rPr>
                  </w:pPr>
                  <w:r>
                    <w:rPr>
                      <w:rFonts w:eastAsia="等线"/>
                      <w:color w:val="000000"/>
                    </w:rPr>
                    <w:t>0.288</w:t>
                  </w:r>
                </w:p>
              </w:tc>
            </w:tr>
            <w:tr w14:paraId="2A143C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26" w:type="pct"/>
                  <w:vMerge w:val="continue"/>
                  <w:vAlign w:val="center"/>
                </w:tcPr>
                <w:p w14:paraId="0C036021">
                  <w:pPr>
                    <w:pStyle w:val="93"/>
                    <w:rPr>
                      <w:szCs w:val="21"/>
                    </w:rPr>
                  </w:pPr>
                </w:p>
              </w:tc>
              <w:tc>
                <w:tcPr>
                  <w:tcW w:w="1146" w:type="pct"/>
                  <w:vMerge w:val="continue"/>
                  <w:vAlign w:val="center"/>
                </w:tcPr>
                <w:p w14:paraId="5A327196">
                  <w:pPr>
                    <w:pStyle w:val="93"/>
                    <w:rPr>
                      <w:szCs w:val="21"/>
                    </w:rPr>
                  </w:pPr>
                </w:p>
              </w:tc>
              <w:tc>
                <w:tcPr>
                  <w:tcW w:w="906" w:type="pct"/>
                  <w:vAlign w:val="center"/>
                </w:tcPr>
                <w:p w14:paraId="2F839F9A">
                  <w:pPr>
                    <w:pStyle w:val="93"/>
                    <w:rPr>
                      <w:szCs w:val="21"/>
                    </w:rPr>
                  </w:pPr>
                  <w:r>
                    <w:rPr>
                      <w:szCs w:val="21"/>
                    </w:rPr>
                    <w:t>NO</w:t>
                  </w:r>
                  <w:r>
                    <w:rPr>
                      <w:szCs w:val="21"/>
                      <w:vertAlign w:val="subscript"/>
                    </w:rPr>
                    <w:t>X</w:t>
                  </w:r>
                </w:p>
              </w:tc>
              <w:tc>
                <w:tcPr>
                  <w:tcW w:w="876" w:type="pct"/>
                  <w:vAlign w:val="center"/>
                </w:tcPr>
                <w:p w14:paraId="18419001">
                  <w:pPr>
                    <w:widowControl/>
                    <w:jc w:val="center"/>
                    <w:textAlignment w:val="center"/>
                    <w:rPr>
                      <w:szCs w:val="21"/>
                    </w:rPr>
                  </w:pPr>
                  <w:r>
                    <w:rPr>
                      <w:kern w:val="0"/>
                      <w:szCs w:val="21"/>
                      <w:lang w:bidi="ar"/>
                    </w:rPr>
                    <w:t>94</w:t>
                  </w:r>
                </w:p>
              </w:tc>
              <w:tc>
                <w:tcPr>
                  <w:tcW w:w="782" w:type="pct"/>
                  <w:vAlign w:val="center"/>
                </w:tcPr>
                <w:p w14:paraId="7DC7109B">
                  <w:pPr>
                    <w:widowControl/>
                    <w:jc w:val="center"/>
                    <w:textAlignment w:val="center"/>
                    <w:rPr>
                      <w:rFonts w:eastAsia="等线"/>
                      <w:szCs w:val="21"/>
                    </w:rPr>
                  </w:pPr>
                  <w:r>
                    <w:rPr>
                      <w:kern w:val="0"/>
                      <w:szCs w:val="21"/>
                      <w:lang w:bidi="ar"/>
                    </w:rPr>
                    <w:t>0.627</w:t>
                  </w:r>
                </w:p>
              </w:tc>
              <w:tc>
                <w:tcPr>
                  <w:tcW w:w="861" w:type="pct"/>
                  <w:vAlign w:val="center"/>
                </w:tcPr>
                <w:p w14:paraId="5A479D2E">
                  <w:pPr>
                    <w:widowControl/>
                    <w:jc w:val="center"/>
                    <w:textAlignment w:val="center"/>
                    <w:rPr>
                      <w:szCs w:val="21"/>
                    </w:rPr>
                  </w:pPr>
                  <w:r>
                    <w:rPr>
                      <w:kern w:val="0"/>
                      <w:szCs w:val="21"/>
                      <w:lang w:bidi="ar"/>
                    </w:rPr>
                    <w:t>1.505</w:t>
                  </w:r>
                </w:p>
              </w:tc>
            </w:tr>
            <w:tr w14:paraId="2FBF68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26" w:type="pct"/>
                  <w:vMerge w:val="continue"/>
                  <w:vAlign w:val="center"/>
                </w:tcPr>
                <w:p w14:paraId="618D15C1">
                  <w:pPr>
                    <w:pStyle w:val="93"/>
                    <w:rPr>
                      <w:szCs w:val="21"/>
                    </w:rPr>
                  </w:pPr>
                </w:p>
              </w:tc>
              <w:tc>
                <w:tcPr>
                  <w:tcW w:w="1146" w:type="pct"/>
                  <w:vMerge w:val="continue"/>
                  <w:vAlign w:val="center"/>
                </w:tcPr>
                <w:p w14:paraId="287D073C">
                  <w:pPr>
                    <w:pStyle w:val="93"/>
                    <w:rPr>
                      <w:szCs w:val="21"/>
                    </w:rPr>
                  </w:pPr>
                </w:p>
              </w:tc>
              <w:tc>
                <w:tcPr>
                  <w:tcW w:w="906" w:type="pct"/>
                  <w:vAlign w:val="center"/>
                </w:tcPr>
                <w:p w14:paraId="55088B54">
                  <w:pPr>
                    <w:pStyle w:val="93"/>
                    <w:rPr>
                      <w:szCs w:val="21"/>
                    </w:rPr>
                  </w:pPr>
                  <w:r>
                    <w:rPr>
                      <w:szCs w:val="21"/>
                    </w:rPr>
                    <w:t>颗粒物</w:t>
                  </w:r>
                </w:p>
              </w:tc>
              <w:tc>
                <w:tcPr>
                  <w:tcW w:w="876" w:type="pct"/>
                  <w:vAlign w:val="center"/>
                </w:tcPr>
                <w:p w14:paraId="7A1857DC">
                  <w:pPr>
                    <w:widowControl/>
                    <w:jc w:val="center"/>
                    <w:textAlignment w:val="center"/>
                    <w:rPr>
                      <w:szCs w:val="21"/>
                    </w:rPr>
                  </w:pPr>
                  <w:r>
                    <w:rPr>
                      <w:kern w:val="0"/>
                      <w:szCs w:val="21"/>
                      <w:lang w:bidi="ar"/>
                    </w:rPr>
                    <w:t>2.02</w:t>
                  </w:r>
                </w:p>
              </w:tc>
              <w:tc>
                <w:tcPr>
                  <w:tcW w:w="782" w:type="pct"/>
                  <w:vAlign w:val="center"/>
                </w:tcPr>
                <w:p w14:paraId="74185471">
                  <w:pPr>
                    <w:widowControl/>
                    <w:jc w:val="center"/>
                    <w:textAlignment w:val="center"/>
                    <w:rPr>
                      <w:rFonts w:eastAsia="等线"/>
                      <w:szCs w:val="21"/>
                    </w:rPr>
                  </w:pPr>
                  <w:r>
                    <w:rPr>
                      <w:kern w:val="0"/>
                      <w:szCs w:val="21"/>
                      <w:lang w:bidi="ar"/>
                    </w:rPr>
                    <w:t>0.032</w:t>
                  </w:r>
                </w:p>
              </w:tc>
              <w:tc>
                <w:tcPr>
                  <w:tcW w:w="861" w:type="pct"/>
                  <w:vAlign w:val="center"/>
                </w:tcPr>
                <w:p w14:paraId="44358062">
                  <w:pPr>
                    <w:widowControl/>
                    <w:jc w:val="center"/>
                    <w:textAlignment w:val="center"/>
                    <w:rPr>
                      <w:szCs w:val="21"/>
                    </w:rPr>
                  </w:pPr>
                  <w:r>
                    <w:rPr>
                      <w:kern w:val="0"/>
                      <w:szCs w:val="21"/>
                      <w:lang w:bidi="ar"/>
                    </w:rPr>
                    <w:t>0.078</w:t>
                  </w:r>
                </w:p>
              </w:tc>
            </w:tr>
            <w:tr w14:paraId="749C40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26" w:type="pct"/>
                  <w:vAlign w:val="center"/>
                </w:tcPr>
                <w:p w14:paraId="13C0E2CA">
                  <w:pPr>
                    <w:pStyle w:val="93"/>
                    <w:rPr>
                      <w:szCs w:val="21"/>
                    </w:rPr>
                  </w:pPr>
                  <w:r>
                    <w:rPr>
                      <w:rFonts w:hint="eastAsia"/>
                      <w:szCs w:val="21"/>
                    </w:rPr>
                    <w:t>2</w:t>
                  </w:r>
                </w:p>
              </w:tc>
              <w:tc>
                <w:tcPr>
                  <w:tcW w:w="1146" w:type="pct"/>
                  <w:vAlign w:val="center"/>
                </w:tcPr>
                <w:p w14:paraId="59AD1BEC">
                  <w:pPr>
                    <w:pStyle w:val="93"/>
                    <w:rPr>
                      <w:szCs w:val="21"/>
                    </w:rPr>
                  </w:pPr>
                  <w:r>
                    <w:rPr>
                      <w:szCs w:val="21"/>
                    </w:rPr>
                    <w:t>DA002排气筒</w:t>
                  </w:r>
                </w:p>
              </w:tc>
              <w:tc>
                <w:tcPr>
                  <w:tcW w:w="906" w:type="pct"/>
                  <w:vAlign w:val="center"/>
                </w:tcPr>
                <w:p w14:paraId="5912B5D1">
                  <w:pPr>
                    <w:pStyle w:val="93"/>
                    <w:rPr>
                      <w:szCs w:val="21"/>
                    </w:rPr>
                  </w:pPr>
                  <w:r>
                    <w:rPr>
                      <w:szCs w:val="21"/>
                    </w:rPr>
                    <w:t>油烟</w:t>
                  </w:r>
                </w:p>
              </w:tc>
              <w:tc>
                <w:tcPr>
                  <w:tcW w:w="876" w:type="pct"/>
                  <w:vAlign w:val="center"/>
                </w:tcPr>
                <w:p w14:paraId="4C24E6A0">
                  <w:pPr>
                    <w:pStyle w:val="93"/>
                    <w:rPr>
                      <w:szCs w:val="21"/>
                    </w:rPr>
                  </w:pPr>
                  <w:r>
                    <w:rPr>
                      <w:szCs w:val="21"/>
                    </w:rPr>
                    <w:t>1.67</w:t>
                  </w:r>
                </w:p>
              </w:tc>
              <w:tc>
                <w:tcPr>
                  <w:tcW w:w="782" w:type="pct"/>
                  <w:vAlign w:val="center"/>
                </w:tcPr>
                <w:p w14:paraId="049E364F">
                  <w:pPr>
                    <w:pStyle w:val="50"/>
                    <w:adjustRightInd/>
                    <w:snapToGrid/>
                    <w:spacing w:beforeLines="0" w:line="240" w:lineRule="auto"/>
                    <w:rPr>
                      <w:rFonts w:ascii="Times New Roman" w:hAnsi="Times New Roman" w:eastAsia="等线"/>
                      <w:szCs w:val="21"/>
                    </w:rPr>
                  </w:pPr>
                  <w:r>
                    <w:rPr>
                      <w:rFonts w:ascii="Times New Roman" w:hAnsi="Times New Roman" w:eastAsia="等线"/>
                      <w:szCs w:val="21"/>
                    </w:rPr>
                    <w:t>0.01</w:t>
                  </w:r>
                </w:p>
              </w:tc>
              <w:tc>
                <w:tcPr>
                  <w:tcW w:w="861" w:type="pct"/>
                  <w:vAlign w:val="center"/>
                </w:tcPr>
                <w:p w14:paraId="2C5997C5">
                  <w:pPr>
                    <w:pStyle w:val="50"/>
                    <w:adjustRightInd/>
                    <w:snapToGrid/>
                    <w:spacing w:beforeLines="0" w:line="240" w:lineRule="auto"/>
                    <w:rPr>
                      <w:rFonts w:ascii="Times New Roman" w:hAnsi="Times New Roman"/>
                      <w:szCs w:val="21"/>
                    </w:rPr>
                  </w:pPr>
                  <w:r>
                    <w:rPr>
                      <w:rFonts w:ascii="Times New Roman" w:hAnsi="Times New Roman"/>
                      <w:szCs w:val="21"/>
                    </w:rPr>
                    <w:t>0.024</w:t>
                  </w:r>
                </w:p>
              </w:tc>
            </w:tr>
            <w:tr w14:paraId="6C5443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73" w:type="pct"/>
                  <w:gridSpan w:val="2"/>
                  <w:vMerge w:val="restart"/>
                  <w:vAlign w:val="center"/>
                </w:tcPr>
                <w:p w14:paraId="1E24C60A">
                  <w:pPr>
                    <w:pStyle w:val="93"/>
                    <w:rPr>
                      <w:szCs w:val="21"/>
                    </w:rPr>
                  </w:pPr>
                  <w:r>
                    <w:rPr>
                      <w:szCs w:val="21"/>
                    </w:rPr>
                    <w:t>一般排放口合计</w:t>
                  </w:r>
                </w:p>
              </w:tc>
              <w:tc>
                <w:tcPr>
                  <w:tcW w:w="4357" w:type="dxa"/>
                  <w:gridSpan w:val="3"/>
                  <w:vAlign w:val="center"/>
                </w:tcPr>
                <w:p w14:paraId="628AA73F">
                  <w:pPr>
                    <w:pStyle w:val="93"/>
                    <w:rPr>
                      <w:rFonts w:eastAsia="等线"/>
                      <w:color w:val="000000"/>
                    </w:rPr>
                  </w:pPr>
                  <w:r>
                    <w:rPr>
                      <w:szCs w:val="21"/>
                    </w:rPr>
                    <w:t>SO</w:t>
                  </w:r>
                  <w:r>
                    <w:rPr>
                      <w:szCs w:val="21"/>
                      <w:vertAlign w:val="subscript"/>
                    </w:rPr>
                    <w:t>2</w:t>
                  </w:r>
                </w:p>
              </w:tc>
              <w:tc>
                <w:tcPr>
                  <w:tcW w:w="1464" w:type="dxa"/>
                  <w:vAlign w:val="center"/>
                </w:tcPr>
                <w:p w14:paraId="3F214333">
                  <w:pPr>
                    <w:pStyle w:val="93"/>
                    <w:rPr>
                      <w:rFonts w:eastAsia="等线"/>
                      <w:color w:val="000000"/>
                    </w:rPr>
                  </w:pPr>
                  <w:r>
                    <w:rPr>
                      <w:szCs w:val="21"/>
                    </w:rPr>
                    <w:t>0.29</w:t>
                  </w:r>
                </w:p>
              </w:tc>
            </w:tr>
            <w:tr w14:paraId="37587C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73" w:type="pct"/>
                  <w:gridSpan w:val="2"/>
                  <w:vMerge w:val="continue"/>
                  <w:vAlign w:val="center"/>
                </w:tcPr>
                <w:p w14:paraId="54E5BC19">
                  <w:pPr>
                    <w:pStyle w:val="93"/>
                    <w:rPr>
                      <w:szCs w:val="21"/>
                    </w:rPr>
                  </w:pPr>
                </w:p>
              </w:tc>
              <w:tc>
                <w:tcPr>
                  <w:tcW w:w="4357" w:type="dxa"/>
                  <w:gridSpan w:val="3"/>
                  <w:vAlign w:val="center"/>
                </w:tcPr>
                <w:p w14:paraId="582FA0FE">
                  <w:pPr>
                    <w:pStyle w:val="93"/>
                    <w:rPr>
                      <w:rFonts w:eastAsia="等线"/>
                      <w:color w:val="000000"/>
                    </w:rPr>
                  </w:pPr>
                  <w:r>
                    <w:rPr>
                      <w:szCs w:val="21"/>
                    </w:rPr>
                    <w:t>NO</w:t>
                  </w:r>
                  <w:r>
                    <w:rPr>
                      <w:szCs w:val="21"/>
                      <w:vertAlign w:val="subscript"/>
                    </w:rPr>
                    <w:t>X</w:t>
                  </w:r>
                </w:p>
              </w:tc>
              <w:tc>
                <w:tcPr>
                  <w:tcW w:w="1464" w:type="dxa"/>
                  <w:vAlign w:val="center"/>
                </w:tcPr>
                <w:p w14:paraId="71EAFDD3">
                  <w:pPr>
                    <w:pStyle w:val="93"/>
                    <w:rPr>
                      <w:rFonts w:eastAsia="等线"/>
                      <w:color w:val="000000"/>
                    </w:rPr>
                  </w:pPr>
                  <w:r>
                    <w:rPr>
                      <w:szCs w:val="21"/>
                    </w:rPr>
                    <w:t>1.51</w:t>
                  </w:r>
                </w:p>
              </w:tc>
            </w:tr>
            <w:tr w14:paraId="3D4DC7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73" w:type="pct"/>
                  <w:gridSpan w:val="2"/>
                  <w:vMerge w:val="continue"/>
                  <w:vAlign w:val="center"/>
                </w:tcPr>
                <w:p w14:paraId="73E7E413">
                  <w:pPr>
                    <w:pStyle w:val="93"/>
                    <w:rPr>
                      <w:szCs w:val="21"/>
                    </w:rPr>
                  </w:pPr>
                </w:p>
              </w:tc>
              <w:tc>
                <w:tcPr>
                  <w:tcW w:w="4357" w:type="dxa"/>
                  <w:gridSpan w:val="3"/>
                  <w:vAlign w:val="center"/>
                </w:tcPr>
                <w:p w14:paraId="7F09DB6B">
                  <w:pPr>
                    <w:pStyle w:val="93"/>
                    <w:rPr>
                      <w:rFonts w:eastAsia="等线"/>
                      <w:color w:val="000000"/>
                    </w:rPr>
                  </w:pPr>
                  <w:r>
                    <w:rPr>
                      <w:szCs w:val="21"/>
                    </w:rPr>
                    <w:t>颗粒物</w:t>
                  </w:r>
                </w:p>
              </w:tc>
              <w:tc>
                <w:tcPr>
                  <w:tcW w:w="1464" w:type="dxa"/>
                  <w:vAlign w:val="center"/>
                </w:tcPr>
                <w:p w14:paraId="1995DAB1">
                  <w:pPr>
                    <w:pStyle w:val="93"/>
                    <w:rPr>
                      <w:rFonts w:eastAsia="等线"/>
                      <w:color w:val="000000"/>
                    </w:rPr>
                  </w:pPr>
                  <w:r>
                    <w:rPr>
                      <w:szCs w:val="21"/>
                    </w:rPr>
                    <w:t>0.08</w:t>
                  </w:r>
                </w:p>
              </w:tc>
            </w:tr>
            <w:tr w14:paraId="7F532A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73" w:type="pct"/>
                  <w:gridSpan w:val="2"/>
                  <w:vMerge w:val="continue"/>
                  <w:vAlign w:val="center"/>
                </w:tcPr>
                <w:p w14:paraId="51E0F82F">
                  <w:pPr>
                    <w:pStyle w:val="93"/>
                    <w:rPr>
                      <w:szCs w:val="21"/>
                    </w:rPr>
                  </w:pPr>
                </w:p>
              </w:tc>
              <w:tc>
                <w:tcPr>
                  <w:tcW w:w="4357" w:type="dxa"/>
                  <w:gridSpan w:val="3"/>
                  <w:vAlign w:val="center"/>
                </w:tcPr>
                <w:p w14:paraId="0174F40F">
                  <w:pPr>
                    <w:pStyle w:val="93"/>
                    <w:rPr>
                      <w:rFonts w:eastAsia="等线"/>
                      <w:color w:val="000000"/>
                    </w:rPr>
                  </w:pPr>
                  <w:r>
                    <w:rPr>
                      <w:szCs w:val="21"/>
                    </w:rPr>
                    <w:t>油烟</w:t>
                  </w:r>
                </w:p>
              </w:tc>
              <w:tc>
                <w:tcPr>
                  <w:tcW w:w="1464" w:type="dxa"/>
                  <w:vAlign w:val="center"/>
                </w:tcPr>
                <w:p w14:paraId="777651C5">
                  <w:pPr>
                    <w:pStyle w:val="93"/>
                    <w:rPr>
                      <w:rFonts w:eastAsia="等线"/>
                      <w:color w:val="000000"/>
                    </w:rPr>
                  </w:pPr>
                  <w:r>
                    <w:rPr>
                      <w:szCs w:val="21"/>
                    </w:rPr>
                    <w:t>0.0</w:t>
                  </w:r>
                  <w:r>
                    <w:rPr>
                      <w:rFonts w:hint="eastAsia"/>
                      <w:szCs w:val="21"/>
                    </w:rPr>
                    <w:t>2</w:t>
                  </w:r>
                </w:p>
              </w:tc>
            </w:tr>
            <w:tr w14:paraId="22EF90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6"/>
                  <w:vAlign w:val="center"/>
                </w:tcPr>
                <w:p w14:paraId="21A866A1">
                  <w:pPr>
                    <w:pStyle w:val="93"/>
                    <w:rPr>
                      <w:szCs w:val="21"/>
                    </w:rPr>
                  </w:pPr>
                  <w:r>
                    <w:rPr>
                      <w:szCs w:val="21"/>
                    </w:rPr>
                    <w:t>有组织排放总计</w:t>
                  </w:r>
                </w:p>
              </w:tc>
            </w:tr>
            <w:tr w14:paraId="7D3BDB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73" w:type="pct"/>
                  <w:gridSpan w:val="2"/>
                  <w:vMerge w:val="restart"/>
                  <w:vAlign w:val="center"/>
                </w:tcPr>
                <w:p w14:paraId="47EC1D7C">
                  <w:pPr>
                    <w:pStyle w:val="93"/>
                    <w:rPr>
                      <w:szCs w:val="21"/>
                    </w:rPr>
                  </w:pPr>
                  <w:r>
                    <w:rPr>
                      <w:szCs w:val="21"/>
                    </w:rPr>
                    <w:t>有组织排放总计</w:t>
                  </w:r>
                </w:p>
              </w:tc>
              <w:tc>
                <w:tcPr>
                  <w:tcW w:w="2565" w:type="pct"/>
                  <w:gridSpan w:val="3"/>
                  <w:vAlign w:val="center"/>
                </w:tcPr>
                <w:p w14:paraId="7ABCDDF7">
                  <w:pPr>
                    <w:pStyle w:val="93"/>
                    <w:rPr>
                      <w:szCs w:val="21"/>
                    </w:rPr>
                  </w:pPr>
                  <w:r>
                    <w:rPr>
                      <w:szCs w:val="21"/>
                    </w:rPr>
                    <w:t>SO</w:t>
                  </w:r>
                  <w:r>
                    <w:rPr>
                      <w:szCs w:val="21"/>
                      <w:vertAlign w:val="subscript"/>
                    </w:rPr>
                    <w:t>2</w:t>
                  </w:r>
                </w:p>
              </w:tc>
              <w:tc>
                <w:tcPr>
                  <w:tcW w:w="861" w:type="pct"/>
                  <w:vAlign w:val="center"/>
                </w:tcPr>
                <w:p w14:paraId="558725A4">
                  <w:pPr>
                    <w:pStyle w:val="93"/>
                    <w:rPr>
                      <w:szCs w:val="21"/>
                    </w:rPr>
                  </w:pPr>
                  <w:r>
                    <w:rPr>
                      <w:szCs w:val="21"/>
                    </w:rPr>
                    <w:t>0.29</w:t>
                  </w:r>
                </w:p>
              </w:tc>
            </w:tr>
            <w:tr w14:paraId="4344E5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73" w:type="pct"/>
                  <w:gridSpan w:val="2"/>
                  <w:vMerge w:val="continue"/>
                  <w:vAlign w:val="center"/>
                </w:tcPr>
                <w:p w14:paraId="1C78E56E">
                  <w:pPr>
                    <w:pStyle w:val="93"/>
                    <w:rPr>
                      <w:szCs w:val="21"/>
                    </w:rPr>
                  </w:pPr>
                </w:p>
              </w:tc>
              <w:tc>
                <w:tcPr>
                  <w:tcW w:w="2565" w:type="pct"/>
                  <w:gridSpan w:val="3"/>
                  <w:vAlign w:val="center"/>
                </w:tcPr>
                <w:p w14:paraId="4067ED15">
                  <w:pPr>
                    <w:pStyle w:val="93"/>
                    <w:rPr>
                      <w:szCs w:val="21"/>
                    </w:rPr>
                  </w:pPr>
                  <w:r>
                    <w:rPr>
                      <w:szCs w:val="21"/>
                    </w:rPr>
                    <w:t>NO</w:t>
                  </w:r>
                  <w:r>
                    <w:rPr>
                      <w:szCs w:val="21"/>
                      <w:vertAlign w:val="subscript"/>
                    </w:rPr>
                    <w:t>X</w:t>
                  </w:r>
                </w:p>
              </w:tc>
              <w:tc>
                <w:tcPr>
                  <w:tcW w:w="861" w:type="pct"/>
                  <w:vAlign w:val="center"/>
                </w:tcPr>
                <w:p w14:paraId="3ECA285E">
                  <w:pPr>
                    <w:pStyle w:val="93"/>
                    <w:rPr>
                      <w:szCs w:val="21"/>
                    </w:rPr>
                  </w:pPr>
                  <w:r>
                    <w:rPr>
                      <w:szCs w:val="21"/>
                    </w:rPr>
                    <w:t>1.51</w:t>
                  </w:r>
                </w:p>
              </w:tc>
            </w:tr>
            <w:tr w14:paraId="62DF95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73" w:type="pct"/>
                  <w:gridSpan w:val="2"/>
                  <w:vMerge w:val="continue"/>
                  <w:vAlign w:val="center"/>
                </w:tcPr>
                <w:p w14:paraId="17CCEE3E">
                  <w:pPr>
                    <w:pStyle w:val="93"/>
                    <w:rPr>
                      <w:szCs w:val="21"/>
                    </w:rPr>
                  </w:pPr>
                </w:p>
              </w:tc>
              <w:tc>
                <w:tcPr>
                  <w:tcW w:w="2565" w:type="pct"/>
                  <w:gridSpan w:val="3"/>
                  <w:vAlign w:val="center"/>
                </w:tcPr>
                <w:p w14:paraId="7BFB5014">
                  <w:pPr>
                    <w:pStyle w:val="93"/>
                    <w:rPr>
                      <w:szCs w:val="21"/>
                    </w:rPr>
                  </w:pPr>
                  <w:r>
                    <w:rPr>
                      <w:szCs w:val="21"/>
                    </w:rPr>
                    <w:t>颗粒物</w:t>
                  </w:r>
                </w:p>
              </w:tc>
              <w:tc>
                <w:tcPr>
                  <w:tcW w:w="861" w:type="pct"/>
                  <w:vAlign w:val="center"/>
                </w:tcPr>
                <w:p w14:paraId="653331B0">
                  <w:pPr>
                    <w:pStyle w:val="93"/>
                    <w:rPr>
                      <w:szCs w:val="21"/>
                    </w:rPr>
                  </w:pPr>
                  <w:r>
                    <w:rPr>
                      <w:szCs w:val="21"/>
                    </w:rPr>
                    <w:t>0.08</w:t>
                  </w:r>
                </w:p>
              </w:tc>
            </w:tr>
            <w:tr w14:paraId="74D7B3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73" w:type="pct"/>
                  <w:gridSpan w:val="2"/>
                  <w:vMerge w:val="continue"/>
                  <w:vAlign w:val="center"/>
                </w:tcPr>
                <w:p w14:paraId="2F26F796">
                  <w:pPr>
                    <w:pStyle w:val="93"/>
                    <w:rPr>
                      <w:szCs w:val="21"/>
                    </w:rPr>
                  </w:pPr>
                </w:p>
              </w:tc>
              <w:tc>
                <w:tcPr>
                  <w:tcW w:w="2565" w:type="pct"/>
                  <w:gridSpan w:val="3"/>
                  <w:vAlign w:val="center"/>
                </w:tcPr>
                <w:p w14:paraId="74B297FC">
                  <w:pPr>
                    <w:pStyle w:val="93"/>
                    <w:rPr>
                      <w:szCs w:val="21"/>
                    </w:rPr>
                  </w:pPr>
                  <w:r>
                    <w:rPr>
                      <w:szCs w:val="21"/>
                    </w:rPr>
                    <w:t>油烟</w:t>
                  </w:r>
                </w:p>
              </w:tc>
              <w:tc>
                <w:tcPr>
                  <w:tcW w:w="861" w:type="pct"/>
                  <w:vAlign w:val="center"/>
                </w:tcPr>
                <w:p w14:paraId="21C87531">
                  <w:pPr>
                    <w:pStyle w:val="93"/>
                    <w:rPr>
                      <w:szCs w:val="21"/>
                    </w:rPr>
                  </w:pPr>
                  <w:r>
                    <w:rPr>
                      <w:szCs w:val="21"/>
                    </w:rPr>
                    <w:t>0.0</w:t>
                  </w:r>
                  <w:r>
                    <w:rPr>
                      <w:rFonts w:hint="eastAsia"/>
                      <w:szCs w:val="21"/>
                    </w:rPr>
                    <w:t>2</w:t>
                  </w:r>
                </w:p>
              </w:tc>
            </w:tr>
          </w:tbl>
          <w:p w14:paraId="1649AAA0">
            <w:pPr>
              <w:pStyle w:val="6"/>
              <w:ind w:firstLine="480" w:firstLineChars="200"/>
              <w:jc w:val="both"/>
              <w:rPr>
                <w:rFonts w:eastAsia="宋体"/>
                <w:color w:val="000000"/>
                <w:szCs w:val="24"/>
              </w:rPr>
            </w:pPr>
            <w:r>
              <w:rPr>
                <w:rFonts w:eastAsia="宋体"/>
                <w:color w:val="000000"/>
                <w:szCs w:val="24"/>
              </w:rPr>
              <w:t>本项目大气污染物排放量详见下表。</w:t>
            </w:r>
          </w:p>
          <w:p w14:paraId="35018463">
            <w:pPr>
              <w:tabs>
                <w:tab w:val="left" w:pos="2196"/>
              </w:tabs>
              <w:spacing w:line="360" w:lineRule="auto"/>
              <w:jc w:val="center"/>
              <w:rPr>
                <w:color w:val="000000"/>
              </w:rPr>
            </w:pPr>
            <w:r>
              <w:rPr>
                <w:b/>
                <w:color w:val="000000"/>
                <w:sz w:val="24"/>
                <w:szCs w:val="24"/>
              </w:rPr>
              <w:t>表4-6  本项目大气污染物年排放量核算一览表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0" w:type="dxa"/>
                <w:bottom w:w="0" w:type="dxa"/>
                <w:right w:w="0" w:type="dxa"/>
              </w:tblCellMar>
            </w:tblPr>
            <w:tblGrid>
              <w:gridCol w:w="1984"/>
              <w:gridCol w:w="3142"/>
              <w:gridCol w:w="3367"/>
            </w:tblGrid>
            <w:tr w14:paraId="129A4D4F">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PrEx>
              <w:trPr>
                <w:trHeight w:val="397" w:hRule="atLeast"/>
                <w:jc w:val="center"/>
              </w:trPr>
              <w:tc>
                <w:tcPr>
                  <w:tcW w:w="1168" w:type="pct"/>
                  <w:vAlign w:val="center"/>
                </w:tcPr>
                <w:p w14:paraId="3C2361E1">
                  <w:pPr>
                    <w:pStyle w:val="93"/>
                    <w:rPr>
                      <w:b/>
                      <w:bCs/>
                    </w:rPr>
                  </w:pPr>
                  <w:r>
                    <w:rPr>
                      <w:b/>
                      <w:bCs/>
                    </w:rPr>
                    <w:t>序号</w:t>
                  </w:r>
                </w:p>
              </w:tc>
              <w:tc>
                <w:tcPr>
                  <w:tcW w:w="1850" w:type="pct"/>
                  <w:vAlign w:val="center"/>
                </w:tcPr>
                <w:p w14:paraId="18966131">
                  <w:pPr>
                    <w:pStyle w:val="93"/>
                    <w:rPr>
                      <w:b/>
                      <w:bCs/>
                    </w:rPr>
                  </w:pPr>
                  <w:r>
                    <w:rPr>
                      <w:b/>
                      <w:bCs/>
                    </w:rPr>
                    <w:t>污染物</w:t>
                  </w:r>
                </w:p>
              </w:tc>
              <w:tc>
                <w:tcPr>
                  <w:tcW w:w="1982" w:type="pct"/>
                  <w:vAlign w:val="center"/>
                </w:tcPr>
                <w:p w14:paraId="5CBB143F">
                  <w:pPr>
                    <w:pStyle w:val="93"/>
                    <w:rPr>
                      <w:b/>
                      <w:bCs/>
                    </w:rPr>
                  </w:pPr>
                  <w:r>
                    <w:rPr>
                      <w:b/>
                      <w:bCs/>
                    </w:rPr>
                    <w:t>年排放量/（t/a）</w:t>
                  </w:r>
                </w:p>
              </w:tc>
            </w:tr>
            <w:tr w14:paraId="2749227D">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168" w:type="pct"/>
                  <w:vAlign w:val="center"/>
                </w:tcPr>
                <w:p w14:paraId="3BD17CF4">
                  <w:pPr>
                    <w:pStyle w:val="93"/>
                  </w:pPr>
                  <w:r>
                    <w:t>1</w:t>
                  </w:r>
                </w:p>
              </w:tc>
              <w:tc>
                <w:tcPr>
                  <w:tcW w:w="1850" w:type="pct"/>
                  <w:vAlign w:val="center"/>
                </w:tcPr>
                <w:p w14:paraId="7C877011">
                  <w:pPr>
                    <w:pStyle w:val="50"/>
                    <w:adjustRightInd/>
                    <w:snapToGrid/>
                    <w:spacing w:beforeLines="0" w:line="240" w:lineRule="auto"/>
                    <w:rPr>
                      <w:rFonts w:ascii="Times New Roman" w:hAnsi="Times New Roman"/>
                      <w:color w:val="000000"/>
                      <w:szCs w:val="21"/>
                    </w:rPr>
                  </w:pPr>
                  <w:r>
                    <w:rPr>
                      <w:rFonts w:ascii="Times New Roman" w:hAnsi="Times New Roman"/>
                      <w:color w:val="000000"/>
                      <w:szCs w:val="21"/>
                    </w:rPr>
                    <w:t>颗粒物</w:t>
                  </w:r>
                </w:p>
              </w:tc>
              <w:tc>
                <w:tcPr>
                  <w:tcW w:w="1982" w:type="pct"/>
                  <w:vAlign w:val="center"/>
                </w:tcPr>
                <w:p w14:paraId="1A3376CB">
                  <w:pPr>
                    <w:pStyle w:val="93"/>
                    <w:rPr>
                      <w:szCs w:val="21"/>
                    </w:rPr>
                  </w:pPr>
                  <w:r>
                    <w:rPr>
                      <w:szCs w:val="21"/>
                    </w:rPr>
                    <w:t>0.08</w:t>
                  </w:r>
                </w:p>
              </w:tc>
            </w:tr>
            <w:tr w14:paraId="4DD45C81">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168" w:type="pct"/>
                  <w:vAlign w:val="center"/>
                </w:tcPr>
                <w:p w14:paraId="50C478DE">
                  <w:pPr>
                    <w:pStyle w:val="93"/>
                  </w:pPr>
                  <w:r>
                    <w:t>2</w:t>
                  </w:r>
                </w:p>
              </w:tc>
              <w:tc>
                <w:tcPr>
                  <w:tcW w:w="1850" w:type="pct"/>
                  <w:vAlign w:val="center"/>
                </w:tcPr>
                <w:p w14:paraId="6D9F54E3">
                  <w:pPr>
                    <w:pStyle w:val="93"/>
                    <w:rPr>
                      <w:color w:val="000000"/>
                      <w:szCs w:val="21"/>
                    </w:rPr>
                  </w:pPr>
                  <w:r>
                    <w:rPr>
                      <w:szCs w:val="21"/>
                    </w:rPr>
                    <w:t>SO</w:t>
                  </w:r>
                  <w:r>
                    <w:rPr>
                      <w:szCs w:val="21"/>
                      <w:vertAlign w:val="subscript"/>
                    </w:rPr>
                    <w:t>2</w:t>
                  </w:r>
                </w:p>
              </w:tc>
              <w:tc>
                <w:tcPr>
                  <w:tcW w:w="1982" w:type="pct"/>
                  <w:vAlign w:val="center"/>
                </w:tcPr>
                <w:p w14:paraId="5F1C7009">
                  <w:pPr>
                    <w:pStyle w:val="93"/>
                    <w:rPr>
                      <w:szCs w:val="21"/>
                    </w:rPr>
                  </w:pPr>
                  <w:r>
                    <w:rPr>
                      <w:szCs w:val="21"/>
                    </w:rPr>
                    <w:t>0.29</w:t>
                  </w:r>
                </w:p>
              </w:tc>
            </w:tr>
            <w:tr w14:paraId="13F6AE62">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168" w:type="pct"/>
                  <w:vAlign w:val="center"/>
                </w:tcPr>
                <w:p w14:paraId="064FF728">
                  <w:pPr>
                    <w:pStyle w:val="93"/>
                  </w:pPr>
                  <w:r>
                    <w:t>3</w:t>
                  </w:r>
                </w:p>
              </w:tc>
              <w:tc>
                <w:tcPr>
                  <w:tcW w:w="1850" w:type="pct"/>
                  <w:vAlign w:val="center"/>
                </w:tcPr>
                <w:p w14:paraId="7D9A9B7F">
                  <w:pPr>
                    <w:pStyle w:val="93"/>
                    <w:rPr>
                      <w:color w:val="000000"/>
                      <w:szCs w:val="21"/>
                    </w:rPr>
                  </w:pPr>
                  <w:r>
                    <w:rPr>
                      <w:szCs w:val="21"/>
                    </w:rPr>
                    <w:t>NO</w:t>
                  </w:r>
                  <w:r>
                    <w:rPr>
                      <w:szCs w:val="21"/>
                      <w:vertAlign w:val="subscript"/>
                    </w:rPr>
                    <w:t>X</w:t>
                  </w:r>
                </w:p>
              </w:tc>
              <w:tc>
                <w:tcPr>
                  <w:tcW w:w="1982" w:type="pct"/>
                  <w:vAlign w:val="center"/>
                </w:tcPr>
                <w:p w14:paraId="1E6BAA66">
                  <w:pPr>
                    <w:pStyle w:val="93"/>
                    <w:rPr>
                      <w:szCs w:val="21"/>
                    </w:rPr>
                  </w:pPr>
                  <w:r>
                    <w:rPr>
                      <w:szCs w:val="21"/>
                    </w:rPr>
                    <w:t>1.51</w:t>
                  </w:r>
                </w:p>
              </w:tc>
            </w:tr>
            <w:tr w14:paraId="18F1EC40">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168" w:type="pct"/>
                  <w:vAlign w:val="center"/>
                </w:tcPr>
                <w:p w14:paraId="495C91EC">
                  <w:pPr>
                    <w:pStyle w:val="93"/>
                  </w:pPr>
                  <w:r>
                    <w:t>4</w:t>
                  </w:r>
                </w:p>
              </w:tc>
              <w:tc>
                <w:tcPr>
                  <w:tcW w:w="1850" w:type="pct"/>
                  <w:vAlign w:val="center"/>
                </w:tcPr>
                <w:p w14:paraId="77C692C4">
                  <w:pPr>
                    <w:pStyle w:val="93"/>
                    <w:rPr>
                      <w:szCs w:val="21"/>
                    </w:rPr>
                  </w:pPr>
                  <w:r>
                    <w:rPr>
                      <w:szCs w:val="21"/>
                    </w:rPr>
                    <w:t>油烟</w:t>
                  </w:r>
                </w:p>
              </w:tc>
              <w:tc>
                <w:tcPr>
                  <w:tcW w:w="1982" w:type="pct"/>
                  <w:vAlign w:val="center"/>
                </w:tcPr>
                <w:p w14:paraId="661771B9">
                  <w:pPr>
                    <w:pStyle w:val="93"/>
                    <w:rPr>
                      <w:szCs w:val="21"/>
                    </w:rPr>
                  </w:pPr>
                  <w:r>
                    <w:rPr>
                      <w:szCs w:val="21"/>
                    </w:rPr>
                    <w:t>0.0</w:t>
                  </w:r>
                  <w:r>
                    <w:rPr>
                      <w:rFonts w:hint="eastAsia"/>
                      <w:szCs w:val="21"/>
                    </w:rPr>
                    <w:t>2</w:t>
                  </w:r>
                </w:p>
              </w:tc>
            </w:tr>
          </w:tbl>
          <w:p w14:paraId="0D22B71F">
            <w:pPr>
              <w:spacing w:line="360" w:lineRule="auto"/>
              <w:jc w:val="center"/>
              <w:rPr>
                <w:sz w:val="24"/>
              </w:rPr>
            </w:pPr>
            <w:r>
              <w:rPr>
                <w:b/>
                <w:color w:val="000000"/>
                <w:sz w:val="24"/>
                <w:szCs w:val="24"/>
              </w:rPr>
              <w:t>表4-7  大气排放口基本情况</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48"/>
              <w:gridCol w:w="878"/>
              <w:gridCol w:w="858"/>
              <w:gridCol w:w="1135"/>
              <w:gridCol w:w="1558"/>
              <w:gridCol w:w="1561"/>
              <w:gridCol w:w="710"/>
              <w:gridCol w:w="708"/>
              <w:gridCol w:w="637"/>
            </w:tblGrid>
            <w:tr w14:paraId="76BF9D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64" w:type="pct"/>
                  <w:vMerge w:val="restart"/>
                  <w:vAlign w:val="center"/>
                </w:tcPr>
                <w:p w14:paraId="164CBFF9">
                  <w:pPr>
                    <w:pStyle w:val="50"/>
                    <w:adjustRightInd/>
                    <w:snapToGrid/>
                    <w:spacing w:beforeLines="0" w:line="240" w:lineRule="auto"/>
                    <w:ind w:left="-105" w:leftChars="-50" w:right="-105" w:rightChars="-50"/>
                    <w:rPr>
                      <w:rFonts w:ascii="Times New Roman" w:hAnsi="Times New Roman"/>
                      <w:b/>
                      <w:bCs/>
                      <w:szCs w:val="21"/>
                    </w:rPr>
                  </w:pPr>
                  <w:r>
                    <w:rPr>
                      <w:rFonts w:ascii="Times New Roman" w:hAnsi="Times New Roman"/>
                      <w:b/>
                      <w:bCs/>
                      <w:szCs w:val="21"/>
                    </w:rPr>
                    <w:t>序号</w:t>
                  </w:r>
                </w:p>
              </w:tc>
              <w:tc>
                <w:tcPr>
                  <w:tcW w:w="517" w:type="pct"/>
                  <w:vMerge w:val="restart"/>
                  <w:vAlign w:val="center"/>
                </w:tcPr>
                <w:p w14:paraId="622F84C6">
                  <w:pPr>
                    <w:pStyle w:val="50"/>
                    <w:adjustRightInd/>
                    <w:snapToGrid/>
                    <w:spacing w:beforeLines="0" w:line="240" w:lineRule="auto"/>
                    <w:ind w:left="-105" w:leftChars="-50" w:right="-105" w:rightChars="-50"/>
                    <w:rPr>
                      <w:rFonts w:ascii="Times New Roman" w:hAnsi="Times New Roman"/>
                      <w:b/>
                      <w:bCs/>
                      <w:szCs w:val="21"/>
                    </w:rPr>
                  </w:pPr>
                  <w:r>
                    <w:rPr>
                      <w:rFonts w:ascii="Times New Roman" w:hAnsi="Times New Roman"/>
                      <w:b/>
                      <w:bCs/>
                      <w:szCs w:val="21"/>
                    </w:rPr>
                    <w:t>排放口</w:t>
                  </w:r>
                </w:p>
                <w:p w14:paraId="640E4CAE">
                  <w:pPr>
                    <w:pStyle w:val="50"/>
                    <w:adjustRightInd/>
                    <w:snapToGrid/>
                    <w:spacing w:beforeLines="0" w:line="240" w:lineRule="auto"/>
                    <w:ind w:left="-105" w:leftChars="-50" w:right="-105" w:rightChars="-50"/>
                    <w:rPr>
                      <w:rFonts w:ascii="Times New Roman" w:hAnsi="Times New Roman"/>
                      <w:b/>
                      <w:bCs/>
                      <w:szCs w:val="21"/>
                    </w:rPr>
                  </w:pPr>
                  <w:r>
                    <w:rPr>
                      <w:rFonts w:ascii="Times New Roman" w:hAnsi="Times New Roman"/>
                      <w:b/>
                      <w:bCs/>
                      <w:szCs w:val="21"/>
                    </w:rPr>
                    <w:t>编号</w:t>
                  </w:r>
                </w:p>
              </w:tc>
              <w:tc>
                <w:tcPr>
                  <w:tcW w:w="505" w:type="pct"/>
                  <w:vMerge w:val="restart"/>
                  <w:vAlign w:val="center"/>
                </w:tcPr>
                <w:p w14:paraId="24654C40">
                  <w:pPr>
                    <w:pStyle w:val="50"/>
                    <w:adjustRightInd/>
                    <w:snapToGrid/>
                    <w:spacing w:beforeLines="0" w:line="240" w:lineRule="auto"/>
                    <w:ind w:left="-105" w:leftChars="-50" w:right="-105" w:rightChars="-50"/>
                    <w:rPr>
                      <w:rFonts w:ascii="Times New Roman" w:hAnsi="Times New Roman"/>
                      <w:b/>
                      <w:bCs/>
                      <w:szCs w:val="21"/>
                    </w:rPr>
                  </w:pPr>
                  <w:r>
                    <w:rPr>
                      <w:rFonts w:ascii="Times New Roman" w:hAnsi="Times New Roman"/>
                      <w:b/>
                      <w:bCs/>
                      <w:szCs w:val="21"/>
                    </w:rPr>
                    <w:t>排放口</w:t>
                  </w:r>
                </w:p>
                <w:p w14:paraId="69A2DAA7">
                  <w:pPr>
                    <w:pStyle w:val="50"/>
                    <w:adjustRightInd/>
                    <w:snapToGrid/>
                    <w:spacing w:beforeLines="0" w:line="240" w:lineRule="auto"/>
                    <w:ind w:left="-105" w:leftChars="-50" w:right="-105" w:rightChars="-50"/>
                    <w:rPr>
                      <w:rFonts w:ascii="Times New Roman" w:hAnsi="Times New Roman"/>
                      <w:b/>
                      <w:bCs/>
                      <w:szCs w:val="21"/>
                    </w:rPr>
                  </w:pPr>
                  <w:r>
                    <w:rPr>
                      <w:rFonts w:ascii="Times New Roman" w:hAnsi="Times New Roman"/>
                      <w:b/>
                      <w:bCs/>
                      <w:szCs w:val="21"/>
                    </w:rPr>
                    <w:t>名称</w:t>
                  </w:r>
                </w:p>
              </w:tc>
              <w:tc>
                <w:tcPr>
                  <w:tcW w:w="668" w:type="pct"/>
                  <w:vMerge w:val="restart"/>
                  <w:vAlign w:val="center"/>
                </w:tcPr>
                <w:p w14:paraId="67702C7E">
                  <w:pPr>
                    <w:pStyle w:val="50"/>
                    <w:adjustRightInd/>
                    <w:snapToGrid/>
                    <w:spacing w:beforeLines="0" w:line="240" w:lineRule="auto"/>
                    <w:ind w:left="-105" w:leftChars="-50" w:right="-105" w:rightChars="-50"/>
                    <w:rPr>
                      <w:rFonts w:ascii="Times New Roman" w:hAnsi="Times New Roman"/>
                      <w:b/>
                      <w:bCs/>
                      <w:szCs w:val="21"/>
                    </w:rPr>
                  </w:pPr>
                  <w:r>
                    <w:rPr>
                      <w:rFonts w:ascii="Times New Roman" w:hAnsi="Times New Roman"/>
                      <w:b/>
                      <w:bCs/>
                      <w:szCs w:val="21"/>
                    </w:rPr>
                    <w:t>污染物</w:t>
                  </w:r>
                </w:p>
                <w:p w14:paraId="244E374C">
                  <w:pPr>
                    <w:pStyle w:val="50"/>
                    <w:adjustRightInd/>
                    <w:snapToGrid/>
                    <w:spacing w:beforeLines="0" w:line="240" w:lineRule="auto"/>
                    <w:ind w:left="-105" w:leftChars="-50" w:right="-105" w:rightChars="-50"/>
                    <w:rPr>
                      <w:rFonts w:ascii="Times New Roman" w:hAnsi="Times New Roman"/>
                      <w:b/>
                      <w:bCs/>
                      <w:szCs w:val="21"/>
                    </w:rPr>
                  </w:pPr>
                  <w:r>
                    <w:rPr>
                      <w:rFonts w:ascii="Times New Roman" w:hAnsi="Times New Roman"/>
                      <w:b/>
                      <w:bCs/>
                      <w:szCs w:val="21"/>
                    </w:rPr>
                    <w:t>种类</w:t>
                  </w:r>
                </w:p>
              </w:tc>
              <w:tc>
                <w:tcPr>
                  <w:tcW w:w="1836" w:type="pct"/>
                  <w:gridSpan w:val="2"/>
                  <w:vAlign w:val="center"/>
                </w:tcPr>
                <w:p w14:paraId="7A84809A">
                  <w:pPr>
                    <w:pStyle w:val="50"/>
                    <w:adjustRightInd/>
                    <w:snapToGrid/>
                    <w:spacing w:beforeLines="0" w:line="240" w:lineRule="auto"/>
                    <w:ind w:left="-105" w:leftChars="-50" w:right="-105" w:rightChars="-50"/>
                    <w:rPr>
                      <w:rFonts w:ascii="Times New Roman" w:hAnsi="Times New Roman"/>
                      <w:b/>
                      <w:bCs/>
                      <w:szCs w:val="21"/>
                    </w:rPr>
                  </w:pPr>
                  <w:r>
                    <w:rPr>
                      <w:rFonts w:ascii="Times New Roman" w:hAnsi="Times New Roman"/>
                      <w:b/>
                      <w:bCs/>
                      <w:szCs w:val="21"/>
                    </w:rPr>
                    <w:t>排放口地理坐标</w:t>
                  </w:r>
                </w:p>
              </w:tc>
              <w:tc>
                <w:tcPr>
                  <w:tcW w:w="418" w:type="pct"/>
                  <w:vMerge w:val="restart"/>
                  <w:vAlign w:val="center"/>
                </w:tcPr>
                <w:p w14:paraId="00266CF8">
                  <w:pPr>
                    <w:pStyle w:val="50"/>
                    <w:adjustRightInd/>
                    <w:snapToGrid/>
                    <w:spacing w:beforeLines="0" w:line="240" w:lineRule="auto"/>
                    <w:ind w:left="-105" w:leftChars="-50" w:right="-105" w:rightChars="-50"/>
                    <w:rPr>
                      <w:rFonts w:ascii="Times New Roman" w:hAnsi="Times New Roman"/>
                      <w:b/>
                      <w:bCs/>
                      <w:szCs w:val="21"/>
                    </w:rPr>
                  </w:pPr>
                  <w:r>
                    <w:rPr>
                      <w:rFonts w:ascii="Times New Roman" w:hAnsi="Times New Roman"/>
                      <w:b/>
                      <w:bCs/>
                      <w:szCs w:val="21"/>
                    </w:rPr>
                    <w:t>排气筒</w:t>
                  </w:r>
                </w:p>
                <w:p w14:paraId="50DFDB1B">
                  <w:pPr>
                    <w:pStyle w:val="50"/>
                    <w:adjustRightInd/>
                    <w:snapToGrid/>
                    <w:spacing w:beforeLines="0" w:line="240" w:lineRule="auto"/>
                    <w:ind w:left="-105" w:leftChars="-50" w:right="-105" w:rightChars="-50"/>
                    <w:rPr>
                      <w:rFonts w:ascii="Times New Roman" w:hAnsi="Times New Roman"/>
                      <w:b/>
                      <w:bCs/>
                      <w:szCs w:val="21"/>
                    </w:rPr>
                  </w:pPr>
                  <w:r>
                    <w:rPr>
                      <w:rFonts w:ascii="Times New Roman" w:hAnsi="Times New Roman"/>
                      <w:b/>
                      <w:bCs/>
                      <w:szCs w:val="21"/>
                    </w:rPr>
                    <w:t>高度</w:t>
                  </w:r>
                </w:p>
              </w:tc>
              <w:tc>
                <w:tcPr>
                  <w:tcW w:w="417" w:type="pct"/>
                  <w:vMerge w:val="restart"/>
                  <w:vAlign w:val="center"/>
                </w:tcPr>
                <w:p w14:paraId="7B0A0104">
                  <w:pPr>
                    <w:pStyle w:val="50"/>
                    <w:adjustRightInd/>
                    <w:snapToGrid/>
                    <w:spacing w:beforeLines="0" w:line="240" w:lineRule="auto"/>
                    <w:ind w:left="-105" w:leftChars="-50" w:right="-105" w:rightChars="-50"/>
                    <w:rPr>
                      <w:rFonts w:ascii="Times New Roman" w:hAnsi="Times New Roman"/>
                      <w:b/>
                      <w:bCs/>
                      <w:szCs w:val="21"/>
                    </w:rPr>
                  </w:pPr>
                  <w:r>
                    <w:rPr>
                      <w:rFonts w:ascii="Times New Roman" w:hAnsi="Times New Roman"/>
                      <w:b/>
                      <w:bCs/>
                      <w:szCs w:val="21"/>
                    </w:rPr>
                    <w:t>排气筒</w:t>
                  </w:r>
                </w:p>
                <w:p w14:paraId="42F69302">
                  <w:pPr>
                    <w:pStyle w:val="50"/>
                    <w:adjustRightInd/>
                    <w:snapToGrid/>
                    <w:spacing w:beforeLines="0" w:line="240" w:lineRule="auto"/>
                    <w:ind w:left="-105" w:leftChars="-50" w:right="-105" w:rightChars="-50"/>
                    <w:rPr>
                      <w:rFonts w:ascii="Times New Roman" w:hAnsi="Times New Roman"/>
                      <w:b/>
                      <w:bCs/>
                      <w:szCs w:val="21"/>
                    </w:rPr>
                  </w:pPr>
                  <w:r>
                    <w:rPr>
                      <w:rFonts w:ascii="Times New Roman" w:hAnsi="Times New Roman"/>
                      <w:b/>
                      <w:bCs/>
                      <w:szCs w:val="21"/>
                    </w:rPr>
                    <w:t>出口内径</w:t>
                  </w:r>
                </w:p>
              </w:tc>
              <w:tc>
                <w:tcPr>
                  <w:tcW w:w="375" w:type="pct"/>
                  <w:vMerge w:val="restart"/>
                  <w:vAlign w:val="center"/>
                </w:tcPr>
                <w:p w14:paraId="42BBC467">
                  <w:pPr>
                    <w:pStyle w:val="50"/>
                    <w:adjustRightInd/>
                    <w:snapToGrid/>
                    <w:spacing w:beforeLines="0" w:line="240" w:lineRule="auto"/>
                    <w:ind w:left="-105" w:leftChars="-50" w:right="-105" w:rightChars="-50"/>
                    <w:rPr>
                      <w:rFonts w:ascii="Times New Roman" w:hAnsi="Times New Roman"/>
                      <w:b/>
                      <w:bCs/>
                      <w:szCs w:val="21"/>
                    </w:rPr>
                  </w:pPr>
                  <w:r>
                    <w:rPr>
                      <w:rFonts w:ascii="Times New Roman" w:hAnsi="Times New Roman"/>
                      <w:b/>
                      <w:bCs/>
                      <w:szCs w:val="21"/>
                    </w:rPr>
                    <w:t>排气温度</w:t>
                  </w:r>
                </w:p>
              </w:tc>
            </w:tr>
            <w:tr w14:paraId="550CE0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64" w:type="pct"/>
                  <w:vMerge w:val="continue"/>
                  <w:vAlign w:val="center"/>
                </w:tcPr>
                <w:p w14:paraId="000E48D7">
                  <w:pPr>
                    <w:pStyle w:val="50"/>
                    <w:adjustRightInd/>
                    <w:snapToGrid/>
                    <w:spacing w:beforeLines="0" w:line="240" w:lineRule="auto"/>
                    <w:ind w:left="-105" w:leftChars="-50" w:right="-105" w:rightChars="-50"/>
                    <w:rPr>
                      <w:rFonts w:ascii="Times New Roman" w:hAnsi="Times New Roman"/>
                      <w:b/>
                      <w:bCs/>
                      <w:szCs w:val="21"/>
                    </w:rPr>
                  </w:pPr>
                </w:p>
              </w:tc>
              <w:tc>
                <w:tcPr>
                  <w:tcW w:w="517" w:type="pct"/>
                  <w:vMerge w:val="continue"/>
                  <w:vAlign w:val="center"/>
                </w:tcPr>
                <w:p w14:paraId="4A3A00ED">
                  <w:pPr>
                    <w:pStyle w:val="50"/>
                    <w:adjustRightInd/>
                    <w:snapToGrid/>
                    <w:spacing w:beforeLines="0" w:line="240" w:lineRule="auto"/>
                    <w:ind w:left="-105" w:leftChars="-50" w:right="-105" w:rightChars="-50"/>
                    <w:rPr>
                      <w:rFonts w:ascii="Times New Roman" w:hAnsi="Times New Roman"/>
                      <w:b/>
                      <w:bCs/>
                      <w:szCs w:val="21"/>
                    </w:rPr>
                  </w:pPr>
                </w:p>
              </w:tc>
              <w:tc>
                <w:tcPr>
                  <w:tcW w:w="505" w:type="pct"/>
                  <w:vMerge w:val="continue"/>
                  <w:vAlign w:val="center"/>
                </w:tcPr>
                <w:p w14:paraId="2A01F811">
                  <w:pPr>
                    <w:pStyle w:val="50"/>
                    <w:adjustRightInd/>
                    <w:snapToGrid/>
                    <w:spacing w:beforeLines="0" w:line="240" w:lineRule="auto"/>
                    <w:ind w:left="-105" w:leftChars="-50" w:right="-105" w:rightChars="-50"/>
                    <w:rPr>
                      <w:rFonts w:ascii="Times New Roman" w:hAnsi="Times New Roman"/>
                      <w:b/>
                      <w:bCs/>
                      <w:szCs w:val="21"/>
                    </w:rPr>
                  </w:pPr>
                </w:p>
              </w:tc>
              <w:tc>
                <w:tcPr>
                  <w:tcW w:w="668" w:type="pct"/>
                  <w:vMerge w:val="continue"/>
                  <w:vAlign w:val="center"/>
                </w:tcPr>
                <w:p w14:paraId="2B06690D">
                  <w:pPr>
                    <w:pStyle w:val="50"/>
                    <w:adjustRightInd/>
                    <w:snapToGrid/>
                    <w:spacing w:beforeLines="0" w:line="240" w:lineRule="auto"/>
                    <w:ind w:left="-105" w:leftChars="-50" w:right="-105" w:rightChars="-50"/>
                    <w:rPr>
                      <w:rFonts w:ascii="Times New Roman" w:hAnsi="Times New Roman"/>
                      <w:b/>
                      <w:bCs/>
                      <w:szCs w:val="21"/>
                    </w:rPr>
                  </w:pPr>
                </w:p>
              </w:tc>
              <w:tc>
                <w:tcPr>
                  <w:tcW w:w="917" w:type="pct"/>
                  <w:vAlign w:val="center"/>
                </w:tcPr>
                <w:p w14:paraId="018FBAD1">
                  <w:pPr>
                    <w:pStyle w:val="50"/>
                    <w:adjustRightInd/>
                    <w:snapToGrid/>
                    <w:spacing w:beforeLines="0" w:line="240" w:lineRule="auto"/>
                    <w:ind w:left="-105" w:leftChars="-50" w:right="-105" w:rightChars="-50"/>
                    <w:rPr>
                      <w:rFonts w:ascii="Times New Roman" w:hAnsi="Times New Roman"/>
                      <w:b/>
                      <w:bCs/>
                      <w:szCs w:val="21"/>
                    </w:rPr>
                  </w:pPr>
                  <w:r>
                    <w:rPr>
                      <w:rFonts w:ascii="Times New Roman" w:hAnsi="Times New Roman"/>
                      <w:b/>
                      <w:bCs/>
                      <w:szCs w:val="21"/>
                    </w:rPr>
                    <w:t>经度</w:t>
                  </w:r>
                </w:p>
              </w:tc>
              <w:tc>
                <w:tcPr>
                  <w:tcW w:w="919" w:type="pct"/>
                  <w:vAlign w:val="center"/>
                </w:tcPr>
                <w:p w14:paraId="0B897C66">
                  <w:pPr>
                    <w:pStyle w:val="50"/>
                    <w:adjustRightInd/>
                    <w:snapToGrid/>
                    <w:spacing w:beforeLines="0" w:line="240" w:lineRule="auto"/>
                    <w:ind w:left="-105" w:leftChars="-50" w:right="-105" w:rightChars="-50"/>
                    <w:rPr>
                      <w:rFonts w:ascii="Times New Roman" w:hAnsi="Times New Roman"/>
                      <w:b/>
                      <w:bCs/>
                      <w:szCs w:val="21"/>
                    </w:rPr>
                  </w:pPr>
                  <w:r>
                    <w:rPr>
                      <w:rFonts w:ascii="Times New Roman" w:hAnsi="Times New Roman"/>
                      <w:b/>
                      <w:bCs/>
                      <w:szCs w:val="21"/>
                    </w:rPr>
                    <w:t>纬度</w:t>
                  </w:r>
                </w:p>
              </w:tc>
              <w:tc>
                <w:tcPr>
                  <w:tcW w:w="418" w:type="pct"/>
                  <w:vMerge w:val="continue"/>
                  <w:vAlign w:val="center"/>
                </w:tcPr>
                <w:p w14:paraId="6C0F7195">
                  <w:pPr>
                    <w:pStyle w:val="50"/>
                    <w:adjustRightInd/>
                    <w:snapToGrid/>
                    <w:spacing w:beforeLines="0" w:line="240" w:lineRule="auto"/>
                    <w:ind w:left="-105" w:leftChars="-50" w:right="-105" w:rightChars="-50"/>
                    <w:rPr>
                      <w:rFonts w:ascii="Times New Roman" w:hAnsi="Times New Roman"/>
                      <w:b/>
                      <w:bCs/>
                      <w:szCs w:val="21"/>
                    </w:rPr>
                  </w:pPr>
                </w:p>
              </w:tc>
              <w:tc>
                <w:tcPr>
                  <w:tcW w:w="417" w:type="pct"/>
                  <w:vMerge w:val="continue"/>
                  <w:vAlign w:val="center"/>
                </w:tcPr>
                <w:p w14:paraId="65611BE0">
                  <w:pPr>
                    <w:pStyle w:val="50"/>
                    <w:adjustRightInd/>
                    <w:snapToGrid/>
                    <w:spacing w:beforeLines="0" w:line="240" w:lineRule="auto"/>
                    <w:ind w:left="-105" w:leftChars="-50" w:right="-105" w:rightChars="-50"/>
                    <w:rPr>
                      <w:rFonts w:ascii="Times New Roman" w:hAnsi="Times New Roman"/>
                      <w:b/>
                      <w:bCs/>
                      <w:szCs w:val="21"/>
                    </w:rPr>
                  </w:pPr>
                </w:p>
              </w:tc>
              <w:tc>
                <w:tcPr>
                  <w:tcW w:w="375" w:type="pct"/>
                  <w:vMerge w:val="continue"/>
                  <w:vAlign w:val="center"/>
                </w:tcPr>
                <w:p w14:paraId="7E7835EC">
                  <w:pPr>
                    <w:pStyle w:val="50"/>
                    <w:adjustRightInd/>
                    <w:snapToGrid/>
                    <w:spacing w:beforeLines="0" w:line="240" w:lineRule="auto"/>
                    <w:ind w:left="-105" w:leftChars="-50" w:right="-105" w:rightChars="-50"/>
                    <w:rPr>
                      <w:rFonts w:ascii="Times New Roman" w:hAnsi="Times New Roman"/>
                      <w:b/>
                      <w:bCs/>
                      <w:szCs w:val="21"/>
                    </w:rPr>
                  </w:pPr>
                </w:p>
              </w:tc>
            </w:tr>
            <w:tr w14:paraId="492B3E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64" w:type="pct"/>
                  <w:vAlign w:val="center"/>
                </w:tcPr>
                <w:p w14:paraId="546D8A21">
                  <w:pPr>
                    <w:pStyle w:val="50"/>
                    <w:adjustRightInd/>
                    <w:snapToGrid/>
                    <w:spacing w:beforeLines="0" w:line="240" w:lineRule="auto"/>
                    <w:rPr>
                      <w:rFonts w:ascii="Times New Roman" w:hAnsi="Times New Roman"/>
                      <w:szCs w:val="21"/>
                    </w:rPr>
                  </w:pPr>
                  <w:r>
                    <w:rPr>
                      <w:rFonts w:ascii="Times New Roman" w:hAnsi="Times New Roman"/>
                      <w:szCs w:val="21"/>
                    </w:rPr>
                    <w:t>1</w:t>
                  </w:r>
                </w:p>
              </w:tc>
              <w:tc>
                <w:tcPr>
                  <w:tcW w:w="517" w:type="pct"/>
                  <w:vAlign w:val="center"/>
                </w:tcPr>
                <w:p w14:paraId="1BD46BAF">
                  <w:pPr>
                    <w:pStyle w:val="50"/>
                    <w:adjustRightInd/>
                    <w:snapToGrid/>
                    <w:spacing w:beforeLines="0" w:line="240" w:lineRule="auto"/>
                    <w:rPr>
                      <w:rFonts w:ascii="Times New Roman" w:hAnsi="Times New Roman"/>
                      <w:szCs w:val="21"/>
                    </w:rPr>
                  </w:pPr>
                  <w:r>
                    <w:rPr>
                      <w:rFonts w:ascii="Times New Roman" w:hAnsi="Times New Roman"/>
                      <w:szCs w:val="21"/>
                    </w:rPr>
                    <w:t>DA001</w:t>
                  </w:r>
                </w:p>
              </w:tc>
              <w:tc>
                <w:tcPr>
                  <w:tcW w:w="505" w:type="pct"/>
                  <w:vAlign w:val="center"/>
                </w:tcPr>
                <w:p w14:paraId="65C254CD">
                  <w:pPr>
                    <w:pStyle w:val="50"/>
                    <w:adjustRightInd/>
                    <w:snapToGrid/>
                    <w:spacing w:beforeLines="0" w:line="240" w:lineRule="auto"/>
                    <w:rPr>
                      <w:rFonts w:ascii="Times New Roman" w:hAnsi="Times New Roman"/>
                      <w:szCs w:val="21"/>
                    </w:rPr>
                  </w:pPr>
                  <w:r>
                    <w:rPr>
                      <w:rFonts w:ascii="Times New Roman" w:hAnsi="Times New Roman"/>
                      <w:szCs w:val="21"/>
                    </w:rPr>
                    <w:t>生物质气化锅炉废气排放口</w:t>
                  </w:r>
                </w:p>
              </w:tc>
              <w:tc>
                <w:tcPr>
                  <w:tcW w:w="668" w:type="pct"/>
                  <w:vAlign w:val="center"/>
                </w:tcPr>
                <w:p w14:paraId="7214CDF0">
                  <w:pPr>
                    <w:pStyle w:val="50"/>
                    <w:adjustRightInd/>
                    <w:snapToGrid/>
                    <w:spacing w:beforeLines="0" w:line="240" w:lineRule="auto"/>
                    <w:rPr>
                      <w:rFonts w:ascii="Times New Roman" w:hAnsi="Times New Roman"/>
                      <w:szCs w:val="21"/>
                    </w:rPr>
                  </w:pPr>
                  <w:r>
                    <w:rPr>
                      <w:rFonts w:ascii="Times New Roman" w:hAnsi="Times New Roman"/>
                      <w:szCs w:val="21"/>
                    </w:rPr>
                    <w:t>颗粒物、二氧化硫、氮氧化物、林格曼黑度</w:t>
                  </w:r>
                </w:p>
              </w:tc>
              <w:tc>
                <w:tcPr>
                  <w:tcW w:w="917" w:type="pct"/>
                  <w:vAlign w:val="center"/>
                </w:tcPr>
                <w:p w14:paraId="7D2B6217">
                  <w:r>
                    <w:t>111.301265007</w:t>
                  </w:r>
                </w:p>
              </w:tc>
              <w:tc>
                <w:tcPr>
                  <w:tcW w:w="919" w:type="pct"/>
                  <w:vAlign w:val="center"/>
                </w:tcPr>
                <w:p w14:paraId="6283976E">
                  <w:r>
                    <w:t>28.384561687</w:t>
                  </w:r>
                </w:p>
              </w:tc>
              <w:tc>
                <w:tcPr>
                  <w:tcW w:w="418" w:type="pct"/>
                  <w:vAlign w:val="center"/>
                </w:tcPr>
                <w:p w14:paraId="40560F7D">
                  <w:pPr>
                    <w:pStyle w:val="50"/>
                    <w:adjustRightInd/>
                    <w:snapToGrid/>
                    <w:spacing w:beforeLines="0" w:line="240" w:lineRule="auto"/>
                    <w:rPr>
                      <w:rFonts w:ascii="Times New Roman" w:hAnsi="Times New Roman"/>
                      <w:szCs w:val="21"/>
                    </w:rPr>
                  </w:pPr>
                  <w:r>
                    <w:rPr>
                      <w:rFonts w:ascii="Times New Roman" w:hAnsi="Times New Roman"/>
                      <w:szCs w:val="21"/>
                    </w:rPr>
                    <w:t>2</w:t>
                  </w:r>
                  <w:r>
                    <w:rPr>
                      <w:rFonts w:hint="eastAsia" w:ascii="Times New Roman" w:hAnsi="Times New Roman"/>
                      <w:szCs w:val="21"/>
                    </w:rPr>
                    <w:t>1</w:t>
                  </w:r>
                  <w:r>
                    <w:rPr>
                      <w:rFonts w:ascii="Times New Roman" w:hAnsi="Times New Roman"/>
                      <w:szCs w:val="21"/>
                    </w:rPr>
                    <w:t>m</w:t>
                  </w:r>
                </w:p>
              </w:tc>
              <w:tc>
                <w:tcPr>
                  <w:tcW w:w="417" w:type="pct"/>
                  <w:vAlign w:val="center"/>
                </w:tcPr>
                <w:p w14:paraId="584DE2D4">
                  <w:pPr>
                    <w:pStyle w:val="50"/>
                    <w:adjustRightInd/>
                    <w:snapToGrid/>
                    <w:spacing w:beforeLines="0" w:line="240" w:lineRule="auto"/>
                    <w:rPr>
                      <w:rFonts w:ascii="Times New Roman" w:hAnsi="Times New Roman"/>
                      <w:szCs w:val="21"/>
                    </w:rPr>
                  </w:pPr>
                  <w:r>
                    <w:rPr>
                      <w:rFonts w:ascii="Times New Roman" w:hAnsi="Times New Roman"/>
                      <w:szCs w:val="21"/>
                    </w:rPr>
                    <w:t>0.4m</w:t>
                  </w:r>
                </w:p>
              </w:tc>
              <w:tc>
                <w:tcPr>
                  <w:tcW w:w="375" w:type="pct"/>
                  <w:vAlign w:val="center"/>
                </w:tcPr>
                <w:p w14:paraId="0ABC8926">
                  <w:pPr>
                    <w:pStyle w:val="50"/>
                    <w:adjustRightInd/>
                    <w:snapToGrid/>
                    <w:spacing w:beforeLines="0" w:line="240" w:lineRule="auto"/>
                    <w:rPr>
                      <w:rFonts w:ascii="Times New Roman" w:hAnsi="Times New Roman"/>
                      <w:szCs w:val="21"/>
                    </w:rPr>
                  </w:pPr>
                  <w:r>
                    <w:rPr>
                      <w:rFonts w:ascii="Times New Roman" w:hAnsi="Times New Roman"/>
                      <w:szCs w:val="21"/>
                    </w:rPr>
                    <w:t>60℃</w:t>
                  </w:r>
                </w:p>
              </w:tc>
            </w:tr>
            <w:tr w14:paraId="4C4CA5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8" w:type="dxa"/>
                  <w:vAlign w:val="center"/>
                </w:tcPr>
                <w:p w14:paraId="7CA6E3D7">
                  <w:pPr>
                    <w:pStyle w:val="21"/>
                    <w:widowControl w:val="0"/>
                    <w:spacing w:before="24" w:beforeLines="10" w:beforeAutospacing="0" w:after="0" w:afterAutospacing="0"/>
                    <w:jc w:val="center"/>
                    <w:rPr>
                      <w:rFonts w:ascii="Times New Roman" w:hAnsi="Times New Roman"/>
                      <w:szCs w:val="21"/>
                    </w:rPr>
                  </w:pPr>
                  <w:r>
                    <w:rPr>
                      <w:rFonts w:ascii="Times New Roman" w:hAnsi="Times New Roman"/>
                      <w:kern w:val="0"/>
                      <w:sz w:val="20"/>
                      <w:szCs w:val="21"/>
                      <w:lang w:bidi="ar"/>
                    </w:rPr>
                    <w:t>2</w:t>
                  </w:r>
                </w:p>
              </w:tc>
              <w:tc>
                <w:tcPr>
                  <w:tcW w:w="878" w:type="dxa"/>
                  <w:vAlign w:val="center"/>
                </w:tcPr>
                <w:p w14:paraId="4D2C12CA">
                  <w:pPr>
                    <w:pStyle w:val="21"/>
                    <w:widowControl w:val="0"/>
                    <w:spacing w:before="24" w:beforeLines="10" w:beforeAutospacing="0" w:after="0" w:afterAutospacing="0"/>
                    <w:jc w:val="center"/>
                    <w:rPr>
                      <w:rFonts w:ascii="Times New Roman" w:hAnsi="Times New Roman"/>
                      <w:szCs w:val="21"/>
                    </w:rPr>
                  </w:pPr>
                  <w:r>
                    <w:rPr>
                      <w:rFonts w:ascii="Times New Roman" w:hAnsi="Times New Roman"/>
                      <w:kern w:val="0"/>
                      <w:sz w:val="20"/>
                      <w:szCs w:val="21"/>
                      <w:lang w:bidi="ar"/>
                    </w:rPr>
                    <w:t>DA002</w:t>
                  </w:r>
                </w:p>
              </w:tc>
              <w:tc>
                <w:tcPr>
                  <w:tcW w:w="858" w:type="dxa"/>
                  <w:vAlign w:val="center"/>
                </w:tcPr>
                <w:p w14:paraId="7975AAC6">
                  <w:pPr>
                    <w:pStyle w:val="21"/>
                    <w:widowControl w:val="0"/>
                    <w:spacing w:before="24" w:beforeLines="10" w:beforeAutospacing="0" w:after="0" w:afterAutospacing="0"/>
                    <w:jc w:val="center"/>
                    <w:rPr>
                      <w:rFonts w:ascii="Times New Roman" w:hAnsi="Times New Roman"/>
                      <w:szCs w:val="21"/>
                    </w:rPr>
                  </w:pPr>
                  <w:r>
                    <w:rPr>
                      <w:rFonts w:ascii="Times New Roman" w:hAnsi="Times New Roman"/>
                      <w:kern w:val="0"/>
                      <w:sz w:val="20"/>
                      <w:szCs w:val="21"/>
                      <w:lang w:bidi="ar"/>
                    </w:rPr>
                    <w:t>油炸废气排放口</w:t>
                  </w:r>
                </w:p>
              </w:tc>
              <w:tc>
                <w:tcPr>
                  <w:tcW w:w="1135" w:type="dxa"/>
                  <w:vAlign w:val="center"/>
                </w:tcPr>
                <w:p w14:paraId="0F580549">
                  <w:pPr>
                    <w:pStyle w:val="21"/>
                    <w:widowControl w:val="0"/>
                    <w:spacing w:before="24" w:beforeLines="10" w:beforeAutospacing="0" w:after="0" w:afterAutospacing="0"/>
                    <w:jc w:val="center"/>
                    <w:rPr>
                      <w:rFonts w:ascii="Times New Roman" w:hAnsi="Times New Roman"/>
                      <w:szCs w:val="21"/>
                    </w:rPr>
                  </w:pPr>
                  <w:r>
                    <w:rPr>
                      <w:rFonts w:ascii="Times New Roman" w:hAnsi="Times New Roman"/>
                      <w:kern w:val="0"/>
                      <w:sz w:val="20"/>
                      <w:szCs w:val="21"/>
                      <w:lang w:bidi="ar"/>
                    </w:rPr>
                    <w:t>油烟</w:t>
                  </w:r>
                </w:p>
              </w:tc>
              <w:tc>
                <w:tcPr>
                  <w:tcW w:w="1558" w:type="dxa"/>
                  <w:vAlign w:val="center"/>
                </w:tcPr>
                <w:p w14:paraId="6EE51BD0">
                  <w:pPr>
                    <w:pStyle w:val="21"/>
                    <w:widowControl w:val="0"/>
                    <w:spacing w:before="24" w:beforeLines="10" w:beforeAutospacing="0" w:after="0" w:afterAutospacing="0"/>
                    <w:jc w:val="center"/>
                    <w:rPr>
                      <w:rFonts w:ascii="Times New Roman" w:hAnsi="Times New Roman"/>
                    </w:rPr>
                  </w:pPr>
                  <w:r>
                    <w:rPr>
                      <w:rFonts w:ascii="Times New Roman" w:hAnsi="Times New Roman"/>
                      <w:kern w:val="0"/>
                      <w:sz w:val="20"/>
                      <w:szCs w:val="20"/>
                      <w:lang w:bidi="ar"/>
                    </w:rPr>
                    <w:t>111.301218770</w:t>
                  </w:r>
                </w:p>
              </w:tc>
              <w:tc>
                <w:tcPr>
                  <w:tcW w:w="1561" w:type="dxa"/>
                  <w:vAlign w:val="center"/>
                </w:tcPr>
                <w:p w14:paraId="5D45FE40">
                  <w:pPr>
                    <w:pStyle w:val="21"/>
                    <w:widowControl w:val="0"/>
                    <w:spacing w:before="24" w:beforeLines="10" w:beforeAutospacing="0" w:after="0" w:afterAutospacing="0"/>
                    <w:jc w:val="center"/>
                    <w:rPr>
                      <w:rFonts w:ascii="Times New Roman" w:hAnsi="Times New Roman"/>
                    </w:rPr>
                  </w:pPr>
                  <w:r>
                    <w:rPr>
                      <w:rFonts w:ascii="Times New Roman" w:hAnsi="Times New Roman"/>
                      <w:kern w:val="0"/>
                      <w:sz w:val="20"/>
                      <w:szCs w:val="20"/>
                      <w:lang w:bidi="ar"/>
                    </w:rPr>
                    <w:t>28.384464787</w:t>
                  </w:r>
                </w:p>
              </w:tc>
              <w:tc>
                <w:tcPr>
                  <w:tcW w:w="710" w:type="dxa"/>
                  <w:vAlign w:val="center"/>
                </w:tcPr>
                <w:p w14:paraId="3645CA48">
                  <w:pPr>
                    <w:pStyle w:val="21"/>
                    <w:widowControl w:val="0"/>
                    <w:spacing w:before="24" w:beforeLines="10" w:beforeAutospacing="0" w:after="0" w:afterAutospacing="0"/>
                    <w:jc w:val="center"/>
                    <w:rPr>
                      <w:rFonts w:ascii="Times New Roman" w:hAnsi="Times New Roman"/>
                      <w:szCs w:val="21"/>
                    </w:rPr>
                  </w:pPr>
                  <w:r>
                    <w:rPr>
                      <w:rFonts w:ascii="Times New Roman" w:hAnsi="Times New Roman"/>
                      <w:kern w:val="0"/>
                      <w:sz w:val="20"/>
                      <w:szCs w:val="20"/>
                      <w:lang w:bidi="ar"/>
                    </w:rPr>
                    <w:t>高于屋顶排放</w:t>
                  </w:r>
                </w:p>
              </w:tc>
              <w:tc>
                <w:tcPr>
                  <w:tcW w:w="708" w:type="dxa"/>
                  <w:vAlign w:val="center"/>
                </w:tcPr>
                <w:p w14:paraId="6C56BB02">
                  <w:pPr>
                    <w:pStyle w:val="21"/>
                    <w:widowControl w:val="0"/>
                    <w:spacing w:before="24" w:beforeLines="10" w:beforeAutospacing="0" w:after="0" w:afterAutospacing="0"/>
                    <w:jc w:val="center"/>
                    <w:rPr>
                      <w:rFonts w:ascii="Times New Roman" w:hAnsi="Times New Roman"/>
                      <w:szCs w:val="21"/>
                    </w:rPr>
                  </w:pPr>
                  <w:r>
                    <w:rPr>
                      <w:rFonts w:hint="eastAsia" w:ascii="Times New Roman" w:hAnsi="Times New Roman"/>
                      <w:kern w:val="0"/>
                      <w:sz w:val="20"/>
                      <w:szCs w:val="21"/>
                      <w:lang w:bidi="ar"/>
                    </w:rPr>
                    <w:t>0.4m</w:t>
                  </w:r>
                </w:p>
              </w:tc>
              <w:tc>
                <w:tcPr>
                  <w:tcW w:w="637" w:type="dxa"/>
                  <w:vAlign w:val="center"/>
                </w:tcPr>
                <w:p w14:paraId="48CF315A">
                  <w:pPr>
                    <w:pStyle w:val="21"/>
                    <w:widowControl w:val="0"/>
                    <w:spacing w:before="24" w:beforeLines="10" w:beforeAutospacing="0" w:after="0" w:afterAutospacing="0"/>
                    <w:jc w:val="center"/>
                    <w:rPr>
                      <w:rFonts w:ascii="Times New Roman" w:hAnsi="Times New Roman"/>
                      <w:szCs w:val="21"/>
                    </w:rPr>
                  </w:pPr>
                  <w:r>
                    <w:rPr>
                      <w:rFonts w:ascii="Times New Roman" w:hAnsi="Times New Roman"/>
                      <w:kern w:val="0"/>
                      <w:sz w:val="20"/>
                      <w:szCs w:val="21"/>
                      <w:lang w:bidi="ar"/>
                    </w:rPr>
                    <w:t>60℃</w:t>
                  </w:r>
                </w:p>
              </w:tc>
            </w:tr>
          </w:tbl>
          <w:p w14:paraId="1FA75224">
            <w:pPr>
              <w:adjustRightInd w:val="0"/>
              <w:snapToGrid w:val="0"/>
              <w:spacing w:line="360" w:lineRule="auto"/>
              <w:ind w:firstLine="482" w:firstLineChars="200"/>
              <w:rPr>
                <w:b/>
                <w:bCs/>
                <w:sz w:val="24"/>
                <w:szCs w:val="24"/>
                <w:u w:val="single"/>
              </w:rPr>
            </w:pPr>
            <w:r>
              <w:rPr>
                <w:b/>
                <w:bCs/>
                <w:sz w:val="24"/>
                <w:szCs w:val="24"/>
                <w:lang w:bidi="ar"/>
              </w:rPr>
              <w:t>排气筒设置合理性分析</w:t>
            </w:r>
          </w:p>
          <w:p w14:paraId="26CA7CE6">
            <w:pPr>
              <w:adjustRightInd w:val="0"/>
              <w:snapToGrid w:val="0"/>
              <w:spacing w:line="360" w:lineRule="auto"/>
              <w:ind w:firstLine="480" w:firstLineChars="200"/>
              <w:rPr>
                <w:sz w:val="24"/>
                <w:szCs w:val="24"/>
              </w:rPr>
            </w:pPr>
            <w:r>
              <w:rPr>
                <w:sz w:val="24"/>
                <w:szCs w:val="24"/>
                <w:lang w:bidi="ar"/>
              </w:rPr>
              <w:t>（1）高度合理性</w:t>
            </w:r>
          </w:p>
          <w:p w14:paraId="58B66E93">
            <w:pPr>
              <w:adjustRightInd w:val="0"/>
              <w:snapToGrid w:val="0"/>
              <w:spacing w:line="360" w:lineRule="auto"/>
              <w:ind w:firstLine="480" w:firstLineChars="200"/>
              <w:rPr>
                <w:sz w:val="24"/>
                <w:szCs w:val="24"/>
              </w:rPr>
            </w:pPr>
            <w:r>
              <w:rPr>
                <w:sz w:val="24"/>
                <w:szCs w:val="24"/>
                <w:lang w:bidi="ar"/>
              </w:rPr>
              <w:t>根据《锅炉大气污染物排放标准》（GB13271-2014）4.5</w:t>
            </w:r>
            <w:r>
              <w:rPr>
                <w:rFonts w:hint="eastAsia" w:ascii="宋体" w:hAnsi="宋体" w:cs="宋体"/>
                <w:sz w:val="24"/>
                <w:szCs w:val="24"/>
                <w:lang w:bidi="ar"/>
              </w:rPr>
              <w:t>“每个新建燃煤锅炉房只能设一根烟肉，烟囱高度应根据锅炉房装机</w:t>
            </w:r>
            <w:r>
              <w:rPr>
                <w:sz w:val="24"/>
                <w:szCs w:val="24"/>
                <w:lang w:bidi="ar"/>
              </w:rPr>
              <w:t>总容量，按表4规定执行，燃油、燃气锅炉烟囱不低于8米，锅炉烟囱的具体高度按批复的环境影响评价文件确定。新建锅炉房的烟囱周围半径200m距离内有建筑物时，其烟囱应高出最高建筑物3m以上。”</w:t>
            </w:r>
          </w:p>
          <w:p w14:paraId="21473516">
            <w:pPr>
              <w:adjustRightInd w:val="0"/>
              <w:snapToGrid w:val="0"/>
              <w:spacing w:line="360" w:lineRule="auto"/>
              <w:ind w:firstLine="480" w:firstLineChars="200"/>
              <w:rPr>
                <w:sz w:val="24"/>
                <w:szCs w:val="24"/>
              </w:rPr>
            </w:pPr>
            <w:r>
              <w:rPr>
                <w:color w:val="000000"/>
                <w:sz w:val="24"/>
                <w:szCs w:val="24"/>
              </w:rPr>
              <w:t>周围半径200m距离内最高建筑为厂区内6层高综合楼，高为</w:t>
            </w:r>
            <w:r>
              <w:rPr>
                <w:rFonts w:hint="eastAsia"/>
                <w:color w:val="000000"/>
                <w:sz w:val="24"/>
                <w:szCs w:val="24"/>
              </w:rPr>
              <w:t>18</w:t>
            </w:r>
            <w:r>
              <w:rPr>
                <w:color w:val="000000"/>
                <w:sz w:val="24"/>
                <w:szCs w:val="24"/>
              </w:rPr>
              <w:t>m。生物质气化锅炉排气筒高度拟设为2</w:t>
            </w:r>
            <w:r>
              <w:rPr>
                <w:rFonts w:hint="eastAsia"/>
                <w:color w:val="000000"/>
                <w:sz w:val="24"/>
                <w:szCs w:val="24"/>
              </w:rPr>
              <w:t>1</w:t>
            </w:r>
            <w:r>
              <w:rPr>
                <w:color w:val="000000"/>
                <w:sz w:val="24"/>
                <w:szCs w:val="24"/>
              </w:rPr>
              <w:t>m，满足高出最高建筑物3m（本项目为</w:t>
            </w:r>
            <w:r>
              <w:rPr>
                <w:rFonts w:hint="eastAsia"/>
                <w:color w:val="000000"/>
                <w:sz w:val="24"/>
                <w:szCs w:val="24"/>
              </w:rPr>
              <w:t>18</w:t>
            </w:r>
            <w:r>
              <w:rPr>
                <w:color w:val="000000"/>
                <w:sz w:val="24"/>
                <w:szCs w:val="24"/>
              </w:rPr>
              <w:t>m）以上标准要求</w:t>
            </w:r>
            <w:r>
              <w:rPr>
                <w:sz w:val="24"/>
                <w:szCs w:val="24"/>
                <w:lang w:bidi="ar"/>
              </w:rPr>
              <w:t>。</w:t>
            </w:r>
          </w:p>
          <w:p w14:paraId="6BBE94EC">
            <w:pPr>
              <w:adjustRightInd w:val="0"/>
              <w:snapToGrid w:val="0"/>
              <w:spacing w:line="360" w:lineRule="auto"/>
              <w:ind w:firstLine="480" w:firstLineChars="200"/>
              <w:rPr>
                <w:sz w:val="24"/>
                <w:szCs w:val="24"/>
              </w:rPr>
            </w:pPr>
            <w:r>
              <w:rPr>
                <w:sz w:val="24"/>
                <w:szCs w:val="24"/>
                <w:lang w:bidi="ar"/>
              </w:rPr>
              <w:t>2）气流速度合理性</w:t>
            </w:r>
          </w:p>
          <w:p w14:paraId="14228D51">
            <w:pPr>
              <w:adjustRightInd w:val="0"/>
              <w:snapToGrid w:val="0"/>
              <w:spacing w:line="360" w:lineRule="auto"/>
              <w:ind w:firstLine="480" w:firstLineChars="200"/>
              <w:rPr>
                <w:sz w:val="24"/>
                <w:szCs w:val="24"/>
              </w:rPr>
            </w:pPr>
            <w:r>
              <w:rPr>
                <w:sz w:val="24"/>
                <w:szCs w:val="24"/>
                <w:lang w:bidi="ar"/>
              </w:rPr>
              <w:t>根据《大气污染治理工程技术导则》（HJ2000-2010）之5.3污染气体的排放之5.3.5“排气筒的出口直径应根据出口流速确定，流速宜取15m/s左右。当采用钢管烟囱且高度较高时或烟气量较大时，可适当提高出口流速至20m/s～25m/s左右。”</w:t>
            </w:r>
          </w:p>
          <w:p w14:paraId="5A8C271E">
            <w:pPr>
              <w:adjustRightInd w:val="0"/>
              <w:snapToGrid w:val="0"/>
              <w:spacing w:line="360" w:lineRule="auto"/>
              <w:ind w:firstLine="480" w:firstLineChars="200"/>
              <w:rPr>
                <w:sz w:val="24"/>
                <w:szCs w:val="24"/>
              </w:rPr>
            </w:pPr>
            <w:r>
              <w:rPr>
                <w:sz w:val="24"/>
                <w:szCs w:val="24"/>
                <w:lang w:bidi="ar"/>
              </w:rPr>
              <w:t>项目生物质气化锅炉废气排放口烟气流速约为14.77m/s，从大气污染物排放和扩散角度来讲，在保证满足排气筒设计要求的前提下适当加大出口烟速，有利于烟气及污染物的动力抬升和降低落地浓度。但是，出口烟速过高则易导致送风、排烟系统压力过大，经济上不适宜，且烟气在烟囱出口处会出现急剧夹卷效应；而出口烟速过低易造成烟气在烟囱出口处出现下洗，从而排烟不畅，不利于烟气排放和迅速扩散，既影响相关排烟设备正常运行和经济技术设计最优化，同时也会出现漫烟等扩散造成局部重污染。两者形成平衡，才是合理。综合考虑，本项目排放口烟气流速设置合理。</w:t>
            </w:r>
          </w:p>
          <w:p w14:paraId="1D21F3AB">
            <w:pPr>
              <w:adjustRightInd w:val="0"/>
              <w:snapToGrid w:val="0"/>
              <w:spacing w:line="360" w:lineRule="auto"/>
              <w:rPr>
                <w:b/>
                <w:bCs/>
                <w:sz w:val="24"/>
                <w:szCs w:val="24"/>
              </w:rPr>
            </w:pPr>
            <w:r>
              <w:rPr>
                <w:b/>
                <w:bCs/>
                <w:sz w:val="24"/>
                <w:szCs w:val="24"/>
              </w:rPr>
              <w:t>1.3非正常（事故）情况下污染物排放分析</w:t>
            </w:r>
          </w:p>
          <w:p w14:paraId="3AE65C0F">
            <w:pPr>
              <w:adjustRightInd w:val="0"/>
              <w:snapToGrid w:val="0"/>
              <w:spacing w:line="360" w:lineRule="auto"/>
              <w:ind w:firstLine="480" w:firstLineChars="200"/>
              <w:rPr>
                <w:color w:val="000000"/>
                <w:sz w:val="24"/>
                <w:szCs w:val="24"/>
              </w:rPr>
            </w:pPr>
            <w:r>
              <w:rPr>
                <w:rFonts w:hint="eastAsia" w:cs="宋体"/>
                <w:color w:val="000000"/>
                <w:sz w:val="24"/>
                <w:szCs w:val="24"/>
                <w:lang w:bidi="ar"/>
              </w:rPr>
              <w:t>根据项目特点分析，本项目环保设施故障重点关注的非正常情况为排风设施等处理设备出现故障使得环保设施对废气处理效率降低，甚至失效（处理效率为零）。综上分析可知，本项目生产设施开停机非正常工况和突发性停电概率较小，本环评考虑废气设施出现故障（即处理效率为零）的状况，废气污染物非正常排放情况见下表：</w:t>
            </w:r>
          </w:p>
          <w:p w14:paraId="1BF359D3">
            <w:pPr>
              <w:tabs>
                <w:tab w:val="left" w:pos="2196"/>
              </w:tabs>
              <w:spacing w:line="360" w:lineRule="auto"/>
              <w:jc w:val="center"/>
              <w:rPr>
                <w:b/>
                <w:color w:val="000000"/>
                <w:sz w:val="24"/>
                <w:szCs w:val="24"/>
              </w:rPr>
            </w:pPr>
            <w:r>
              <w:rPr>
                <w:b/>
                <w:color w:val="000000"/>
                <w:sz w:val="24"/>
                <w:szCs w:val="24"/>
              </w:rPr>
              <w:t>表4-8  非正常情况废气排放情况一览表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0" w:type="dxa"/>
                <w:bottom w:w="0" w:type="dxa"/>
                <w:right w:w="0" w:type="dxa"/>
              </w:tblCellMar>
            </w:tblPr>
            <w:tblGrid>
              <w:gridCol w:w="297"/>
              <w:gridCol w:w="639"/>
              <w:gridCol w:w="809"/>
              <w:gridCol w:w="476"/>
              <w:gridCol w:w="1031"/>
              <w:gridCol w:w="1413"/>
              <w:gridCol w:w="1593"/>
              <w:gridCol w:w="713"/>
              <w:gridCol w:w="471"/>
              <w:gridCol w:w="1051"/>
            </w:tblGrid>
            <w:tr w14:paraId="4A095961">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74" w:type="pct"/>
                  <w:vAlign w:val="center"/>
                </w:tcPr>
                <w:p w14:paraId="24533CD9">
                  <w:pPr>
                    <w:widowControl/>
                    <w:autoSpaceDE w:val="0"/>
                    <w:autoSpaceDN w:val="0"/>
                    <w:adjustRightInd w:val="0"/>
                    <w:snapToGrid w:val="0"/>
                    <w:jc w:val="center"/>
                    <w:rPr>
                      <w:b/>
                      <w:bCs/>
                      <w:color w:val="000000"/>
                      <w:szCs w:val="21"/>
                    </w:rPr>
                  </w:pPr>
                  <w:r>
                    <w:rPr>
                      <w:b/>
                      <w:bCs/>
                      <w:color w:val="000000"/>
                      <w:szCs w:val="21"/>
                    </w:rPr>
                    <w:t>序号</w:t>
                  </w:r>
                </w:p>
              </w:tc>
              <w:tc>
                <w:tcPr>
                  <w:tcW w:w="376" w:type="pct"/>
                  <w:vAlign w:val="center"/>
                </w:tcPr>
                <w:p w14:paraId="51CED4FC">
                  <w:pPr>
                    <w:widowControl/>
                    <w:autoSpaceDE w:val="0"/>
                    <w:autoSpaceDN w:val="0"/>
                    <w:adjustRightInd w:val="0"/>
                    <w:snapToGrid w:val="0"/>
                    <w:jc w:val="center"/>
                    <w:rPr>
                      <w:b/>
                      <w:bCs/>
                      <w:color w:val="000000"/>
                      <w:szCs w:val="21"/>
                    </w:rPr>
                  </w:pPr>
                  <w:r>
                    <w:rPr>
                      <w:b/>
                      <w:bCs/>
                      <w:color w:val="000000"/>
                      <w:szCs w:val="21"/>
                    </w:rPr>
                    <w:t>污染源</w:t>
                  </w:r>
                </w:p>
              </w:tc>
              <w:tc>
                <w:tcPr>
                  <w:tcW w:w="476" w:type="pct"/>
                  <w:vAlign w:val="center"/>
                </w:tcPr>
                <w:p w14:paraId="1DA7277B">
                  <w:pPr>
                    <w:widowControl/>
                    <w:autoSpaceDE w:val="0"/>
                    <w:autoSpaceDN w:val="0"/>
                    <w:adjustRightInd w:val="0"/>
                    <w:snapToGrid w:val="0"/>
                    <w:jc w:val="center"/>
                    <w:rPr>
                      <w:b/>
                      <w:bCs/>
                      <w:color w:val="000000"/>
                      <w:szCs w:val="21"/>
                    </w:rPr>
                  </w:pPr>
                  <w:r>
                    <w:rPr>
                      <w:b/>
                      <w:bCs/>
                      <w:color w:val="000000"/>
                      <w:szCs w:val="21"/>
                    </w:rPr>
                    <w:t>非正常排放原因</w:t>
                  </w:r>
                </w:p>
              </w:tc>
              <w:tc>
                <w:tcPr>
                  <w:tcW w:w="280" w:type="pct"/>
                  <w:vAlign w:val="center"/>
                </w:tcPr>
                <w:p w14:paraId="75461EB5">
                  <w:pPr>
                    <w:widowControl/>
                    <w:autoSpaceDE w:val="0"/>
                    <w:autoSpaceDN w:val="0"/>
                    <w:adjustRightInd w:val="0"/>
                    <w:snapToGrid w:val="0"/>
                    <w:jc w:val="center"/>
                    <w:rPr>
                      <w:b/>
                      <w:bCs/>
                      <w:color w:val="000000"/>
                      <w:szCs w:val="21"/>
                    </w:rPr>
                  </w:pPr>
                  <w:r>
                    <w:rPr>
                      <w:b/>
                      <w:bCs/>
                      <w:color w:val="000000"/>
                      <w:szCs w:val="21"/>
                    </w:rPr>
                    <w:t>污染物</w:t>
                  </w:r>
                </w:p>
              </w:tc>
              <w:tc>
                <w:tcPr>
                  <w:tcW w:w="606" w:type="pct"/>
                  <w:vAlign w:val="center"/>
                </w:tcPr>
                <w:p w14:paraId="59C372FB">
                  <w:pPr>
                    <w:widowControl/>
                    <w:autoSpaceDE w:val="0"/>
                    <w:autoSpaceDN w:val="0"/>
                    <w:adjustRightInd w:val="0"/>
                    <w:snapToGrid w:val="0"/>
                    <w:jc w:val="center"/>
                    <w:rPr>
                      <w:b/>
                      <w:bCs/>
                      <w:color w:val="000000"/>
                      <w:szCs w:val="21"/>
                    </w:rPr>
                  </w:pPr>
                  <w:r>
                    <w:rPr>
                      <w:b/>
                      <w:bCs/>
                      <w:color w:val="000000"/>
                      <w:szCs w:val="21"/>
                    </w:rPr>
                    <w:t>非正常</w:t>
                  </w:r>
                  <w:r>
                    <w:rPr>
                      <w:b/>
                      <w:bCs/>
                      <w:color w:val="000000"/>
                      <w:kern w:val="0"/>
                      <w:szCs w:val="21"/>
                    </w:rPr>
                    <w:t>排放量(t/a)</w:t>
                  </w:r>
                  <w:r>
                    <w:rPr>
                      <w:b/>
                      <w:bCs/>
                      <w:color w:val="000000"/>
                      <w:szCs w:val="21"/>
                    </w:rPr>
                    <w:t xml:space="preserve"> </w:t>
                  </w:r>
                </w:p>
              </w:tc>
              <w:tc>
                <w:tcPr>
                  <w:tcW w:w="831" w:type="pct"/>
                  <w:vAlign w:val="center"/>
                </w:tcPr>
                <w:p w14:paraId="4EF52065">
                  <w:pPr>
                    <w:widowControl/>
                    <w:autoSpaceDE w:val="0"/>
                    <w:autoSpaceDN w:val="0"/>
                    <w:adjustRightInd w:val="0"/>
                    <w:snapToGrid w:val="0"/>
                    <w:jc w:val="center"/>
                    <w:rPr>
                      <w:b/>
                      <w:bCs/>
                      <w:color w:val="000000"/>
                      <w:szCs w:val="21"/>
                    </w:rPr>
                  </w:pPr>
                  <w:r>
                    <w:rPr>
                      <w:b/>
                      <w:bCs/>
                      <w:color w:val="000000"/>
                      <w:szCs w:val="21"/>
                    </w:rPr>
                    <w:t>非正常排放速率（kg/h）</w:t>
                  </w:r>
                </w:p>
              </w:tc>
              <w:tc>
                <w:tcPr>
                  <w:tcW w:w="937" w:type="pct"/>
                  <w:vAlign w:val="center"/>
                </w:tcPr>
                <w:p w14:paraId="147FE862">
                  <w:pPr>
                    <w:widowControl/>
                    <w:autoSpaceDE w:val="0"/>
                    <w:autoSpaceDN w:val="0"/>
                    <w:adjustRightInd w:val="0"/>
                    <w:snapToGrid w:val="0"/>
                    <w:jc w:val="center"/>
                    <w:rPr>
                      <w:b/>
                      <w:bCs/>
                      <w:color w:val="000000"/>
                      <w:szCs w:val="21"/>
                    </w:rPr>
                  </w:pPr>
                  <w:r>
                    <w:rPr>
                      <w:b/>
                      <w:bCs/>
                      <w:color w:val="000000"/>
                      <w:szCs w:val="21"/>
                    </w:rPr>
                    <w:t>非正常排放浓度（mg/m</w:t>
                  </w:r>
                  <w:r>
                    <w:rPr>
                      <w:b/>
                      <w:bCs/>
                      <w:color w:val="000000"/>
                      <w:szCs w:val="21"/>
                      <w:vertAlign w:val="superscript"/>
                    </w:rPr>
                    <w:t>3</w:t>
                  </w:r>
                  <w:r>
                    <w:rPr>
                      <w:b/>
                      <w:bCs/>
                      <w:color w:val="000000"/>
                      <w:szCs w:val="21"/>
                    </w:rPr>
                    <w:t>）</w:t>
                  </w:r>
                </w:p>
              </w:tc>
              <w:tc>
                <w:tcPr>
                  <w:tcW w:w="420" w:type="pct"/>
                  <w:vAlign w:val="center"/>
                </w:tcPr>
                <w:p w14:paraId="5760BF1E">
                  <w:pPr>
                    <w:widowControl/>
                    <w:autoSpaceDE w:val="0"/>
                    <w:autoSpaceDN w:val="0"/>
                    <w:adjustRightInd w:val="0"/>
                    <w:snapToGrid w:val="0"/>
                    <w:jc w:val="center"/>
                    <w:rPr>
                      <w:b/>
                      <w:bCs/>
                      <w:color w:val="000000"/>
                      <w:szCs w:val="21"/>
                    </w:rPr>
                  </w:pPr>
                  <w:r>
                    <w:rPr>
                      <w:b/>
                      <w:bCs/>
                      <w:color w:val="000000"/>
                      <w:szCs w:val="21"/>
                    </w:rPr>
                    <w:t>单次持续时间/h</w:t>
                  </w:r>
                </w:p>
              </w:tc>
              <w:tc>
                <w:tcPr>
                  <w:tcW w:w="277" w:type="pct"/>
                  <w:vAlign w:val="center"/>
                </w:tcPr>
                <w:p w14:paraId="6BD74858">
                  <w:pPr>
                    <w:widowControl/>
                    <w:autoSpaceDE w:val="0"/>
                    <w:autoSpaceDN w:val="0"/>
                    <w:adjustRightInd w:val="0"/>
                    <w:snapToGrid w:val="0"/>
                    <w:jc w:val="center"/>
                    <w:rPr>
                      <w:b/>
                      <w:bCs/>
                      <w:color w:val="000000"/>
                      <w:szCs w:val="21"/>
                    </w:rPr>
                  </w:pPr>
                  <w:r>
                    <w:rPr>
                      <w:b/>
                      <w:bCs/>
                      <w:color w:val="000000"/>
                      <w:szCs w:val="21"/>
                    </w:rPr>
                    <w:t>发生频次</w:t>
                  </w:r>
                </w:p>
              </w:tc>
              <w:tc>
                <w:tcPr>
                  <w:tcW w:w="618" w:type="pct"/>
                  <w:vAlign w:val="center"/>
                </w:tcPr>
                <w:p w14:paraId="4C6A6C06">
                  <w:pPr>
                    <w:widowControl/>
                    <w:autoSpaceDE w:val="0"/>
                    <w:autoSpaceDN w:val="0"/>
                    <w:adjustRightInd w:val="0"/>
                    <w:snapToGrid w:val="0"/>
                    <w:jc w:val="center"/>
                    <w:rPr>
                      <w:b/>
                      <w:bCs/>
                      <w:color w:val="000000"/>
                      <w:szCs w:val="21"/>
                    </w:rPr>
                  </w:pPr>
                  <w:r>
                    <w:rPr>
                      <w:b/>
                      <w:bCs/>
                      <w:color w:val="000000"/>
                      <w:szCs w:val="21"/>
                    </w:rPr>
                    <w:t>应对措施</w:t>
                  </w:r>
                </w:p>
              </w:tc>
            </w:tr>
            <w:tr w14:paraId="1CAABC8B">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74" w:type="pct"/>
                  <w:vMerge w:val="restart"/>
                  <w:vAlign w:val="center"/>
                </w:tcPr>
                <w:p w14:paraId="16A87C4F">
                  <w:pPr>
                    <w:widowControl/>
                    <w:autoSpaceDE w:val="0"/>
                    <w:autoSpaceDN w:val="0"/>
                    <w:adjustRightInd w:val="0"/>
                    <w:snapToGrid w:val="0"/>
                    <w:jc w:val="center"/>
                    <w:rPr>
                      <w:color w:val="000000"/>
                      <w:szCs w:val="21"/>
                    </w:rPr>
                  </w:pPr>
                  <w:r>
                    <w:rPr>
                      <w:color w:val="000000"/>
                      <w:szCs w:val="21"/>
                    </w:rPr>
                    <w:t>1</w:t>
                  </w:r>
                </w:p>
              </w:tc>
              <w:tc>
                <w:tcPr>
                  <w:tcW w:w="376" w:type="pct"/>
                  <w:vMerge w:val="restart"/>
                  <w:vAlign w:val="center"/>
                </w:tcPr>
                <w:p w14:paraId="0E971CCD">
                  <w:pPr>
                    <w:widowControl/>
                    <w:autoSpaceDE w:val="0"/>
                    <w:autoSpaceDN w:val="0"/>
                    <w:adjustRightInd w:val="0"/>
                    <w:snapToGrid w:val="0"/>
                    <w:jc w:val="center"/>
                    <w:rPr>
                      <w:color w:val="000000"/>
                      <w:szCs w:val="21"/>
                    </w:rPr>
                  </w:pPr>
                  <w:r>
                    <w:rPr>
                      <w:color w:val="000000"/>
                      <w:szCs w:val="21"/>
                    </w:rPr>
                    <w:t>DA001</w:t>
                  </w:r>
                </w:p>
              </w:tc>
              <w:tc>
                <w:tcPr>
                  <w:tcW w:w="476" w:type="pct"/>
                  <w:vMerge w:val="restart"/>
                  <w:vAlign w:val="center"/>
                </w:tcPr>
                <w:p w14:paraId="4EB7D2AA">
                  <w:pPr>
                    <w:widowControl/>
                    <w:autoSpaceDE w:val="0"/>
                    <w:autoSpaceDN w:val="0"/>
                    <w:adjustRightInd w:val="0"/>
                    <w:snapToGrid w:val="0"/>
                    <w:jc w:val="center"/>
                    <w:rPr>
                      <w:color w:val="000000"/>
                      <w:szCs w:val="21"/>
                    </w:rPr>
                  </w:pPr>
                  <w:r>
                    <w:rPr>
                      <w:color w:val="000000"/>
                      <w:szCs w:val="21"/>
                    </w:rPr>
                    <w:t>废气处理设施失效</w:t>
                  </w:r>
                </w:p>
              </w:tc>
              <w:tc>
                <w:tcPr>
                  <w:tcW w:w="280" w:type="pct"/>
                  <w:vAlign w:val="center"/>
                </w:tcPr>
                <w:p w14:paraId="7646C7EC">
                  <w:pPr>
                    <w:pStyle w:val="50"/>
                    <w:adjustRightInd/>
                    <w:snapToGrid/>
                    <w:spacing w:beforeLines="0" w:line="240" w:lineRule="auto"/>
                    <w:rPr>
                      <w:rFonts w:ascii="Times New Roman" w:hAnsi="Times New Roman"/>
                      <w:szCs w:val="21"/>
                    </w:rPr>
                  </w:pPr>
                  <w:r>
                    <w:rPr>
                      <w:rFonts w:ascii="Times New Roman" w:hAnsi="Times New Roman"/>
                      <w:szCs w:val="21"/>
                    </w:rPr>
                    <w:t>SO</w:t>
                  </w:r>
                  <w:r>
                    <w:rPr>
                      <w:rFonts w:ascii="Times New Roman" w:hAnsi="Times New Roman"/>
                      <w:szCs w:val="21"/>
                      <w:vertAlign w:val="subscript"/>
                    </w:rPr>
                    <w:t>2</w:t>
                  </w:r>
                </w:p>
              </w:tc>
              <w:tc>
                <w:tcPr>
                  <w:tcW w:w="606" w:type="pct"/>
                  <w:vAlign w:val="center"/>
                </w:tcPr>
                <w:p w14:paraId="58F45D7A">
                  <w:pPr>
                    <w:pStyle w:val="19"/>
                    <w:adjustRightInd w:val="0"/>
                    <w:ind w:left="0" w:firstLine="0" w:firstLineChars="0"/>
                    <w:jc w:val="center"/>
                    <w:rPr>
                      <w:bCs/>
                      <w:color w:val="000000"/>
                    </w:rPr>
                  </w:pPr>
                  <w:r>
                    <w:rPr>
                      <w:rFonts w:eastAsia="等线"/>
                      <w:color w:val="000000"/>
                    </w:rPr>
                    <w:t>0.288</w:t>
                  </w:r>
                </w:p>
              </w:tc>
              <w:tc>
                <w:tcPr>
                  <w:tcW w:w="831" w:type="pct"/>
                  <w:vAlign w:val="center"/>
                </w:tcPr>
                <w:p w14:paraId="05739068">
                  <w:pPr>
                    <w:adjustRightInd w:val="0"/>
                    <w:jc w:val="center"/>
                    <w:rPr>
                      <w:rFonts w:eastAsia="等线"/>
                      <w:color w:val="000000"/>
                    </w:rPr>
                  </w:pPr>
                  <w:r>
                    <w:rPr>
                      <w:rFonts w:eastAsia="等线"/>
                      <w:color w:val="000000"/>
                    </w:rPr>
                    <w:t>0.12</w:t>
                  </w:r>
                </w:p>
              </w:tc>
              <w:tc>
                <w:tcPr>
                  <w:tcW w:w="937" w:type="pct"/>
                  <w:vAlign w:val="center"/>
                </w:tcPr>
                <w:p w14:paraId="6C8BDF9F">
                  <w:pPr>
                    <w:pStyle w:val="19"/>
                    <w:adjustRightInd w:val="0"/>
                    <w:ind w:left="0" w:firstLine="0" w:firstLineChars="0"/>
                    <w:jc w:val="center"/>
                    <w:rPr>
                      <w:bCs/>
                      <w:color w:val="000000"/>
                    </w:rPr>
                  </w:pPr>
                  <w:r>
                    <w:rPr>
                      <w:bCs/>
                      <w:color w:val="000000"/>
                    </w:rPr>
                    <w:t>17.97</w:t>
                  </w:r>
                </w:p>
              </w:tc>
              <w:tc>
                <w:tcPr>
                  <w:tcW w:w="420" w:type="pct"/>
                  <w:vMerge w:val="restart"/>
                  <w:vAlign w:val="center"/>
                </w:tcPr>
                <w:p w14:paraId="0042A479">
                  <w:pPr>
                    <w:widowControl/>
                    <w:autoSpaceDE w:val="0"/>
                    <w:autoSpaceDN w:val="0"/>
                    <w:adjustRightInd w:val="0"/>
                    <w:snapToGrid w:val="0"/>
                    <w:jc w:val="center"/>
                    <w:rPr>
                      <w:color w:val="000000"/>
                      <w:szCs w:val="21"/>
                    </w:rPr>
                  </w:pPr>
                  <w:r>
                    <w:rPr>
                      <w:color w:val="000000"/>
                      <w:szCs w:val="21"/>
                    </w:rPr>
                    <w:t>1</w:t>
                  </w:r>
                </w:p>
              </w:tc>
              <w:tc>
                <w:tcPr>
                  <w:tcW w:w="277" w:type="pct"/>
                  <w:vMerge w:val="restart"/>
                  <w:vAlign w:val="center"/>
                </w:tcPr>
                <w:p w14:paraId="55A996BF">
                  <w:pPr>
                    <w:widowControl/>
                    <w:autoSpaceDE w:val="0"/>
                    <w:autoSpaceDN w:val="0"/>
                    <w:adjustRightInd w:val="0"/>
                    <w:snapToGrid w:val="0"/>
                    <w:jc w:val="center"/>
                    <w:rPr>
                      <w:color w:val="000000"/>
                      <w:szCs w:val="21"/>
                    </w:rPr>
                  </w:pPr>
                  <w:r>
                    <w:rPr>
                      <w:color w:val="000000"/>
                      <w:szCs w:val="21"/>
                    </w:rPr>
                    <w:t>1次/年</w:t>
                  </w:r>
                </w:p>
              </w:tc>
              <w:tc>
                <w:tcPr>
                  <w:tcW w:w="618" w:type="pct"/>
                  <w:vMerge w:val="restart"/>
                  <w:vAlign w:val="center"/>
                </w:tcPr>
                <w:p w14:paraId="5556E3AE">
                  <w:pPr>
                    <w:widowControl/>
                    <w:autoSpaceDE w:val="0"/>
                    <w:autoSpaceDN w:val="0"/>
                    <w:adjustRightInd w:val="0"/>
                    <w:snapToGrid w:val="0"/>
                    <w:jc w:val="center"/>
                    <w:rPr>
                      <w:color w:val="000000"/>
                      <w:szCs w:val="21"/>
                    </w:rPr>
                  </w:pPr>
                  <w:r>
                    <w:rPr>
                      <w:color w:val="000000"/>
                      <w:szCs w:val="21"/>
                    </w:rPr>
                    <w:t>加强日常检查和维护管理</w:t>
                  </w:r>
                </w:p>
              </w:tc>
            </w:tr>
            <w:tr w14:paraId="3D7FE5B2">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74" w:type="pct"/>
                  <w:vMerge w:val="continue"/>
                  <w:vAlign w:val="center"/>
                </w:tcPr>
                <w:p w14:paraId="7861BD44">
                  <w:pPr>
                    <w:widowControl/>
                    <w:autoSpaceDE w:val="0"/>
                    <w:autoSpaceDN w:val="0"/>
                    <w:adjustRightInd w:val="0"/>
                    <w:snapToGrid w:val="0"/>
                    <w:jc w:val="center"/>
                    <w:rPr>
                      <w:color w:val="000000"/>
                      <w:szCs w:val="21"/>
                    </w:rPr>
                  </w:pPr>
                </w:p>
              </w:tc>
              <w:tc>
                <w:tcPr>
                  <w:tcW w:w="376" w:type="pct"/>
                  <w:vMerge w:val="continue"/>
                  <w:vAlign w:val="center"/>
                </w:tcPr>
                <w:p w14:paraId="52E382E1">
                  <w:pPr>
                    <w:widowControl/>
                    <w:autoSpaceDE w:val="0"/>
                    <w:autoSpaceDN w:val="0"/>
                    <w:adjustRightInd w:val="0"/>
                    <w:snapToGrid w:val="0"/>
                    <w:jc w:val="center"/>
                    <w:rPr>
                      <w:color w:val="000000"/>
                      <w:szCs w:val="21"/>
                    </w:rPr>
                  </w:pPr>
                </w:p>
              </w:tc>
              <w:tc>
                <w:tcPr>
                  <w:tcW w:w="476" w:type="pct"/>
                  <w:vMerge w:val="continue"/>
                  <w:vAlign w:val="center"/>
                </w:tcPr>
                <w:p w14:paraId="12F124B5">
                  <w:pPr>
                    <w:widowControl/>
                    <w:autoSpaceDE w:val="0"/>
                    <w:autoSpaceDN w:val="0"/>
                    <w:adjustRightInd w:val="0"/>
                    <w:snapToGrid w:val="0"/>
                    <w:jc w:val="center"/>
                    <w:rPr>
                      <w:color w:val="000000"/>
                      <w:szCs w:val="21"/>
                    </w:rPr>
                  </w:pPr>
                </w:p>
              </w:tc>
              <w:tc>
                <w:tcPr>
                  <w:tcW w:w="280" w:type="pct"/>
                  <w:vAlign w:val="center"/>
                </w:tcPr>
                <w:p w14:paraId="225A4F4A">
                  <w:pPr>
                    <w:pStyle w:val="50"/>
                    <w:adjustRightInd/>
                    <w:snapToGrid/>
                    <w:spacing w:beforeLines="0" w:line="240" w:lineRule="auto"/>
                    <w:rPr>
                      <w:rFonts w:ascii="Times New Roman" w:hAnsi="Times New Roman"/>
                      <w:szCs w:val="21"/>
                    </w:rPr>
                  </w:pPr>
                  <w:r>
                    <w:rPr>
                      <w:rFonts w:ascii="Times New Roman" w:hAnsi="Times New Roman"/>
                      <w:szCs w:val="21"/>
                    </w:rPr>
                    <w:t>NO</w:t>
                  </w:r>
                  <w:r>
                    <w:rPr>
                      <w:rFonts w:ascii="Times New Roman" w:hAnsi="Times New Roman"/>
                      <w:szCs w:val="21"/>
                      <w:vertAlign w:val="subscript"/>
                    </w:rPr>
                    <w:t>X</w:t>
                  </w:r>
                </w:p>
              </w:tc>
              <w:tc>
                <w:tcPr>
                  <w:tcW w:w="606" w:type="pct"/>
                  <w:vAlign w:val="center"/>
                </w:tcPr>
                <w:p w14:paraId="12B44559">
                  <w:pPr>
                    <w:pStyle w:val="19"/>
                    <w:adjustRightInd w:val="0"/>
                    <w:ind w:left="0" w:firstLine="0" w:firstLineChars="0"/>
                    <w:jc w:val="center"/>
                    <w:rPr>
                      <w:bCs/>
                      <w:color w:val="000000"/>
                    </w:rPr>
                  </w:pPr>
                  <w:r>
                    <w:rPr>
                      <w:rFonts w:eastAsia="等线"/>
                      <w:color w:val="000000"/>
                    </w:rPr>
                    <w:t>3.01</w:t>
                  </w:r>
                </w:p>
              </w:tc>
              <w:tc>
                <w:tcPr>
                  <w:tcW w:w="831" w:type="pct"/>
                  <w:vAlign w:val="center"/>
                </w:tcPr>
                <w:p w14:paraId="297DB8D8">
                  <w:pPr>
                    <w:widowControl/>
                    <w:adjustRightInd w:val="0"/>
                    <w:jc w:val="center"/>
                    <w:rPr>
                      <w:rFonts w:eastAsia="等线"/>
                      <w:color w:val="000000"/>
                    </w:rPr>
                  </w:pPr>
                  <w:r>
                    <w:rPr>
                      <w:rFonts w:eastAsia="等线"/>
                      <w:color w:val="000000"/>
                    </w:rPr>
                    <w:t>1.254</w:t>
                  </w:r>
                </w:p>
              </w:tc>
              <w:tc>
                <w:tcPr>
                  <w:tcW w:w="937" w:type="pct"/>
                  <w:vAlign w:val="center"/>
                </w:tcPr>
                <w:p w14:paraId="59F7A020">
                  <w:pPr>
                    <w:pStyle w:val="19"/>
                    <w:adjustRightInd w:val="0"/>
                    <w:ind w:left="0" w:firstLine="0" w:firstLineChars="0"/>
                    <w:jc w:val="center"/>
                    <w:rPr>
                      <w:bCs/>
                      <w:color w:val="000000"/>
                    </w:rPr>
                  </w:pPr>
                  <w:r>
                    <w:rPr>
                      <w:bCs/>
                      <w:color w:val="000000"/>
                    </w:rPr>
                    <w:t>188（超标）</w:t>
                  </w:r>
                </w:p>
              </w:tc>
              <w:tc>
                <w:tcPr>
                  <w:tcW w:w="420" w:type="pct"/>
                  <w:vMerge w:val="continue"/>
                  <w:vAlign w:val="center"/>
                </w:tcPr>
                <w:p w14:paraId="52183FCC">
                  <w:pPr>
                    <w:widowControl/>
                    <w:autoSpaceDE w:val="0"/>
                    <w:autoSpaceDN w:val="0"/>
                    <w:adjustRightInd w:val="0"/>
                    <w:snapToGrid w:val="0"/>
                    <w:jc w:val="center"/>
                    <w:rPr>
                      <w:color w:val="000000"/>
                      <w:szCs w:val="21"/>
                    </w:rPr>
                  </w:pPr>
                </w:p>
              </w:tc>
              <w:tc>
                <w:tcPr>
                  <w:tcW w:w="277" w:type="pct"/>
                  <w:vMerge w:val="continue"/>
                  <w:vAlign w:val="center"/>
                </w:tcPr>
                <w:p w14:paraId="166C359B">
                  <w:pPr>
                    <w:widowControl/>
                    <w:autoSpaceDE w:val="0"/>
                    <w:autoSpaceDN w:val="0"/>
                    <w:adjustRightInd w:val="0"/>
                    <w:snapToGrid w:val="0"/>
                    <w:jc w:val="center"/>
                    <w:rPr>
                      <w:color w:val="000000"/>
                      <w:szCs w:val="21"/>
                    </w:rPr>
                  </w:pPr>
                </w:p>
              </w:tc>
              <w:tc>
                <w:tcPr>
                  <w:tcW w:w="618" w:type="pct"/>
                  <w:vMerge w:val="continue"/>
                  <w:vAlign w:val="center"/>
                </w:tcPr>
                <w:p w14:paraId="0495B0B1">
                  <w:pPr>
                    <w:widowControl/>
                    <w:autoSpaceDE w:val="0"/>
                    <w:autoSpaceDN w:val="0"/>
                    <w:adjustRightInd w:val="0"/>
                    <w:snapToGrid w:val="0"/>
                    <w:jc w:val="center"/>
                    <w:rPr>
                      <w:color w:val="000000"/>
                      <w:szCs w:val="21"/>
                    </w:rPr>
                  </w:pPr>
                </w:p>
              </w:tc>
            </w:tr>
            <w:tr w14:paraId="25B3FB7A">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74" w:type="pct"/>
                  <w:vMerge w:val="continue"/>
                  <w:vAlign w:val="center"/>
                </w:tcPr>
                <w:p w14:paraId="05AD11B8">
                  <w:pPr>
                    <w:widowControl/>
                    <w:autoSpaceDE w:val="0"/>
                    <w:autoSpaceDN w:val="0"/>
                    <w:adjustRightInd w:val="0"/>
                    <w:snapToGrid w:val="0"/>
                    <w:jc w:val="center"/>
                    <w:rPr>
                      <w:color w:val="000000"/>
                      <w:szCs w:val="21"/>
                    </w:rPr>
                  </w:pPr>
                </w:p>
              </w:tc>
              <w:tc>
                <w:tcPr>
                  <w:tcW w:w="376" w:type="pct"/>
                  <w:vMerge w:val="continue"/>
                  <w:vAlign w:val="center"/>
                </w:tcPr>
                <w:p w14:paraId="31A9C968">
                  <w:pPr>
                    <w:widowControl/>
                    <w:autoSpaceDE w:val="0"/>
                    <w:autoSpaceDN w:val="0"/>
                    <w:adjustRightInd w:val="0"/>
                    <w:snapToGrid w:val="0"/>
                    <w:jc w:val="center"/>
                    <w:rPr>
                      <w:color w:val="000000"/>
                      <w:szCs w:val="21"/>
                    </w:rPr>
                  </w:pPr>
                </w:p>
              </w:tc>
              <w:tc>
                <w:tcPr>
                  <w:tcW w:w="476" w:type="pct"/>
                  <w:vMerge w:val="continue"/>
                  <w:vAlign w:val="center"/>
                </w:tcPr>
                <w:p w14:paraId="3C92C669">
                  <w:pPr>
                    <w:widowControl/>
                    <w:autoSpaceDE w:val="0"/>
                    <w:autoSpaceDN w:val="0"/>
                    <w:adjustRightInd w:val="0"/>
                    <w:snapToGrid w:val="0"/>
                    <w:jc w:val="center"/>
                    <w:rPr>
                      <w:color w:val="000000"/>
                      <w:szCs w:val="21"/>
                    </w:rPr>
                  </w:pPr>
                </w:p>
              </w:tc>
              <w:tc>
                <w:tcPr>
                  <w:tcW w:w="280" w:type="pct"/>
                  <w:vAlign w:val="center"/>
                </w:tcPr>
                <w:p w14:paraId="0BFE3E1A">
                  <w:pPr>
                    <w:pStyle w:val="50"/>
                    <w:adjustRightInd/>
                    <w:snapToGrid/>
                    <w:spacing w:beforeLines="0" w:line="240" w:lineRule="auto"/>
                    <w:rPr>
                      <w:rFonts w:ascii="Times New Roman" w:hAnsi="Times New Roman"/>
                      <w:szCs w:val="21"/>
                    </w:rPr>
                  </w:pPr>
                  <w:r>
                    <w:rPr>
                      <w:rFonts w:ascii="Times New Roman" w:hAnsi="Times New Roman"/>
                      <w:szCs w:val="21"/>
                    </w:rPr>
                    <w:t>颗粒物</w:t>
                  </w:r>
                </w:p>
              </w:tc>
              <w:tc>
                <w:tcPr>
                  <w:tcW w:w="606" w:type="pct"/>
                  <w:vAlign w:val="center"/>
                </w:tcPr>
                <w:p w14:paraId="4B4D2496">
                  <w:pPr>
                    <w:adjustRightInd w:val="0"/>
                    <w:jc w:val="center"/>
                    <w:rPr>
                      <w:rFonts w:eastAsia="等线"/>
                      <w:color w:val="000000"/>
                    </w:rPr>
                  </w:pPr>
                  <w:r>
                    <w:rPr>
                      <w:rFonts w:eastAsia="等线"/>
                      <w:color w:val="000000"/>
                    </w:rPr>
                    <w:t>2.952</w:t>
                  </w:r>
                </w:p>
              </w:tc>
              <w:tc>
                <w:tcPr>
                  <w:tcW w:w="831" w:type="pct"/>
                  <w:vAlign w:val="center"/>
                </w:tcPr>
                <w:p w14:paraId="0B687DCE">
                  <w:pPr>
                    <w:adjustRightInd w:val="0"/>
                    <w:jc w:val="center"/>
                    <w:rPr>
                      <w:rFonts w:eastAsia="等线"/>
                      <w:color w:val="000000"/>
                    </w:rPr>
                  </w:pPr>
                  <w:r>
                    <w:rPr>
                      <w:rFonts w:eastAsia="等线"/>
                      <w:color w:val="000000"/>
                    </w:rPr>
                    <w:t>1.08</w:t>
                  </w:r>
                </w:p>
              </w:tc>
              <w:tc>
                <w:tcPr>
                  <w:tcW w:w="937" w:type="pct"/>
                  <w:vAlign w:val="center"/>
                </w:tcPr>
                <w:p w14:paraId="458EE6F4">
                  <w:pPr>
                    <w:adjustRightInd w:val="0"/>
                    <w:jc w:val="center"/>
                    <w:rPr>
                      <w:rFonts w:eastAsia="等线"/>
                      <w:color w:val="000000"/>
                    </w:rPr>
                  </w:pPr>
                  <w:r>
                    <w:rPr>
                      <w:rFonts w:eastAsia="等线"/>
                      <w:color w:val="000000"/>
                    </w:rPr>
                    <w:t>67.38</w:t>
                  </w:r>
                  <w:r>
                    <w:rPr>
                      <w:color w:val="000000"/>
                    </w:rPr>
                    <w:t>（超标）</w:t>
                  </w:r>
                </w:p>
              </w:tc>
              <w:tc>
                <w:tcPr>
                  <w:tcW w:w="420" w:type="pct"/>
                  <w:vMerge w:val="continue"/>
                  <w:vAlign w:val="center"/>
                </w:tcPr>
                <w:p w14:paraId="0903212A">
                  <w:pPr>
                    <w:widowControl/>
                    <w:autoSpaceDE w:val="0"/>
                    <w:autoSpaceDN w:val="0"/>
                    <w:adjustRightInd w:val="0"/>
                    <w:snapToGrid w:val="0"/>
                    <w:jc w:val="center"/>
                    <w:rPr>
                      <w:color w:val="000000"/>
                      <w:szCs w:val="21"/>
                    </w:rPr>
                  </w:pPr>
                </w:p>
              </w:tc>
              <w:tc>
                <w:tcPr>
                  <w:tcW w:w="277" w:type="pct"/>
                  <w:vMerge w:val="continue"/>
                  <w:vAlign w:val="center"/>
                </w:tcPr>
                <w:p w14:paraId="1190582B">
                  <w:pPr>
                    <w:widowControl/>
                    <w:autoSpaceDE w:val="0"/>
                    <w:autoSpaceDN w:val="0"/>
                    <w:adjustRightInd w:val="0"/>
                    <w:snapToGrid w:val="0"/>
                    <w:jc w:val="center"/>
                    <w:rPr>
                      <w:color w:val="000000"/>
                      <w:szCs w:val="21"/>
                    </w:rPr>
                  </w:pPr>
                </w:p>
              </w:tc>
              <w:tc>
                <w:tcPr>
                  <w:tcW w:w="618" w:type="pct"/>
                  <w:vMerge w:val="continue"/>
                  <w:vAlign w:val="center"/>
                </w:tcPr>
                <w:p w14:paraId="063C4C76">
                  <w:pPr>
                    <w:widowControl/>
                    <w:autoSpaceDE w:val="0"/>
                    <w:autoSpaceDN w:val="0"/>
                    <w:adjustRightInd w:val="0"/>
                    <w:snapToGrid w:val="0"/>
                    <w:jc w:val="center"/>
                    <w:rPr>
                      <w:color w:val="000000"/>
                      <w:szCs w:val="21"/>
                    </w:rPr>
                  </w:pPr>
                </w:p>
              </w:tc>
            </w:tr>
            <w:tr w14:paraId="39E69CC0">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74" w:type="pct"/>
                  <w:vAlign w:val="center"/>
                </w:tcPr>
                <w:p w14:paraId="14C8A5E4">
                  <w:pPr>
                    <w:widowControl/>
                    <w:autoSpaceDE w:val="0"/>
                    <w:autoSpaceDN w:val="0"/>
                    <w:adjustRightInd w:val="0"/>
                    <w:snapToGrid w:val="0"/>
                    <w:jc w:val="center"/>
                    <w:rPr>
                      <w:color w:val="000000"/>
                      <w:szCs w:val="21"/>
                    </w:rPr>
                  </w:pPr>
                  <w:r>
                    <w:rPr>
                      <w:color w:val="000000"/>
                      <w:szCs w:val="21"/>
                    </w:rPr>
                    <w:t>2</w:t>
                  </w:r>
                </w:p>
              </w:tc>
              <w:tc>
                <w:tcPr>
                  <w:tcW w:w="376" w:type="pct"/>
                  <w:vAlign w:val="center"/>
                </w:tcPr>
                <w:p w14:paraId="4DCF416F">
                  <w:pPr>
                    <w:widowControl/>
                    <w:autoSpaceDE w:val="0"/>
                    <w:autoSpaceDN w:val="0"/>
                    <w:adjustRightInd w:val="0"/>
                    <w:snapToGrid w:val="0"/>
                    <w:jc w:val="center"/>
                    <w:rPr>
                      <w:color w:val="000000"/>
                      <w:szCs w:val="21"/>
                    </w:rPr>
                  </w:pPr>
                  <w:r>
                    <w:rPr>
                      <w:color w:val="000000"/>
                      <w:szCs w:val="21"/>
                    </w:rPr>
                    <w:t>DA002</w:t>
                  </w:r>
                </w:p>
              </w:tc>
              <w:tc>
                <w:tcPr>
                  <w:tcW w:w="476" w:type="pct"/>
                  <w:vMerge w:val="continue"/>
                  <w:vAlign w:val="center"/>
                </w:tcPr>
                <w:p w14:paraId="36432115">
                  <w:pPr>
                    <w:widowControl/>
                    <w:autoSpaceDE w:val="0"/>
                    <w:autoSpaceDN w:val="0"/>
                    <w:adjustRightInd w:val="0"/>
                    <w:snapToGrid w:val="0"/>
                    <w:jc w:val="center"/>
                    <w:rPr>
                      <w:color w:val="000000"/>
                      <w:szCs w:val="21"/>
                    </w:rPr>
                  </w:pPr>
                </w:p>
              </w:tc>
              <w:tc>
                <w:tcPr>
                  <w:tcW w:w="280" w:type="pct"/>
                  <w:vAlign w:val="center"/>
                </w:tcPr>
                <w:p w14:paraId="44A78340">
                  <w:pPr>
                    <w:pStyle w:val="50"/>
                    <w:adjustRightInd/>
                    <w:snapToGrid/>
                    <w:spacing w:beforeLines="0" w:line="240" w:lineRule="auto"/>
                    <w:rPr>
                      <w:rFonts w:ascii="Times New Roman" w:hAnsi="Times New Roman"/>
                      <w:szCs w:val="21"/>
                    </w:rPr>
                  </w:pPr>
                  <w:r>
                    <w:rPr>
                      <w:rFonts w:ascii="Times New Roman" w:hAnsi="Times New Roman"/>
                      <w:szCs w:val="21"/>
                    </w:rPr>
                    <w:t>油烟</w:t>
                  </w:r>
                </w:p>
              </w:tc>
              <w:tc>
                <w:tcPr>
                  <w:tcW w:w="606" w:type="pct"/>
                  <w:vAlign w:val="center"/>
                </w:tcPr>
                <w:p w14:paraId="0770EC4F">
                  <w:pPr>
                    <w:adjustRightInd w:val="0"/>
                    <w:jc w:val="center"/>
                    <w:rPr>
                      <w:rFonts w:eastAsia="等线"/>
                      <w:color w:val="000000"/>
                    </w:rPr>
                  </w:pPr>
                  <w:r>
                    <w:rPr>
                      <w:rFonts w:eastAsia="等线"/>
                      <w:color w:val="000000"/>
                    </w:rPr>
                    <w:t>0.16</w:t>
                  </w:r>
                </w:p>
              </w:tc>
              <w:tc>
                <w:tcPr>
                  <w:tcW w:w="831" w:type="pct"/>
                  <w:vAlign w:val="center"/>
                </w:tcPr>
                <w:p w14:paraId="294A8384">
                  <w:pPr>
                    <w:adjustRightInd w:val="0"/>
                    <w:jc w:val="center"/>
                    <w:rPr>
                      <w:rFonts w:eastAsia="等线"/>
                      <w:color w:val="000000"/>
                    </w:rPr>
                  </w:pPr>
                  <w:r>
                    <w:rPr>
                      <w:rFonts w:eastAsia="等线"/>
                      <w:color w:val="000000"/>
                    </w:rPr>
                    <w:t>0.067</w:t>
                  </w:r>
                </w:p>
              </w:tc>
              <w:tc>
                <w:tcPr>
                  <w:tcW w:w="937" w:type="pct"/>
                  <w:vAlign w:val="center"/>
                </w:tcPr>
                <w:p w14:paraId="5B7FDC34">
                  <w:pPr>
                    <w:adjustRightInd w:val="0"/>
                    <w:jc w:val="center"/>
                    <w:rPr>
                      <w:rFonts w:eastAsia="等线"/>
                      <w:color w:val="000000"/>
                    </w:rPr>
                  </w:pPr>
                  <w:r>
                    <w:rPr>
                      <w:rFonts w:eastAsia="等线"/>
                      <w:color w:val="000000"/>
                    </w:rPr>
                    <w:t>11.11</w:t>
                  </w:r>
                  <w:r>
                    <w:rPr>
                      <w:color w:val="000000"/>
                    </w:rPr>
                    <w:t>（超标）</w:t>
                  </w:r>
                </w:p>
              </w:tc>
              <w:tc>
                <w:tcPr>
                  <w:tcW w:w="420" w:type="pct"/>
                  <w:vAlign w:val="center"/>
                </w:tcPr>
                <w:p w14:paraId="1F21B2D1">
                  <w:pPr>
                    <w:widowControl/>
                    <w:autoSpaceDE w:val="0"/>
                    <w:autoSpaceDN w:val="0"/>
                    <w:adjustRightInd w:val="0"/>
                    <w:snapToGrid w:val="0"/>
                    <w:jc w:val="center"/>
                    <w:rPr>
                      <w:color w:val="000000"/>
                      <w:szCs w:val="21"/>
                    </w:rPr>
                  </w:pPr>
                  <w:r>
                    <w:rPr>
                      <w:color w:val="000000"/>
                      <w:szCs w:val="21"/>
                    </w:rPr>
                    <w:t>1</w:t>
                  </w:r>
                </w:p>
              </w:tc>
              <w:tc>
                <w:tcPr>
                  <w:tcW w:w="277" w:type="pct"/>
                  <w:vAlign w:val="center"/>
                </w:tcPr>
                <w:p w14:paraId="75D7671F">
                  <w:pPr>
                    <w:widowControl/>
                    <w:autoSpaceDE w:val="0"/>
                    <w:autoSpaceDN w:val="0"/>
                    <w:adjustRightInd w:val="0"/>
                    <w:snapToGrid w:val="0"/>
                    <w:jc w:val="center"/>
                    <w:rPr>
                      <w:color w:val="000000"/>
                      <w:szCs w:val="21"/>
                    </w:rPr>
                  </w:pPr>
                  <w:r>
                    <w:rPr>
                      <w:color w:val="000000"/>
                      <w:szCs w:val="21"/>
                    </w:rPr>
                    <w:t>1次/年</w:t>
                  </w:r>
                </w:p>
              </w:tc>
              <w:tc>
                <w:tcPr>
                  <w:tcW w:w="618" w:type="pct"/>
                  <w:vMerge w:val="continue"/>
                  <w:vAlign w:val="center"/>
                </w:tcPr>
                <w:p w14:paraId="0893B21F">
                  <w:pPr>
                    <w:widowControl/>
                    <w:autoSpaceDE w:val="0"/>
                    <w:autoSpaceDN w:val="0"/>
                    <w:adjustRightInd w:val="0"/>
                    <w:snapToGrid w:val="0"/>
                    <w:jc w:val="center"/>
                    <w:rPr>
                      <w:color w:val="000000"/>
                      <w:szCs w:val="21"/>
                    </w:rPr>
                  </w:pPr>
                </w:p>
              </w:tc>
            </w:tr>
          </w:tbl>
          <w:p w14:paraId="052C6238">
            <w:pPr>
              <w:spacing w:line="360" w:lineRule="auto"/>
              <w:ind w:firstLine="480"/>
              <w:rPr>
                <w:color w:val="FF0000"/>
                <w:sz w:val="24"/>
              </w:rPr>
            </w:pPr>
            <w:r>
              <w:rPr>
                <w:rFonts w:hint="eastAsia" w:cs="宋体"/>
                <w:color w:val="000000"/>
                <w:sz w:val="24"/>
                <w:lang w:bidi="ar"/>
              </w:rPr>
              <w:t>由上表可知，非正常工况下，排气筒排放的废气氮氧化物、颗粒物、油烟排放浓度超标排放。为了不降低周边空气质量现状，防止废气非正常工况排放，企业须加强废气处理设施的管理，定期检修，确保废气处理设施正常运行。</w:t>
            </w:r>
          </w:p>
          <w:p w14:paraId="137DC0F3">
            <w:pPr>
              <w:tabs>
                <w:tab w:val="left" w:pos="2196"/>
              </w:tabs>
              <w:spacing w:line="360" w:lineRule="auto"/>
              <w:rPr>
                <w:b/>
                <w:color w:val="000000"/>
                <w:sz w:val="24"/>
                <w:szCs w:val="24"/>
              </w:rPr>
            </w:pPr>
            <w:r>
              <w:rPr>
                <w:b/>
                <w:color w:val="000000"/>
                <w:sz w:val="24"/>
                <w:szCs w:val="24"/>
                <w:lang w:bidi="ar"/>
              </w:rPr>
              <w:t>废气污染治理设施</w:t>
            </w:r>
          </w:p>
          <w:p w14:paraId="5DA4F01F">
            <w:pPr>
              <w:tabs>
                <w:tab w:val="left" w:pos="2196"/>
              </w:tabs>
              <w:spacing w:line="360" w:lineRule="auto"/>
              <w:ind w:firstLine="482"/>
              <w:jc w:val="center"/>
              <w:rPr>
                <w:b/>
                <w:color w:val="000000"/>
                <w:sz w:val="24"/>
                <w:szCs w:val="24"/>
              </w:rPr>
            </w:pPr>
            <w:r>
              <w:rPr>
                <w:b/>
                <w:color w:val="000000"/>
                <w:sz w:val="24"/>
                <w:szCs w:val="24"/>
                <w:lang w:bidi="ar"/>
              </w:rPr>
              <w:t>表4-9  大气污染治理设施信息表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94"/>
              <w:gridCol w:w="914"/>
              <w:gridCol w:w="712"/>
              <w:gridCol w:w="2641"/>
              <w:gridCol w:w="792"/>
              <w:gridCol w:w="749"/>
              <w:gridCol w:w="822"/>
              <w:gridCol w:w="785"/>
              <w:gridCol w:w="584"/>
            </w:tblGrid>
            <w:tr w14:paraId="79FDAB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268" w:type="pct"/>
                  <w:gridSpan w:val="5"/>
                  <w:tcBorders>
                    <w:bottom w:val="single" w:color="auto" w:sz="6" w:space="0"/>
                    <w:right w:val="single" w:color="auto" w:sz="6" w:space="0"/>
                  </w:tcBorders>
                  <w:vAlign w:val="center"/>
                </w:tcPr>
                <w:p w14:paraId="426ADDB9">
                  <w:pPr>
                    <w:pStyle w:val="21"/>
                    <w:widowControl w:val="0"/>
                    <w:spacing w:before="0" w:beforeAutospacing="0" w:after="0" w:afterAutospacing="0"/>
                    <w:jc w:val="center"/>
                    <w:rPr>
                      <w:rFonts w:ascii="Times New Roman" w:hAnsi="Times New Roman"/>
                      <w:b/>
                      <w:bCs/>
                      <w:color w:val="000000"/>
                    </w:rPr>
                  </w:pPr>
                  <w:r>
                    <w:rPr>
                      <w:rFonts w:ascii="Times New Roman" w:hAnsi="Times New Roman"/>
                      <w:b/>
                      <w:bCs/>
                      <w:color w:val="000000"/>
                      <w:sz w:val="21"/>
                      <w:lang w:bidi="ar"/>
                    </w:rPr>
                    <w:t>《排污许可证申请与核发技术规范  锅炉》（HJ 953—2018）表7 锅炉烟气污染防治可行技术一览表</w:t>
                  </w:r>
                </w:p>
              </w:tc>
              <w:tc>
                <w:tcPr>
                  <w:tcW w:w="1387" w:type="pct"/>
                  <w:gridSpan w:val="3"/>
                  <w:vMerge w:val="restart"/>
                  <w:tcBorders>
                    <w:left w:val="single" w:color="auto" w:sz="6" w:space="0"/>
                    <w:bottom w:val="single" w:color="auto" w:sz="6" w:space="0"/>
                    <w:right w:val="single" w:color="auto" w:sz="6" w:space="0"/>
                  </w:tcBorders>
                  <w:vAlign w:val="center"/>
                </w:tcPr>
                <w:p w14:paraId="3231E554">
                  <w:pPr>
                    <w:pStyle w:val="21"/>
                    <w:widowControl w:val="0"/>
                    <w:spacing w:before="0" w:beforeAutospacing="0" w:after="0" w:afterAutospacing="0"/>
                    <w:jc w:val="center"/>
                    <w:rPr>
                      <w:rFonts w:ascii="Times New Roman" w:hAnsi="Times New Roman"/>
                      <w:b/>
                      <w:bCs/>
                      <w:color w:val="000000"/>
                    </w:rPr>
                  </w:pPr>
                  <w:r>
                    <w:rPr>
                      <w:rFonts w:ascii="Times New Roman" w:hAnsi="Times New Roman"/>
                      <w:b/>
                      <w:bCs/>
                      <w:color w:val="000000"/>
                      <w:sz w:val="21"/>
                      <w:lang w:bidi="ar"/>
                    </w:rPr>
                    <w:t>本项目采取的污染治理设施名称及工艺</w:t>
                  </w:r>
                </w:p>
              </w:tc>
              <w:tc>
                <w:tcPr>
                  <w:tcW w:w="344" w:type="pct"/>
                  <w:vMerge w:val="restart"/>
                  <w:tcBorders>
                    <w:left w:val="single" w:color="auto" w:sz="6" w:space="0"/>
                    <w:bottom w:val="single" w:color="auto" w:sz="6" w:space="0"/>
                  </w:tcBorders>
                  <w:vAlign w:val="center"/>
                </w:tcPr>
                <w:p w14:paraId="06F830E8">
                  <w:pPr>
                    <w:pStyle w:val="21"/>
                    <w:widowControl w:val="0"/>
                    <w:spacing w:before="0" w:beforeAutospacing="0" w:after="0" w:afterAutospacing="0"/>
                    <w:jc w:val="center"/>
                    <w:rPr>
                      <w:rFonts w:ascii="Times New Roman" w:hAnsi="Times New Roman"/>
                      <w:b/>
                      <w:bCs/>
                      <w:color w:val="000000"/>
                    </w:rPr>
                  </w:pPr>
                  <w:r>
                    <w:rPr>
                      <w:rFonts w:ascii="Times New Roman" w:hAnsi="Times New Roman"/>
                      <w:b/>
                      <w:bCs/>
                      <w:color w:val="000000"/>
                      <w:sz w:val="21"/>
                      <w:lang w:bidi="ar"/>
                    </w:rPr>
                    <w:t>是否为可行技术</w:t>
                  </w:r>
                </w:p>
              </w:tc>
            </w:tr>
            <w:tr w14:paraId="7DF863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91" w:type="pct"/>
                  <w:vMerge w:val="restart"/>
                  <w:tcBorders>
                    <w:top w:val="single" w:color="auto" w:sz="6" w:space="0"/>
                    <w:bottom w:val="single" w:color="auto" w:sz="6" w:space="0"/>
                    <w:right w:val="single" w:color="auto" w:sz="6" w:space="0"/>
                  </w:tcBorders>
                  <w:vAlign w:val="center"/>
                </w:tcPr>
                <w:p w14:paraId="11BF2867">
                  <w:pPr>
                    <w:pStyle w:val="21"/>
                    <w:widowControl w:val="0"/>
                    <w:spacing w:before="0" w:beforeAutospacing="0" w:after="0" w:afterAutospacing="0"/>
                    <w:jc w:val="center"/>
                    <w:rPr>
                      <w:rFonts w:ascii="Times New Roman" w:hAnsi="Times New Roman"/>
                      <w:color w:val="000000"/>
                    </w:rPr>
                  </w:pPr>
                  <w:r>
                    <w:rPr>
                      <w:rFonts w:ascii="Times New Roman" w:hAnsi="Times New Roman"/>
                      <w:color w:val="000000"/>
                      <w:sz w:val="21"/>
                      <w:lang w:bidi="ar"/>
                    </w:rPr>
                    <w:t>燃料类型</w:t>
                  </w:r>
                </w:p>
              </w:tc>
              <w:tc>
                <w:tcPr>
                  <w:tcW w:w="538" w:type="pct"/>
                  <w:vMerge w:val="restart"/>
                  <w:tcBorders>
                    <w:top w:val="single" w:color="auto" w:sz="6" w:space="0"/>
                    <w:left w:val="single" w:color="auto" w:sz="6" w:space="0"/>
                    <w:bottom w:val="single" w:color="auto" w:sz="6" w:space="0"/>
                    <w:right w:val="single" w:color="auto" w:sz="6" w:space="0"/>
                  </w:tcBorders>
                  <w:vAlign w:val="center"/>
                </w:tcPr>
                <w:p w14:paraId="5E06A24A">
                  <w:pPr>
                    <w:pStyle w:val="21"/>
                    <w:widowControl w:val="0"/>
                    <w:spacing w:before="0" w:beforeAutospacing="0" w:after="0" w:afterAutospacing="0"/>
                    <w:jc w:val="center"/>
                    <w:rPr>
                      <w:rFonts w:ascii="Times New Roman" w:hAnsi="Times New Roman"/>
                      <w:color w:val="000000"/>
                    </w:rPr>
                  </w:pPr>
                  <w:r>
                    <w:rPr>
                      <w:rFonts w:ascii="Times New Roman" w:hAnsi="Times New Roman"/>
                      <w:color w:val="000000"/>
                      <w:sz w:val="21"/>
                      <w:lang w:bidi="ar"/>
                    </w:rPr>
                    <w:t>炉型</w:t>
                  </w:r>
                </w:p>
              </w:tc>
              <w:tc>
                <w:tcPr>
                  <w:tcW w:w="2440" w:type="pct"/>
                  <w:gridSpan w:val="3"/>
                  <w:tcBorders>
                    <w:top w:val="single" w:color="auto" w:sz="6" w:space="0"/>
                    <w:left w:val="single" w:color="auto" w:sz="6" w:space="0"/>
                    <w:bottom w:val="single" w:color="auto" w:sz="6" w:space="0"/>
                    <w:right w:val="single" w:color="auto" w:sz="6" w:space="0"/>
                  </w:tcBorders>
                  <w:vAlign w:val="center"/>
                </w:tcPr>
                <w:p w14:paraId="137A0D88">
                  <w:pPr>
                    <w:pStyle w:val="21"/>
                    <w:widowControl w:val="0"/>
                    <w:spacing w:before="0" w:beforeAutospacing="0" w:after="0" w:afterAutospacing="0"/>
                    <w:jc w:val="center"/>
                    <w:rPr>
                      <w:rFonts w:ascii="Times New Roman" w:hAnsi="Times New Roman"/>
                      <w:color w:val="000000"/>
                    </w:rPr>
                  </w:pPr>
                  <w:r>
                    <w:rPr>
                      <w:rFonts w:ascii="Times New Roman" w:hAnsi="Times New Roman"/>
                      <w:color w:val="000000"/>
                      <w:sz w:val="21"/>
                      <w:lang w:bidi="ar"/>
                    </w:rPr>
                    <w:t>重点地区</w:t>
                  </w:r>
                </w:p>
              </w:tc>
              <w:tc>
                <w:tcPr>
                  <w:tcW w:w="1387" w:type="pct"/>
                  <w:gridSpan w:val="3"/>
                  <w:vMerge w:val="continue"/>
                  <w:tcBorders>
                    <w:top w:val="single" w:color="auto" w:sz="12" w:space="0"/>
                    <w:left w:val="single" w:color="auto" w:sz="6" w:space="0"/>
                    <w:bottom w:val="single" w:color="auto" w:sz="6" w:space="0"/>
                    <w:right w:val="single" w:color="auto" w:sz="6" w:space="0"/>
                  </w:tcBorders>
                  <w:vAlign w:val="center"/>
                </w:tcPr>
                <w:p w14:paraId="724D2F38">
                  <w:pPr>
                    <w:jc w:val="center"/>
                    <w:rPr>
                      <w:sz w:val="20"/>
                      <w:szCs w:val="20"/>
                    </w:rPr>
                  </w:pPr>
                </w:p>
              </w:tc>
              <w:tc>
                <w:tcPr>
                  <w:tcW w:w="344" w:type="pct"/>
                  <w:vMerge w:val="continue"/>
                  <w:tcBorders>
                    <w:top w:val="single" w:color="auto" w:sz="12" w:space="0"/>
                    <w:left w:val="single" w:color="auto" w:sz="6" w:space="0"/>
                    <w:bottom w:val="single" w:color="auto" w:sz="6" w:space="0"/>
                  </w:tcBorders>
                  <w:vAlign w:val="center"/>
                </w:tcPr>
                <w:p w14:paraId="5C81538A">
                  <w:pPr>
                    <w:jc w:val="center"/>
                    <w:rPr>
                      <w:sz w:val="20"/>
                      <w:szCs w:val="20"/>
                    </w:rPr>
                  </w:pPr>
                </w:p>
              </w:tc>
            </w:tr>
            <w:tr w14:paraId="03018D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91" w:type="pct"/>
                  <w:vMerge w:val="continue"/>
                  <w:tcBorders>
                    <w:top w:val="single" w:color="auto" w:sz="6" w:space="0"/>
                    <w:bottom w:val="single" w:color="auto" w:sz="6" w:space="0"/>
                    <w:right w:val="single" w:color="auto" w:sz="6" w:space="0"/>
                  </w:tcBorders>
                  <w:vAlign w:val="center"/>
                </w:tcPr>
                <w:p w14:paraId="4BF611DD">
                  <w:pPr>
                    <w:jc w:val="center"/>
                    <w:rPr>
                      <w:sz w:val="20"/>
                      <w:szCs w:val="20"/>
                    </w:rPr>
                  </w:pPr>
                </w:p>
              </w:tc>
              <w:tc>
                <w:tcPr>
                  <w:tcW w:w="538" w:type="pct"/>
                  <w:vMerge w:val="continue"/>
                  <w:tcBorders>
                    <w:top w:val="single" w:color="auto" w:sz="6" w:space="0"/>
                    <w:left w:val="single" w:color="auto" w:sz="6" w:space="0"/>
                    <w:bottom w:val="single" w:color="auto" w:sz="6" w:space="0"/>
                    <w:right w:val="single" w:color="auto" w:sz="6" w:space="0"/>
                  </w:tcBorders>
                  <w:vAlign w:val="center"/>
                </w:tcPr>
                <w:p w14:paraId="106C040E">
                  <w:pPr>
                    <w:jc w:val="center"/>
                    <w:rPr>
                      <w:sz w:val="20"/>
                      <w:szCs w:val="20"/>
                    </w:rPr>
                  </w:pPr>
                </w:p>
              </w:tc>
              <w:tc>
                <w:tcPr>
                  <w:tcW w:w="419" w:type="pct"/>
                  <w:tcBorders>
                    <w:top w:val="single" w:color="auto" w:sz="6" w:space="0"/>
                    <w:left w:val="single" w:color="auto" w:sz="6" w:space="0"/>
                    <w:bottom w:val="single" w:color="auto" w:sz="6" w:space="0"/>
                    <w:right w:val="single" w:color="auto" w:sz="6" w:space="0"/>
                  </w:tcBorders>
                  <w:vAlign w:val="center"/>
                </w:tcPr>
                <w:p w14:paraId="4D11C4A9">
                  <w:pPr>
                    <w:pStyle w:val="21"/>
                    <w:widowControl w:val="0"/>
                    <w:spacing w:before="0" w:beforeAutospacing="0" w:after="0" w:afterAutospacing="0"/>
                    <w:jc w:val="center"/>
                    <w:rPr>
                      <w:rFonts w:ascii="Times New Roman" w:hAnsi="Times New Roman"/>
                      <w:color w:val="000000"/>
                    </w:rPr>
                  </w:pPr>
                  <w:r>
                    <w:rPr>
                      <w:rFonts w:ascii="Times New Roman" w:hAnsi="Times New Roman"/>
                      <w:color w:val="000000"/>
                      <w:sz w:val="21"/>
                      <w:lang w:bidi="ar"/>
                    </w:rPr>
                    <w:t>二氧化硫</w:t>
                  </w:r>
                </w:p>
              </w:tc>
              <w:tc>
                <w:tcPr>
                  <w:tcW w:w="1555" w:type="pct"/>
                  <w:tcBorders>
                    <w:top w:val="single" w:color="auto" w:sz="6" w:space="0"/>
                    <w:left w:val="single" w:color="auto" w:sz="6" w:space="0"/>
                    <w:bottom w:val="single" w:color="auto" w:sz="6" w:space="0"/>
                    <w:right w:val="single" w:color="auto" w:sz="6" w:space="0"/>
                  </w:tcBorders>
                  <w:vAlign w:val="center"/>
                </w:tcPr>
                <w:p w14:paraId="7DB700D8">
                  <w:pPr>
                    <w:pStyle w:val="21"/>
                    <w:widowControl w:val="0"/>
                    <w:spacing w:before="0" w:beforeAutospacing="0" w:after="0" w:afterAutospacing="0"/>
                    <w:jc w:val="center"/>
                    <w:rPr>
                      <w:rFonts w:ascii="Times New Roman" w:hAnsi="Times New Roman"/>
                      <w:color w:val="000000"/>
                    </w:rPr>
                  </w:pPr>
                  <w:r>
                    <w:rPr>
                      <w:rFonts w:ascii="Times New Roman" w:hAnsi="Times New Roman"/>
                      <w:color w:val="000000"/>
                      <w:sz w:val="21"/>
                      <w:lang w:bidi="ar"/>
                    </w:rPr>
                    <w:t>氮氧化物</w:t>
                  </w:r>
                </w:p>
              </w:tc>
              <w:tc>
                <w:tcPr>
                  <w:tcW w:w="466" w:type="pct"/>
                  <w:tcBorders>
                    <w:top w:val="single" w:color="auto" w:sz="6" w:space="0"/>
                    <w:left w:val="single" w:color="auto" w:sz="6" w:space="0"/>
                    <w:bottom w:val="single" w:color="auto" w:sz="6" w:space="0"/>
                    <w:right w:val="single" w:color="auto" w:sz="6" w:space="0"/>
                  </w:tcBorders>
                  <w:vAlign w:val="center"/>
                </w:tcPr>
                <w:p w14:paraId="7ABC4F28">
                  <w:pPr>
                    <w:pStyle w:val="21"/>
                    <w:widowControl w:val="0"/>
                    <w:spacing w:before="0" w:beforeAutospacing="0" w:after="0" w:afterAutospacing="0"/>
                    <w:jc w:val="center"/>
                    <w:rPr>
                      <w:rFonts w:ascii="Times New Roman" w:hAnsi="Times New Roman"/>
                      <w:color w:val="000000"/>
                    </w:rPr>
                  </w:pPr>
                  <w:r>
                    <w:rPr>
                      <w:rFonts w:ascii="Times New Roman" w:hAnsi="Times New Roman"/>
                      <w:color w:val="000000"/>
                      <w:sz w:val="21"/>
                      <w:lang w:bidi="ar"/>
                    </w:rPr>
                    <w:t>颗粒物</w:t>
                  </w:r>
                </w:p>
              </w:tc>
              <w:tc>
                <w:tcPr>
                  <w:tcW w:w="441" w:type="pct"/>
                  <w:tcBorders>
                    <w:top w:val="single" w:color="auto" w:sz="6" w:space="0"/>
                    <w:left w:val="single" w:color="auto" w:sz="6" w:space="0"/>
                    <w:bottom w:val="single" w:color="auto" w:sz="6" w:space="0"/>
                    <w:right w:val="single" w:color="auto" w:sz="6" w:space="0"/>
                  </w:tcBorders>
                  <w:vAlign w:val="center"/>
                </w:tcPr>
                <w:p w14:paraId="07E7719B">
                  <w:pPr>
                    <w:pStyle w:val="21"/>
                    <w:widowControl w:val="0"/>
                    <w:spacing w:before="0" w:beforeAutospacing="0" w:after="0" w:afterAutospacing="0"/>
                    <w:jc w:val="center"/>
                    <w:rPr>
                      <w:rFonts w:ascii="Times New Roman" w:hAnsi="Times New Roman"/>
                      <w:color w:val="000000"/>
                    </w:rPr>
                  </w:pPr>
                  <w:r>
                    <w:rPr>
                      <w:rFonts w:ascii="Times New Roman" w:hAnsi="Times New Roman"/>
                      <w:color w:val="000000"/>
                      <w:sz w:val="21"/>
                      <w:lang w:bidi="ar"/>
                    </w:rPr>
                    <w:t>二氧化硫</w:t>
                  </w:r>
                </w:p>
              </w:tc>
              <w:tc>
                <w:tcPr>
                  <w:tcW w:w="484" w:type="pct"/>
                  <w:tcBorders>
                    <w:top w:val="single" w:color="auto" w:sz="6" w:space="0"/>
                    <w:left w:val="single" w:color="auto" w:sz="6" w:space="0"/>
                    <w:bottom w:val="single" w:color="auto" w:sz="6" w:space="0"/>
                    <w:right w:val="single" w:color="auto" w:sz="6" w:space="0"/>
                  </w:tcBorders>
                  <w:vAlign w:val="center"/>
                </w:tcPr>
                <w:p w14:paraId="6D810BF1">
                  <w:pPr>
                    <w:pStyle w:val="21"/>
                    <w:widowControl w:val="0"/>
                    <w:spacing w:before="0" w:beforeAutospacing="0" w:after="0" w:afterAutospacing="0"/>
                    <w:jc w:val="center"/>
                    <w:rPr>
                      <w:rFonts w:ascii="Times New Roman" w:hAnsi="Times New Roman"/>
                      <w:color w:val="000000"/>
                    </w:rPr>
                  </w:pPr>
                  <w:r>
                    <w:rPr>
                      <w:rFonts w:ascii="Times New Roman" w:hAnsi="Times New Roman"/>
                      <w:color w:val="000000"/>
                      <w:sz w:val="21"/>
                      <w:lang w:bidi="ar"/>
                    </w:rPr>
                    <w:t>氮氧化物</w:t>
                  </w:r>
                </w:p>
              </w:tc>
              <w:tc>
                <w:tcPr>
                  <w:tcW w:w="462" w:type="pct"/>
                  <w:tcBorders>
                    <w:top w:val="single" w:color="auto" w:sz="6" w:space="0"/>
                    <w:left w:val="single" w:color="auto" w:sz="6" w:space="0"/>
                    <w:bottom w:val="single" w:color="auto" w:sz="6" w:space="0"/>
                    <w:right w:val="single" w:color="auto" w:sz="6" w:space="0"/>
                  </w:tcBorders>
                  <w:vAlign w:val="center"/>
                </w:tcPr>
                <w:p w14:paraId="1446ECA2">
                  <w:pPr>
                    <w:pStyle w:val="21"/>
                    <w:widowControl w:val="0"/>
                    <w:spacing w:before="0" w:beforeAutospacing="0" w:after="0" w:afterAutospacing="0"/>
                    <w:jc w:val="center"/>
                    <w:rPr>
                      <w:rFonts w:ascii="Times New Roman" w:hAnsi="Times New Roman"/>
                      <w:color w:val="000000"/>
                    </w:rPr>
                  </w:pPr>
                  <w:r>
                    <w:rPr>
                      <w:rFonts w:ascii="Times New Roman" w:hAnsi="Times New Roman"/>
                      <w:color w:val="000000"/>
                      <w:sz w:val="21"/>
                      <w:lang w:bidi="ar"/>
                    </w:rPr>
                    <w:t>颗粒物</w:t>
                  </w:r>
                </w:p>
              </w:tc>
              <w:tc>
                <w:tcPr>
                  <w:tcW w:w="344" w:type="pct"/>
                  <w:vMerge w:val="continue"/>
                  <w:tcBorders>
                    <w:top w:val="single" w:color="auto" w:sz="12" w:space="0"/>
                    <w:left w:val="single" w:color="auto" w:sz="6" w:space="0"/>
                    <w:bottom w:val="single" w:color="auto" w:sz="6" w:space="0"/>
                  </w:tcBorders>
                  <w:vAlign w:val="center"/>
                </w:tcPr>
                <w:p w14:paraId="50D9C943">
                  <w:pPr>
                    <w:jc w:val="center"/>
                    <w:rPr>
                      <w:sz w:val="20"/>
                      <w:szCs w:val="20"/>
                    </w:rPr>
                  </w:pPr>
                </w:p>
              </w:tc>
            </w:tr>
            <w:tr w14:paraId="5C7A9D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91" w:type="pct"/>
                  <w:tcBorders>
                    <w:top w:val="single" w:color="auto" w:sz="6" w:space="0"/>
                    <w:bottom w:val="single" w:color="auto" w:sz="6" w:space="0"/>
                    <w:right w:val="single" w:color="auto" w:sz="6" w:space="0"/>
                  </w:tcBorders>
                  <w:vAlign w:val="center"/>
                </w:tcPr>
                <w:p w14:paraId="1706D6FF">
                  <w:pPr>
                    <w:pStyle w:val="21"/>
                    <w:widowControl w:val="0"/>
                    <w:spacing w:before="0" w:beforeAutospacing="0" w:after="0" w:afterAutospacing="0"/>
                    <w:jc w:val="center"/>
                    <w:rPr>
                      <w:rFonts w:ascii="Times New Roman" w:hAnsi="Times New Roman"/>
                      <w:color w:val="000000"/>
                    </w:rPr>
                  </w:pPr>
                  <w:r>
                    <w:rPr>
                      <w:rFonts w:ascii="Times New Roman" w:hAnsi="Times New Roman"/>
                      <w:color w:val="000000"/>
                      <w:sz w:val="21"/>
                      <w:lang w:bidi="ar"/>
                    </w:rPr>
                    <w:t>燃气</w:t>
                  </w:r>
                </w:p>
              </w:tc>
              <w:tc>
                <w:tcPr>
                  <w:tcW w:w="538" w:type="pct"/>
                  <w:tcBorders>
                    <w:top w:val="single" w:color="auto" w:sz="6" w:space="0"/>
                    <w:left w:val="single" w:color="auto" w:sz="6" w:space="0"/>
                    <w:bottom w:val="single" w:color="auto" w:sz="6" w:space="0"/>
                    <w:right w:val="single" w:color="auto" w:sz="6" w:space="0"/>
                  </w:tcBorders>
                  <w:vAlign w:val="center"/>
                </w:tcPr>
                <w:p w14:paraId="39BDA963">
                  <w:pPr>
                    <w:pStyle w:val="21"/>
                    <w:widowControl w:val="0"/>
                    <w:spacing w:before="0" w:beforeAutospacing="0" w:after="0" w:afterAutospacing="0"/>
                    <w:jc w:val="center"/>
                    <w:rPr>
                      <w:rFonts w:ascii="Times New Roman" w:hAnsi="Times New Roman"/>
                      <w:color w:val="000000"/>
                    </w:rPr>
                  </w:pPr>
                  <w:r>
                    <w:rPr>
                      <w:rFonts w:ascii="Times New Roman" w:hAnsi="Times New Roman"/>
                      <w:color w:val="000000"/>
                      <w:sz w:val="21"/>
                      <w:lang w:bidi="ar"/>
                    </w:rPr>
                    <w:t>室燃炉</w:t>
                  </w:r>
                </w:p>
              </w:tc>
              <w:tc>
                <w:tcPr>
                  <w:tcW w:w="419" w:type="pct"/>
                  <w:tcBorders>
                    <w:top w:val="single" w:color="auto" w:sz="6" w:space="0"/>
                    <w:left w:val="single" w:color="auto" w:sz="6" w:space="0"/>
                    <w:bottom w:val="single" w:color="auto" w:sz="6" w:space="0"/>
                    <w:right w:val="single" w:color="auto" w:sz="6" w:space="0"/>
                  </w:tcBorders>
                  <w:vAlign w:val="center"/>
                </w:tcPr>
                <w:p w14:paraId="56C2F87C">
                  <w:pPr>
                    <w:pStyle w:val="21"/>
                    <w:widowControl w:val="0"/>
                    <w:spacing w:before="0" w:beforeAutospacing="0" w:after="0" w:afterAutospacing="0"/>
                    <w:jc w:val="center"/>
                    <w:rPr>
                      <w:rFonts w:ascii="Times New Roman" w:hAnsi="Times New Roman"/>
                      <w:color w:val="000000"/>
                    </w:rPr>
                  </w:pPr>
                  <w:r>
                    <w:rPr>
                      <w:rFonts w:ascii="Times New Roman" w:hAnsi="Times New Roman"/>
                      <w:color w:val="000000"/>
                      <w:sz w:val="21"/>
                      <w:lang w:bidi="ar"/>
                    </w:rPr>
                    <w:t>/</w:t>
                  </w:r>
                </w:p>
              </w:tc>
              <w:tc>
                <w:tcPr>
                  <w:tcW w:w="1555" w:type="pct"/>
                  <w:tcBorders>
                    <w:top w:val="single" w:color="auto" w:sz="6" w:space="0"/>
                    <w:left w:val="single" w:color="auto" w:sz="6" w:space="0"/>
                    <w:bottom w:val="single" w:color="auto" w:sz="6" w:space="0"/>
                    <w:right w:val="single" w:color="auto" w:sz="6" w:space="0"/>
                  </w:tcBorders>
                  <w:vAlign w:val="center"/>
                </w:tcPr>
                <w:p w14:paraId="68B2C60A">
                  <w:pPr>
                    <w:pStyle w:val="21"/>
                    <w:widowControl w:val="0"/>
                    <w:spacing w:before="0" w:beforeAutospacing="0" w:after="0" w:afterAutospacing="0"/>
                    <w:jc w:val="center"/>
                    <w:rPr>
                      <w:rFonts w:ascii="Times New Roman" w:hAnsi="Times New Roman"/>
                    </w:rPr>
                  </w:pPr>
                  <w:r>
                    <w:rPr>
                      <w:rFonts w:ascii="Times New Roman" w:hAnsi="Times New Roman"/>
                      <w:sz w:val="21"/>
                      <w:lang w:bidi="ar"/>
                    </w:rPr>
                    <w:t>低氮燃烧技术、低氮燃烧+SCR脱硝技术</w:t>
                  </w:r>
                </w:p>
              </w:tc>
              <w:tc>
                <w:tcPr>
                  <w:tcW w:w="466" w:type="pct"/>
                  <w:tcBorders>
                    <w:top w:val="single" w:color="auto" w:sz="6" w:space="0"/>
                    <w:left w:val="single" w:color="auto" w:sz="6" w:space="0"/>
                    <w:bottom w:val="single" w:color="auto" w:sz="6" w:space="0"/>
                    <w:right w:val="single" w:color="auto" w:sz="6" w:space="0"/>
                  </w:tcBorders>
                  <w:vAlign w:val="center"/>
                </w:tcPr>
                <w:p w14:paraId="23F531F0">
                  <w:pPr>
                    <w:pStyle w:val="21"/>
                    <w:widowControl w:val="0"/>
                    <w:spacing w:before="0" w:beforeAutospacing="0" w:after="0" w:afterAutospacing="0"/>
                    <w:jc w:val="center"/>
                    <w:rPr>
                      <w:rFonts w:ascii="Times New Roman" w:hAnsi="Times New Roman"/>
                    </w:rPr>
                  </w:pPr>
                  <w:r>
                    <w:rPr>
                      <w:rFonts w:ascii="Times New Roman" w:hAnsi="Times New Roman"/>
                      <w:sz w:val="21"/>
                      <w:lang w:bidi="ar"/>
                    </w:rPr>
                    <w:t>/</w:t>
                  </w:r>
                </w:p>
              </w:tc>
              <w:tc>
                <w:tcPr>
                  <w:tcW w:w="441" w:type="pct"/>
                  <w:tcBorders>
                    <w:top w:val="single" w:color="auto" w:sz="6" w:space="0"/>
                    <w:left w:val="single" w:color="auto" w:sz="6" w:space="0"/>
                    <w:bottom w:val="single" w:color="auto" w:sz="6" w:space="0"/>
                    <w:right w:val="single" w:color="auto" w:sz="6" w:space="0"/>
                  </w:tcBorders>
                  <w:vAlign w:val="center"/>
                </w:tcPr>
                <w:p w14:paraId="44CCC296">
                  <w:pPr>
                    <w:pStyle w:val="21"/>
                    <w:widowControl w:val="0"/>
                    <w:spacing w:before="0" w:beforeAutospacing="0" w:after="0" w:afterAutospacing="0"/>
                    <w:jc w:val="center"/>
                    <w:rPr>
                      <w:rFonts w:ascii="Times New Roman" w:hAnsi="Times New Roman"/>
                    </w:rPr>
                  </w:pPr>
                  <w:r>
                    <w:rPr>
                      <w:rFonts w:ascii="Times New Roman" w:hAnsi="Times New Roman"/>
                      <w:sz w:val="21"/>
                      <w:lang w:bidi="ar"/>
                    </w:rPr>
                    <w:t>/</w:t>
                  </w:r>
                </w:p>
              </w:tc>
              <w:tc>
                <w:tcPr>
                  <w:tcW w:w="484" w:type="pct"/>
                  <w:tcBorders>
                    <w:top w:val="single" w:color="auto" w:sz="6" w:space="0"/>
                    <w:left w:val="single" w:color="auto" w:sz="6" w:space="0"/>
                    <w:bottom w:val="single" w:color="auto" w:sz="6" w:space="0"/>
                    <w:right w:val="single" w:color="auto" w:sz="6" w:space="0"/>
                  </w:tcBorders>
                  <w:vAlign w:val="center"/>
                </w:tcPr>
                <w:p w14:paraId="5B304BF0">
                  <w:pPr>
                    <w:pStyle w:val="21"/>
                    <w:widowControl w:val="0"/>
                    <w:spacing w:before="0" w:beforeAutospacing="0" w:after="0" w:afterAutospacing="0"/>
                    <w:jc w:val="center"/>
                    <w:rPr>
                      <w:rFonts w:ascii="Times New Roman" w:hAnsi="Times New Roman"/>
                    </w:rPr>
                  </w:pPr>
                  <w:r>
                    <w:rPr>
                      <w:rFonts w:ascii="Times New Roman" w:hAnsi="Times New Roman"/>
                      <w:sz w:val="21"/>
                      <w:lang w:bidi="ar"/>
                    </w:rPr>
                    <w:t>低氮燃烧技术</w:t>
                  </w:r>
                </w:p>
              </w:tc>
              <w:tc>
                <w:tcPr>
                  <w:tcW w:w="462" w:type="pct"/>
                  <w:tcBorders>
                    <w:top w:val="single" w:color="auto" w:sz="6" w:space="0"/>
                    <w:left w:val="single" w:color="auto" w:sz="6" w:space="0"/>
                    <w:bottom w:val="single" w:color="auto" w:sz="6" w:space="0"/>
                    <w:right w:val="single" w:color="auto" w:sz="6" w:space="0"/>
                  </w:tcBorders>
                  <w:vAlign w:val="center"/>
                </w:tcPr>
                <w:p w14:paraId="35929DDD">
                  <w:pPr>
                    <w:pStyle w:val="21"/>
                    <w:widowControl w:val="0"/>
                    <w:spacing w:before="0" w:beforeAutospacing="0" w:after="0" w:afterAutospacing="0"/>
                    <w:jc w:val="center"/>
                    <w:rPr>
                      <w:rFonts w:ascii="Times New Roman" w:hAnsi="Times New Roman"/>
                      <w:color w:val="000000"/>
                    </w:rPr>
                  </w:pPr>
                  <w:r>
                    <w:rPr>
                      <w:rFonts w:ascii="Times New Roman" w:hAnsi="Times New Roman"/>
                      <w:color w:val="000000"/>
                      <w:sz w:val="21"/>
                      <w:lang w:bidi="ar"/>
                    </w:rPr>
                    <w:t>布袋除尘</w:t>
                  </w:r>
                </w:p>
              </w:tc>
              <w:tc>
                <w:tcPr>
                  <w:tcW w:w="344" w:type="pct"/>
                  <w:tcBorders>
                    <w:top w:val="single" w:color="auto" w:sz="6" w:space="0"/>
                    <w:left w:val="single" w:color="auto" w:sz="6" w:space="0"/>
                    <w:bottom w:val="single" w:color="auto" w:sz="6" w:space="0"/>
                  </w:tcBorders>
                  <w:vAlign w:val="center"/>
                </w:tcPr>
                <w:p w14:paraId="1180D940">
                  <w:pPr>
                    <w:pStyle w:val="21"/>
                    <w:widowControl w:val="0"/>
                    <w:spacing w:before="0" w:beforeAutospacing="0" w:after="0" w:afterAutospacing="0"/>
                    <w:jc w:val="center"/>
                    <w:rPr>
                      <w:rFonts w:ascii="Times New Roman" w:hAnsi="Times New Roman"/>
                      <w:color w:val="000000"/>
                    </w:rPr>
                  </w:pPr>
                  <w:r>
                    <w:rPr>
                      <w:rFonts w:ascii="Times New Roman" w:hAnsi="Times New Roman"/>
                      <w:color w:val="000000"/>
                      <w:sz w:val="21"/>
                      <w:lang w:bidi="ar"/>
                    </w:rPr>
                    <w:t>是</w:t>
                  </w:r>
                </w:p>
              </w:tc>
            </w:tr>
            <w:tr w14:paraId="4A0B76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268" w:type="pct"/>
                  <w:gridSpan w:val="5"/>
                  <w:tcBorders>
                    <w:top w:val="single" w:color="auto" w:sz="6" w:space="0"/>
                    <w:bottom w:val="single" w:color="auto" w:sz="6" w:space="0"/>
                    <w:right w:val="single" w:color="auto" w:sz="6" w:space="0"/>
                  </w:tcBorders>
                  <w:vAlign w:val="center"/>
                </w:tcPr>
                <w:p w14:paraId="5180CD9B">
                  <w:pPr>
                    <w:pStyle w:val="21"/>
                    <w:widowControl w:val="0"/>
                    <w:spacing w:before="0" w:beforeAutospacing="0" w:after="0" w:afterAutospacing="0"/>
                    <w:jc w:val="center"/>
                    <w:rPr>
                      <w:rFonts w:ascii="Times New Roman" w:hAnsi="Times New Roman"/>
                      <w:color w:val="000000"/>
                    </w:rPr>
                  </w:pPr>
                  <w:r>
                    <w:rPr>
                      <w:rFonts w:ascii="Times New Roman" w:hAnsi="Times New Roman"/>
                      <w:sz w:val="21"/>
                      <w:lang w:bidi="ar"/>
                    </w:rPr>
                    <w:t>参照《排污许可证申请与核发技术规范 农副食品加工工业—水产品加工工业》（HJ 1109-2020）、《排污许可证申请与核发技术规范 农副食品加工工业—屠宰及肉类加工工业》（HJ 860.3-2018）</w:t>
                  </w:r>
                </w:p>
              </w:tc>
              <w:tc>
                <w:tcPr>
                  <w:tcW w:w="1387" w:type="pct"/>
                  <w:gridSpan w:val="3"/>
                  <w:vMerge w:val="restart"/>
                  <w:tcBorders>
                    <w:top w:val="single" w:color="auto" w:sz="6" w:space="0"/>
                    <w:left w:val="single" w:color="auto" w:sz="6" w:space="0"/>
                    <w:bottom w:val="single" w:color="auto" w:sz="6" w:space="0"/>
                    <w:right w:val="single" w:color="auto" w:sz="6" w:space="0"/>
                  </w:tcBorders>
                  <w:vAlign w:val="center"/>
                </w:tcPr>
                <w:p w14:paraId="70EA7314">
                  <w:pPr>
                    <w:pStyle w:val="21"/>
                    <w:widowControl w:val="0"/>
                    <w:spacing w:before="0" w:beforeAutospacing="0" w:after="0" w:afterAutospacing="0"/>
                    <w:jc w:val="center"/>
                    <w:rPr>
                      <w:rFonts w:ascii="Times New Roman" w:hAnsi="Times New Roman"/>
                      <w:color w:val="000000"/>
                    </w:rPr>
                  </w:pPr>
                  <w:r>
                    <w:rPr>
                      <w:rFonts w:ascii="Times New Roman" w:hAnsi="Times New Roman"/>
                      <w:color w:val="000000"/>
                      <w:sz w:val="21"/>
                      <w:lang w:bidi="ar"/>
                    </w:rPr>
                    <w:t>本项目采取的污染治理设施名称及工艺</w:t>
                  </w:r>
                </w:p>
              </w:tc>
              <w:tc>
                <w:tcPr>
                  <w:tcW w:w="344" w:type="pct"/>
                  <w:vMerge w:val="restart"/>
                  <w:tcBorders>
                    <w:top w:val="single" w:color="auto" w:sz="6" w:space="0"/>
                    <w:left w:val="single" w:color="auto" w:sz="6" w:space="0"/>
                    <w:bottom w:val="single" w:color="auto" w:sz="6" w:space="0"/>
                  </w:tcBorders>
                  <w:vAlign w:val="center"/>
                </w:tcPr>
                <w:p w14:paraId="2F43B393">
                  <w:pPr>
                    <w:pStyle w:val="21"/>
                    <w:widowControl w:val="0"/>
                    <w:spacing w:before="0" w:beforeAutospacing="0" w:after="0" w:afterAutospacing="0"/>
                    <w:jc w:val="center"/>
                    <w:rPr>
                      <w:rFonts w:ascii="Times New Roman" w:hAnsi="Times New Roman"/>
                      <w:color w:val="000000"/>
                    </w:rPr>
                  </w:pPr>
                  <w:r>
                    <w:rPr>
                      <w:rFonts w:ascii="Times New Roman" w:hAnsi="Times New Roman"/>
                      <w:color w:val="000000"/>
                      <w:sz w:val="21"/>
                      <w:lang w:bidi="ar"/>
                    </w:rPr>
                    <w:t>是否为可行技术</w:t>
                  </w:r>
                </w:p>
              </w:tc>
            </w:tr>
            <w:tr w14:paraId="1BD9FA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91" w:type="pct"/>
                  <w:tcBorders>
                    <w:top w:val="single" w:color="auto" w:sz="6" w:space="0"/>
                    <w:bottom w:val="single" w:color="auto" w:sz="6" w:space="0"/>
                    <w:right w:val="single" w:color="auto" w:sz="6" w:space="0"/>
                  </w:tcBorders>
                  <w:vAlign w:val="center"/>
                </w:tcPr>
                <w:p w14:paraId="39F2C0B9">
                  <w:pPr>
                    <w:pStyle w:val="21"/>
                    <w:widowControl w:val="0"/>
                    <w:spacing w:before="0" w:beforeAutospacing="0" w:after="0" w:afterAutospacing="0"/>
                    <w:jc w:val="center"/>
                    <w:rPr>
                      <w:rFonts w:ascii="Times New Roman" w:hAnsi="Times New Roman"/>
                      <w:bCs/>
                    </w:rPr>
                  </w:pPr>
                  <w:r>
                    <w:rPr>
                      <w:rFonts w:ascii="Times New Roman" w:hAnsi="Times New Roman"/>
                      <w:bCs/>
                      <w:sz w:val="21"/>
                      <w:lang w:bidi="ar"/>
                    </w:rPr>
                    <w:t>生产</w:t>
                  </w:r>
                </w:p>
                <w:p w14:paraId="02C29ACE">
                  <w:pPr>
                    <w:pStyle w:val="21"/>
                    <w:widowControl w:val="0"/>
                    <w:spacing w:before="0" w:beforeAutospacing="0" w:after="0" w:afterAutospacing="0"/>
                    <w:jc w:val="center"/>
                    <w:rPr>
                      <w:rFonts w:ascii="Times New Roman" w:hAnsi="Times New Roman"/>
                      <w:bCs/>
                    </w:rPr>
                  </w:pPr>
                  <w:r>
                    <w:rPr>
                      <w:rFonts w:ascii="Times New Roman" w:hAnsi="Times New Roman"/>
                      <w:bCs/>
                      <w:sz w:val="21"/>
                      <w:lang w:bidi="ar"/>
                    </w:rPr>
                    <w:t>设施</w:t>
                  </w:r>
                </w:p>
              </w:tc>
              <w:tc>
                <w:tcPr>
                  <w:tcW w:w="538" w:type="pct"/>
                  <w:tcBorders>
                    <w:top w:val="single" w:color="auto" w:sz="6" w:space="0"/>
                    <w:left w:val="single" w:color="auto" w:sz="6" w:space="0"/>
                    <w:bottom w:val="single" w:color="auto" w:sz="6" w:space="0"/>
                    <w:right w:val="single" w:color="auto" w:sz="6" w:space="0"/>
                  </w:tcBorders>
                  <w:vAlign w:val="center"/>
                </w:tcPr>
                <w:p w14:paraId="3EB0C029">
                  <w:pPr>
                    <w:pStyle w:val="21"/>
                    <w:widowControl w:val="0"/>
                    <w:spacing w:before="0" w:beforeAutospacing="0" w:after="0" w:afterAutospacing="0"/>
                    <w:jc w:val="center"/>
                    <w:rPr>
                      <w:rFonts w:ascii="Times New Roman" w:hAnsi="Times New Roman"/>
                      <w:bCs/>
                    </w:rPr>
                  </w:pPr>
                  <w:r>
                    <w:rPr>
                      <w:rFonts w:ascii="Times New Roman" w:hAnsi="Times New Roman"/>
                      <w:bCs/>
                      <w:sz w:val="21"/>
                      <w:lang w:bidi="ar"/>
                    </w:rPr>
                    <w:t>废气产污环节名称</w:t>
                  </w:r>
                </w:p>
              </w:tc>
              <w:tc>
                <w:tcPr>
                  <w:tcW w:w="419" w:type="pct"/>
                  <w:tcBorders>
                    <w:top w:val="single" w:color="auto" w:sz="6" w:space="0"/>
                    <w:left w:val="single" w:color="auto" w:sz="6" w:space="0"/>
                    <w:bottom w:val="single" w:color="auto" w:sz="6" w:space="0"/>
                    <w:right w:val="single" w:color="auto" w:sz="6" w:space="0"/>
                  </w:tcBorders>
                  <w:vAlign w:val="center"/>
                </w:tcPr>
                <w:p w14:paraId="024C7745">
                  <w:pPr>
                    <w:pStyle w:val="21"/>
                    <w:widowControl w:val="0"/>
                    <w:spacing w:before="0" w:beforeAutospacing="0" w:after="0" w:afterAutospacing="0"/>
                    <w:jc w:val="center"/>
                    <w:rPr>
                      <w:rFonts w:ascii="Times New Roman" w:hAnsi="Times New Roman"/>
                      <w:bCs/>
                    </w:rPr>
                  </w:pPr>
                  <w:r>
                    <w:rPr>
                      <w:rFonts w:ascii="Times New Roman" w:hAnsi="Times New Roman"/>
                      <w:bCs/>
                      <w:sz w:val="21"/>
                      <w:lang w:bidi="ar"/>
                    </w:rPr>
                    <w:t>污染物种类</w:t>
                  </w:r>
                </w:p>
              </w:tc>
              <w:tc>
                <w:tcPr>
                  <w:tcW w:w="1555" w:type="pct"/>
                  <w:tcBorders>
                    <w:top w:val="single" w:color="auto" w:sz="6" w:space="0"/>
                    <w:left w:val="single" w:color="auto" w:sz="6" w:space="0"/>
                    <w:bottom w:val="single" w:color="auto" w:sz="6" w:space="0"/>
                    <w:right w:val="single" w:color="auto" w:sz="6" w:space="0"/>
                  </w:tcBorders>
                  <w:vAlign w:val="center"/>
                </w:tcPr>
                <w:p w14:paraId="7F455DDD">
                  <w:pPr>
                    <w:pStyle w:val="21"/>
                    <w:widowControl w:val="0"/>
                    <w:spacing w:before="0" w:beforeAutospacing="0" w:after="0" w:afterAutospacing="0"/>
                    <w:jc w:val="center"/>
                    <w:rPr>
                      <w:rFonts w:ascii="Times New Roman" w:hAnsi="Times New Roman"/>
                      <w:bCs/>
                    </w:rPr>
                  </w:pPr>
                  <w:r>
                    <w:rPr>
                      <w:rFonts w:ascii="Times New Roman" w:hAnsi="Times New Roman"/>
                      <w:bCs/>
                      <w:sz w:val="21"/>
                      <w:lang w:bidi="ar"/>
                    </w:rPr>
                    <w:t>污染治理设施名称及工艺</w:t>
                  </w:r>
                </w:p>
              </w:tc>
              <w:tc>
                <w:tcPr>
                  <w:tcW w:w="466" w:type="pct"/>
                  <w:tcBorders>
                    <w:top w:val="single" w:color="auto" w:sz="6" w:space="0"/>
                    <w:left w:val="single" w:color="auto" w:sz="6" w:space="0"/>
                    <w:bottom w:val="single" w:color="auto" w:sz="6" w:space="0"/>
                    <w:right w:val="single" w:color="auto" w:sz="6" w:space="0"/>
                  </w:tcBorders>
                  <w:vAlign w:val="center"/>
                </w:tcPr>
                <w:p w14:paraId="675881E8">
                  <w:pPr>
                    <w:pStyle w:val="21"/>
                    <w:widowControl w:val="0"/>
                    <w:spacing w:before="0" w:beforeAutospacing="0" w:after="0" w:afterAutospacing="0"/>
                    <w:jc w:val="center"/>
                    <w:rPr>
                      <w:rFonts w:ascii="Times New Roman" w:hAnsi="Times New Roman"/>
                      <w:bCs/>
                    </w:rPr>
                  </w:pPr>
                  <w:r>
                    <w:rPr>
                      <w:rFonts w:ascii="Times New Roman" w:hAnsi="Times New Roman"/>
                      <w:bCs/>
                      <w:sz w:val="21"/>
                      <w:lang w:bidi="ar"/>
                    </w:rPr>
                    <w:t>生产</w:t>
                  </w:r>
                </w:p>
                <w:p w14:paraId="571E53B7">
                  <w:pPr>
                    <w:pStyle w:val="21"/>
                    <w:widowControl w:val="0"/>
                    <w:spacing w:before="0" w:beforeAutospacing="0" w:after="0" w:afterAutospacing="0"/>
                    <w:jc w:val="center"/>
                    <w:rPr>
                      <w:rFonts w:ascii="Times New Roman" w:hAnsi="Times New Roman"/>
                      <w:bCs/>
                    </w:rPr>
                  </w:pPr>
                  <w:r>
                    <w:rPr>
                      <w:rFonts w:ascii="Times New Roman" w:hAnsi="Times New Roman"/>
                      <w:bCs/>
                      <w:sz w:val="21"/>
                      <w:lang w:bidi="ar"/>
                    </w:rPr>
                    <w:t>设施</w:t>
                  </w:r>
                </w:p>
              </w:tc>
              <w:tc>
                <w:tcPr>
                  <w:tcW w:w="1387" w:type="pct"/>
                  <w:gridSpan w:val="3"/>
                  <w:vMerge w:val="continue"/>
                  <w:tcBorders>
                    <w:top w:val="single" w:color="auto" w:sz="6" w:space="0"/>
                    <w:left w:val="single" w:color="auto" w:sz="6" w:space="0"/>
                    <w:bottom w:val="single" w:color="auto" w:sz="6" w:space="0"/>
                    <w:right w:val="single" w:color="auto" w:sz="6" w:space="0"/>
                  </w:tcBorders>
                  <w:vAlign w:val="center"/>
                </w:tcPr>
                <w:p w14:paraId="10A2A757">
                  <w:pPr>
                    <w:jc w:val="center"/>
                    <w:rPr>
                      <w:sz w:val="20"/>
                      <w:szCs w:val="20"/>
                    </w:rPr>
                  </w:pPr>
                </w:p>
              </w:tc>
              <w:tc>
                <w:tcPr>
                  <w:tcW w:w="344" w:type="pct"/>
                  <w:vMerge w:val="continue"/>
                  <w:tcBorders>
                    <w:top w:val="single" w:color="auto" w:sz="6" w:space="0"/>
                    <w:left w:val="single" w:color="auto" w:sz="6" w:space="0"/>
                    <w:bottom w:val="single" w:color="auto" w:sz="6" w:space="0"/>
                  </w:tcBorders>
                  <w:vAlign w:val="center"/>
                </w:tcPr>
                <w:p w14:paraId="4AF666D7">
                  <w:pPr>
                    <w:jc w:val="center"/>
                    <w:rPr>
                      <w:sz w:val="20"/>
                      <w:szCs w:val="20"/>
                    </w:rPr>
                  </w:pPr>
                </w:p>
              </w:tc>
            </w:tr>
            <w:tr w14:paraId="01B0A2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91" w:type="pct"/>
                  <w:tcBorders>
                    <w:top w:val="single" w:color="auto" w:sz="6" w:space="0"/>
                    <w:right w:val="single" w:color="auto" w:sz="6" w:space="0"/>
                  </w:tcBorders>
                  <w:vAlign w:val="center"/>
                </w:tcPr>
                <w:p w14:paraId="46EE2A0A">
                  <w:pPr>
                    <w:pStyle w:val="21"/>
                    <w:widowControl w:val="0"/>
                    <w:spacing w:before="0" w:beforeAutospacing="0" w:after="0" w:afterAutospacing="0"/>
                    <w:jc w:val="center"/>
                    <w:rPr>
                      <w:rFonts w:ascii="Times New Roman" w:hAnsi="Times New Roman"/>
                    </w:rPr>
                  </w:pPr>
                  <w:r>
                    <w:rPr>
                      <w:rFonts w:ascii="Times New Roman" w:hAnsi="Times New Roman"/>
                      <w:sz w:val="21"/>
                      <w:lang w:bidi="ar"/>
                    </w:rPr>
                    <w:t>油炸机</w:t>
                  </w:r>
                </w:p>
              </w:tc>
              <w:tc>
                <w:tcPr>
                  <w:tcW w:w="538" w:type="pct"/>
                  <w:tcBorders>
                    <w:top w:val="single" w:color="auto" w:sz="6" w:space="0"/>
                    <w:left w:val="single" w:color="auto" w:sz="6" w:space="0"/>
                    <w:right w:val="single" w:color="auto" w:sz="6" w:space="0"/>
                  </w:tcBorders>
                  <w:vAlign w:val="center"/>
                </w:tcPr>
                <w:p w14:paraId="1A57D3D0">
                  <w:pPr>
                    <w:pStyle w:val="21"/>
                    <w:widowControl w:val="0"/>
                    <w:spacing w:before="0" w:beforeAutospacing="0" w:after="0" w:afterAutospacing="0"/>
                    <w:jc w:val="center"/>
                    <w:rPr>
                      <w:rFonts w:ascii="Times New Roman" w:hAnsi="Times New Roman"/>
                    </w:rPr>
                  </w:pPr>
                  <w:r>
                    <w:rPr>
                      <w:rFonts w:ascii="Times New Roman" w:hAnsi="Times New Roman"/>
                      <w:sz w:val="21"/>
                      <w:lang w:bidi="ar"/>
                    </w:rPr>
                    <w:t>油炸</w:t>
                  </w:r>
                </w:p>
              </w:tc>
              <w:tc>
                <w:tcPr>
                  <w:tcW w:w="419" w:type="pct"/>
                  <w:tcBorders>
                    <w:top w:val="single" w:color="auto" w:sz="6" w:space="0"/>
                    <w:left w:val="single" w:color="auto" w:sz="6" w:space="0"/>
                    <w:right w:val="single" w:color="auto" w:sz="6" w:space="0"/>
                  </w:tcBorders>
                  <w:vAlign w:val="center"/>
                </w:tcPr>
                <w:p w14:paraId="1461019E">
                  <w:pPr>
                    <w:pStyle w:val="21"/>
                    <w:widowControl w:val="0"/>
                    <w:spacing w:before="0" w:beforeAutospacing="0" w:after="0" w:afterAutospacing="0"/>
                    <w:jc w:val="center"/>
                    <w:rPr>
                      <w:rFonts w:ascii="Times New Roman" w:hAnsi="Times New Roman"/>
                    </w:rPr>
                  </w:pPr>
                  <w:r>
                    <w:rPr>
                      <w:rFonts w:ascii="Times New Roman" w:hAnsi="Times New Roman"/>
                      <w:sz w:val="21"/>
                      <w:lang w:bidi="ar"/>
                    </w:rPr>
                    <w:t>油烟</w:t>
                  </w:r>
                </w:p>
              </w:tc>
              <w:tc>
                <w:tcPr>
                  <w:tcW w:w="1555" w:type="pct"/>
                  <w:tcBorders>
                    <w:top w:val="single" w:color="auto" w:sz="6" w:space="0"/>
                    <w:left w:val="single" w:color="auto" w:sz="6" w:space="0"/>
                    <w:right w:val="single" w:color="auto" w:sz="6" w:space="0"/>
                  </w:tcBorders>
                  <w:vAlign w:val="center"/>
                </w:tcPr>
                <w:p w14:paraId="322AF377">
                  <w:pPr>
                    <w:pStyle w:val="21"/>
                    <w:widowControl w:val="0"/>
                    <w:overflowPunct w:val="0"/>
                    <w:autoSpaceDE w:val="0"/>
                    <w:autoSpaceDN w:val="0"/>
                    <w:adjustRightInd w:val="0"/>
                    <w:spacing w:before="0" w:beforeAutospacing="0" w:after="0" w:afterAutospacing="0" w:line="240" w:lineRule="atLeast"/>
                    <w:jc w:val="center"/>
                    <w:rPr>
                      <w:rFonts w:ascii="Times New Roman" w:hAnsi="Times New Roman"/>
                      <w:sz w:val="21"/>
                      <w:szCs w:val="21"/>
                    </w:rPr>
                  </w:pPr>
                  <w:r>
                    <w:rPr>
                      <w:rFonts w:ascii="Times New Roman" w:hAnsi="Times New Roman"/>
                      <w:kern w:val="0"/>
                      <w:sz w:val="21"/>
                      <w:szCs w:val="21"/>
                      <w:lang w:bidi="ar"/>
                    </w:rPr>
                    <w:t>静电油烟处理器；湿法油烟处理器（油烟滤清机、水浴式油烟处理器、旋流板塔油烟处理器、文氏管油烟处理器）；其他</w:t>
                  </w:r>
                </w:p>
              </w:tc>
              <w:tc>
                <w:tcPr>
                  <w:tcW w:w="466" w:type="pct"/>
                  <w:tcBorders>
                    <w:top w:val="single" w:color="auto" w:sz="6" w:space="0"/>
                    <w:left w:val="single" w:color="auto" w:sz="6" w:space="0"/>
                    <w:right w:val="single" w:color="auto" w:sz="6" w:space="0"/>
                  </w:tcBorders>
                  <w:vAlign w:val="center"/>
                </w:tcPr>
                <w:p w14:paraId="2E2C9384">
                  <w:pPr>
                    <w:pStyle w:val="21"/>
                    <w:widowControl w:val="0"/>
                    <w:spacing w:before="0" w:beforeAutospacing="0" w:after="0" w:afterAutospacing="0"/>
                    <w:jc w:val="center"/>
                    <w:rPr>
                      <w:rFonts w:ascii="Times New Roman" w:hAnsi="Times New Roman"/>
                    </w:rPr>
                  </w:pPr>
                  <w:r>
                    <w:rPr>
                      <w:rFonts w:ascii="Times New Roman" w:hAnsi="Times New Roman"/>
                      <w:sz w:val="21"/>
                      <w:lang w:bidi="ar"/>
                    </w:rPr>
                    <w:t>炒锅</w:t>
                  </w:r>
                </w:p>
              </w:tc>
              <w:tc>
                <w:tcPr>
                  <w:tcW w:w="1387" w:type="pct"/>
                  <w:gridSpan w:val="3"/>
                  <w:tcBorders>
                    <w:top w:val="single" w:color="auto" w:sz="6" w:space="0"/>
                    <w:left w:val="single" w:color="auto" w:sz="6" w:space="0"/>
                    <w:right w:val="single" w:color="auto" w:sz="6" w:space="0"/>
                  </w:tcBorders>
                  <w:vAlign w:val="center"/>
                </w:tcPr>
                <w:p w14:paraId="78BE91A0">
                  <w:pPr>
                    <w:pStyle w:val="21"/>
                    <w:widowControl w:val="0"/>
                    <w:spacing w:before="0" w:beforeAutospacing="0" w:after="0" w:afterAutospacing="0"/>
                    <w:jc w:val="center"/>
                    <w:rPr>
                      <w:rFonts w:ascii="Times New Roman" w:hAnsi="Times New Roman"/>
                      <w:color w:val="000000"/>
                    </w:rPr>
                  </w:pPr>
                  <w:r>
                    <w:rPr>
                      <w:rFonts w:ascii="Times New Roman" w:hAnsi="Times New Roman"/>
                      <w:sz w:val="21"/>
                      <w:lang w:bidi="ar"/>
                    </w:rPr>
                    <w:t>静电油烟处理工艺</w:t>
                  </w:r>
                </w:p>
              </w:tc>
              <w:tc>
                <w:tcPr>
                  <w:tcW w:w="344" w:type="pct"/>
                  <w:tcBorders>
                    <w:top w:val="single" w:color="auto" w:sz="6" w:space="0"/>
                    <w:left w:val="single" w:color="auto" w:sz="6" w:space="0"/>
                  </w:tcBorders>
                  <w:vAlign w:val="center"/>
                </w:tcPr>
                <w:p w14:paraId="09CD0CC1">
                  <w:pPr>
                    <w:pStyle w:val="21"/>
                    <w:widowControl w:val="0"/>
                    <w:spacing w:before="0" w:beforeAutospacing="0" w:after="0" w:afterAutospacing="0"/>
                    <w:jc w:val="center"/>
                    <w:rPr>
                      <w:rFonts w:ascii="Times New Roman" w:hAnsi="Times New Roman"/>
                      <w:color w:val="000000"/>
                    </w:rPr>
                  </w:pPr>
                  <w:r>
                    <w:rPr>
                      <w:rFonts w:ascii="Times New Roman" w:hAnsi="Times New Roman"/>
                      <w:color w:val="000000"/>
                      <w:sz w:val="21"/>
                      <w:lang w:bidi="ar"/>
                    </w:rPr>
                    <w:t>是</w:t>
                  </w:r>
                </w:p>
              </w:tc>
            </w:tr>
          </w:tbl>
          <w:p w14:paraId="72CED317">
            <w:pPr>
              <w:widowControl/>
              <w:spacing w:line="360" w:lineRule="auto"/>
              <w:ind w:firstLine="480" w:firstLineChars="200"/>
              <w:rPr>
                <w:kern w:val="0"/>
                <w:sz w:val="24"/>
                <w:szCs w:val="24"/>
              </w:rPr>
            </w:pPr>
            <w:r>
              <w:rPr>
                <w:color w:val="000000"/>
                <w:kern w:val="0"/>
                <w:sz w:val="24"/>
                <w:szCs w:val="24"/>
              </w:rPr>
              <w:t>参照</w:t>
            </w:r>
            <w:r>
              <w:rPr>
                <w:rFonts w:hint="eastAsia"/>
                <w:color w:val="000000"/>
                <w:sz w:val="24"/>
                <w:lang w:bidi="ar"/>
              </w:rPr>
              <w:t>《排污单位自行监测技术指南</w:t>
            </w:r>
            <w:r>
              <w:rPr>
                <w:color w:val="000000"/>
                <w:sz w:val="24"/>
                <w:lang w:bidi="ar"/>
              </w:rPr>
              <w:t xml:space="preserve"> </w:t>
            </w:r>
            <w:r>
              <w:rPr>
                <w:rFonts w:hint="eastAsia"/>
                <w:color w:val="000000"/>
                <w:sz w:val="24"/>
                <w:lang w:bidi="ar"/>
              </w:rPr>
              <w:t>农副食品加工业》（</w:t>
            </w:r>
            <w:r>
              <w:rPr>
                <w:color w:val="000000"/>
                <w:sz w:val="24"/>
                <w:lang w:bidi="ar"/>
              </w:rPr>
              <w:t>HJ 986-2018</w:t>
            </w:r>
            <w:r>
              <w:rPr>
                <w:rFonts w:hint="eastAsia"/>
                <w:color w:val="000000"/>
                <w:sz w:val="24"/>
                <w:lang w:bidi="ar"/>
              </w:rPr>
              <w:t>）、</w:t>
            </w:r>
            <w:r>
              <w:rPr>
                <w:rFonts w:hint="eastAsia"/>
                <w:color w:val="000000"/>
                <w:kern w:val="0"/>
                <w:sz w:val="24"/>
                <w:szCs w:val="24"/>
              </w:rPr>
              <w:t>《</w:t>
            </w:r>
            <w:r>
              <w:rPr>
                <w:rFonts w:hint="eastAsia"/>
                <w:sz w:val="24"/>
                <w:szCs w:val="24"/>
              </w:rPr>
              <w:t>排污单位自行监测技术指南 食品制造》（HJ 1084—2020）</w:t>
            </w:r>
            <w:r>
              <w:rPr>
                <w:color w:val="000000"/>
                <w:kern w:val="0"/>
                <w:sz w:val="24"/>
                <w:szCs w:val="24"/>
              </w:rPr>
              <w:t>、《排污许可证申请与核发技术规范 锅炉》（HJ953-2018）对本项目的日常监测要求见下表</w:t>
            </w:r>
            <w:r>
              <w:rPr>
                <w:sz w:val="24"/>
              </w:rPr>
              <w:t>：</w:t>
            </w:r>
          </w:p>
          <w:p w14:paraId="1C7A9056">
            <w:pPr>
              <w:tabs>
                <w:tab w:val="left" w:pos="2196"/>
              </w:tabs>
              <w:spacing w:line="360" w:lineRule="auto"/>
              <w:jc w:val="center"/>
              <w:rPr>
                <w:b/>
                <w:color w:val="000000"/>
                <w:sz w:val="24"/>
                <w:szCs w:val="24"/>
              </w:rPr>
            </w:pPr>
            <w:r>
              <w:rPr>
                <w:b/>
                <w:color w:val="000000"/>
                <w:sz w:val="24"/>
                <w:szCs w:val="24"/>
              </w:rPr>
              <w:t>表4-10  自行监测信息表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00"/>
              <w:gridCol w:w="1899"/>
              <w:gridCol w:w="1744"/>
              <w:gridCol w:w="2208"/>
              <w:gridCol w:w="1172"/>
              <w:gridCol w:w="970"/>
            </w:tblGrid>
            <w:tr w14:paraId="355287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94" w:type="pct"/>
                  <w:vAlign w:val="center"/>
                </w:tcPr>
                <w:p w14:paraId="6101E3B5">
                  <w:pPr>
                    <w:pStyle w:val="50"/>
                    <w:adjustRightInd/>
                    <w:snapToGrid/>
                    <w:spacing w:beforeLines="0" w:line="240" w:lineRule="auto"/>
                    <w:rPr>
                      <w:rFonts w:ascii="Times New Roman" w:hAnsi="Times New Roman"/>
                      <w:b/>
                      <w:bCs/>
                      <w:color w:val="000000"/>
                      <w:szCs w:val="21"/>
                    </w:rPr>
                  </w:pPr>
                  <w:r>
                    <w:rPr>
                      <w:rFonts w:ascii="Times New Roman" w:hAnsi="Times New Roman"/>
                      <w:b/>
                      <w:bCs/>
                      <w:color w:val="000000"/>
                      <w:szCs w:val="21"/>
                    </w:rPr>
                    <w:t>序号</w:t>
                  </w:r>
                </w:p>
              </w:tc>
              <w:tc>
                <w:tcPr>
                  <w:tcW w:w="1118" w:type="pct"/>
                  <w:vAlign w:val="center"/>
                </w:tcPr>
                <w:p w14:paraId="3E311949">
                  <w:pPr>
                    <w:pStyle w:val="50"/>
                    <w:adjustRightInd/>
                    <w:snapToGrid/>
                    <w:spacing w:beforeLines="0" w:line="240" w:lineRule="auto"/>
                    <w:rPr>
                      <w:rFonts w:ascii="Times New Roman" w:hAnsi="Times New Roman"/>
                      <w:b/>
                      <w:bCs/>
                      <w:color w:val="000000"/>
                      <w:szCs w:val="21"/>
                    </w:rPr>
                  </w:pPr>
                  <w:r>
                    <w:rPr>
                      <w:rFonts w:ascii="Times New Roman" w:hAnsi="Times New Roman"/>
                      <w:b/>
                      <w:bCs/>
                      <w:color w:val="000000"/>
                      <w:szCs w:val="21"/>
                    </w:rPr>
                    <w:t>排放口</w:t>
                  </w:r>
                </w:p>
                <w:p w14:paraId="73544E39">
                  <w:pPr>
                    <w:pStyle w:val="50"/>
                    <w:adjustRightInd/>
                    <w:snapToGrid/>
                    <w:spacing w:beforeLines="0" w:line="240" w:lineRule="auto"/>
                    <w:rPr>
                      <w:rFonts w:ascii="Times New Roman" w:hAnsi="Times New Roman"/>
                      <w:b/>
                      <w:bCs/>
                      <w:color w:val="000000"/>
                      <w:szCs w:val="21"/>
                    </w:rPr>
                  </w:pPr>
                  <w:r>
                    <w:rPr>
                      <w:rFonts w:ascii="Times New Roman" w:hAnsi="Times New Roman"/>
                      <w:b/>
                      <w:bCs/>
                      <w:color w:val="000000"/>
                      <w:szCs w:val="21"/>
                    </w:rPr>
                    <w:t>(监测点位)编号</w:t>
                  </w:r>
                </w:p>
              </w:tc>
              <w:tc>
                <w:tcPr>
                  <w:tcW w:w="1027" w:type="pct"/>
                  <w:vAlign w:val="center"/>
                </w:tcPr>
                <w:p w14:paraId="61ADF4C4">
                  <w:pPr>
                    <w:pStyle w:val="50"/>
                    <w:adjustRightInd/>
                    <w:snapToGrid/>
                    <w:spacing w:beforeLines="0" w:line="240" w:lineRule="auto"/>
                    <w:rPr>
                      <w:rFonts w:ascii="Times New Roman" w:hAnsi="Times New Roman"/>
                      <w:b/>
                      <w:bCs/>
                      <w:color w:val="000000"/>
                      <w:szCs w:val="21"/>
                    </w:rPr>
                  </w:pPr>
                  <w:r>
                    <w:rPr>
                      <w:rFonts w:ascii="Times New Roman" w:hAnsi="Times New Roman"/>
                      <w:b/>
                      <w:bCs/>
                      <w:color w:val="000000"/>
                      <w:szCs w:val="21"/>
                    </w:rPr>
                    <w:t>排放口</w:t>
                  </w:r>
                </w:p>
                <w:p w14:paraId="2F9EEC7C">
                  <w:pPr>
                    <w:pStyle w:val="50"/>
                    <w:adjustRightInd/>
                    <w:snapToGrid/>
                    <w:spacing w:beforeLines="0" w:line="240" w:lineRule="auto"/>
                    <w:rPr>
                      <w:rFonts w:ascii="Times New Roman" w:hAnsi="Times New Roman"/>
                      <w:b/>
                      <w:bCs/>
                      <w:color w:val="000000"/>
                      <w:szCs w:val="21"/>
                    </w:rPr>
                  </w:pPr>
                  <w:r>
                    <w:rPr>
                      <w:rFonts w:ascii="Times New Roman" w:hAnsi="Times New Roman"/>
                      <w:b/>
                      <w:bCs/>
                      <w:color w:val="000000"/>
                      <w:szCs w:val="21"/>
                    </w:rPr>
                    <w:t>(监测点位)名称</w:t>
                  </w:r>
                </w:p>
              </w:tc>
              <w:tc>
                <w:tcPr>
                  <w:tcW w:w="1300" w:type="pct"/>
                  <w:vAlign w:val="center"/>
                </w:tcPr>
                <w:p w14:paraId="450E38DB">
                  <w:pPr>
                    <w:pStyle w:val="50"/>
                    <w:adjustRightInd/>
                    <w:snapToGrid/>
                    <w:spacing w:beforeLines="0" w:line="240" w:lineRule="auto"/>
                    <w:rPr>
                      <w:rFonts w:ascii="Times New Roman" w:hAnsi="Times New Roman"/>
                      <w:b/>
                      <w:bCs/>
                      <w:color w:val="000000"/>
                      <w:szCs w:val="21"/>
                    </w:rPr>
                  </w:pPr>
                  <w:r>
                    <w:rPr>
                      <w:rFonts w:ascii="Times New Roman" w:hAnsi="Times New Roman"/>
                      <w:b/>
                      <w:bCs/>
                      <w:color w:val="000000"/>
                      <w:szCs w:val="21"/>
                    </w:rPr>
                    <w:t>污染物名称</w:t>
                  </w:r>
                </w:p>
                <w:p w14:paraId="7781611F">
                  <w:pPr>
                    <w:pStyle w:val="50"/>
                    <w:adjustRightInd/>
                    <w:snapToGrid/>
                    <w:spacing w:beforeLines="0" w:line="240" w:lineRule="auto"/>
                    <w:rPr>
                      <w:rFonts w:ascii="Times New Roman" w:hAnsi="Times New Roman"/>
                      <w:b/>
                      <w:bCs/>
                      <w:color w:val="000000"/>
                      <w:szCs w:val="21"/>
                    </w:rPr>
                  </w:pPr>
                  <w:r>
                    <w:rPr>
                      <w:rFonts w:ascii="Times New Roman" w:hAnsi="Times New Roman"/>
                      <w:b/>
                      <w:bCs/>
                      <w:color w:val="000000"/>
                      <w:szCs w:val="21"/>
                    </w:rPr>
                    <w:t>（监测因子）</w:t>
                  </w:r>
                </w:p>
              </w:tc>
              <w:tc>
                <w:tcPr>
                  <w:tcW w:w="690" w:type="pct"/>
                  <w:vAlign w:val="center"/>
                </w:tcPr>
                <w:p w14:paraId="50810321">
                  <w:pPr>
                    <w:pStyle w:val="50"/>
                    <w:adjustRightInd/>
                    <w:snapToGrid/>
                    <w:spacing w:beforeLines="0" w:line="240" w:lineRule="auto"/>
                    <w:rPr>
                      <w:rFonts w:ascii="Times New Roman" w:hAnsi="Times New Roman"/>
                      <w:b/>
                      <w:bCs/>
                      <w:color w:val="000000"/>
                      <w:szCs w:val="21"/>
                    </w:rPr>
                  </w:pPr>
                  <w:r>
                    <w:rPr>
                      <w:rFonts w:ascii="Times New Roman" w:hAnsi="Times New Roman"/>
                      <w:b/>
                      <w:bCs/>
                      <w:color w:val="000000"/>
                      <w:szCs w:val="21"/>
                    </w:rPr>
                    <w:t>监测频次</w:t>
                  </w:r>
                </w:p>
              </w:tc>
              <w:tc>
                <w:tcPr>
                  <w:tcW w:w="571" w:type="pct"/>
                  <w:vAlign w:val="center"/>
                </w:tcPr>
                <w:p w14:paraId="0DF12644">
                  <w:pPr>
                    <w:pStyle w:val="50"/>
                    <w:adjustRightInd/>
                    <w:snapToGrid/>
                    <w:spacing w:beforeLines="0" w:line="240" w:lineRule="auto"/>
                    <w:rPr>
                      <w:rFonts w:ascii="Times New Roman" w:hAnsi="Times New Roman"/>
                      <w:b/>
                      <w:bCs/>
                      <w:color w:val="000000"/>
                      <w:szCs w:val="21"/>
                    </w:rPr>
                  </w:pPr>
                  <w:r>
                    <w:rPr>
                      <w:rFonts w:ascii="Times New Roman" w:hAnsi="Times New Roman"/>
                      <w:b/>
                      <w:bCs/>
                      <w:color w:val="000000"/>
                      <w:szCs w:val="21"/>
                    </w:rPr>
                    <w:t>是否自动监测</w:t>
                  </w:r>
                </w:p>
              </w:tc>
            </w:tr>
            <w:tr w14:paraId="7060ED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94" w:type="pct"/>
                  <w:vMerge w:val="restart"/>
                  <w:vAlign w:val="center"/>
                </w:tcPr>
                <w:p w14:paraId="1236606E">
                  <w:pPr>
                    <w:pStyle w:val="50"/>
                    <w:adjustRightInd/>
                    <w:snapToGrid/>
                    <w:spacing w:beforeLines="0" w:line="240" w:lineRule="auto"/>
                    <w:rPr>
                      <w:rFonts w:ascii="Times New Roman" w:hAnsi="Times New Roman"/>
                      <w:color w:val="000000"/>
                      <w:szCs w:val="21"/>
                    </w:rPr>
                  </w:pPr>
                  <w:r>
                    <w:rPr>
                      <w:rFonts w:ascii="Times New Roman" w:hAnsi="Times New Roman"/>
                      <w:color w:val="000000"/>
                      <w:szCs w:val="21"/>
                    </w:rPr>
                    <w:t>1</w:t>
                  </w:r>
                </w:p>
              </w:tc>
              <w:tc>
                <w:tcPr>
                  <w:tcW w:w="1118" w:type="pct"/>
                  <w:vMerge w:val="restart"/>
                  <w:vAlign w:val="center"/>
                </w:tcPr>
                <w:p w14:paraId="3F45FF87">
                  <w:pPr>
                    <w:pStyle w:val="50"/>
                    <w:adjustRightInd/>
                    <w:snapToGrid/>
                    <w:spacing w:beforeLines="0" w:line="240" w:lineRule="auto"/>
                    <w:rPr>
                      <w:rFonts w:ascii="Times New Roman" w:hAnsi="Times New Roman"/>
                      <w:color w:val="000000"/>
                      <w:szCs w:val="21"/>
                    </w:rPr>
                  </w:pPr>
                  <w:r>
                    <w:rPr>
                      <w:rFonts w:ascii="Times New Roman" w:hAnsi="Times New Roman"/>
                      <w:color w:val="000000"/>
                      <w:szCs w:val="21"/>
                    </w:rPr>
                    <w:t>DA001</w:t>
                  </w:r>
                </w:p>
              </w:tc>
              <w:tc>
                <w:tcPr>
                  <w:tcW w:w="1027" w:type="pct"/>
                  <w:vMerge w:val="restart"/>
                  <w:vAlign w:val="center"/>
                </w:tcPr>
                <w:p w14:paraId="17DEC93A">
                  <w:pPr>
                    <w:pStyle w:val="50"/>
                    <w:spacing w:beforeLines="0"/>
                    <w:rPr>
                      <w:rFonts w:ascii="Times New Roman" w:hAnsi="Times New Roman"/>
                      <w:color w:val="000000"/>
                      <w:szCs w:val="21"/>
                    </w:rPr>
                  </w:pPr>
                  <w:r>
                    <w:rPr>
                      <w:rFonts w:ascii="Times New Roman" w:hAnsi="Times New Roman"/>
                      <w:color w:val="000000"/>
                      <w:szCs w:val="21"/>
                    </w:rPr>
                    <w:t>生物质气化锅炉废气排放口</w:t>
                  </w:r>
                </w:p>
              </w:tc>
              <w:tc>
                <w:tcPr>
                  <w:tcW w:w="1300" w:type="pct"/>
                  <w:vAlign w:val="center"/>
                </w:tcPr>
                <w:p w14:paraId="3228CAA2">
                  <w:pPr>
                    <w:pStyle w:val="50"/>
                    <w:spacing w:beforeLines="0"/>
                    <w:rPr>
                      <w:rFonts w:ascii="Times New Roman" w:hAnsi="Times New Roman"/>
                      <w:color w:val="000000"/>
                      <w:szCs w:val="21"/>
                    </w:rPr>
                  </w:pPr>
                  <w:r>
                    <w:rPr>
                      <w:rFonts w:ascii="Times New Roman" w:hAnsi="Times New Roman"/>
                      <w:color w:val="000000"/>
                      <w:szCs w:val="21"/>
                    </w:rPr>
                    <w:t>氮氧化物</w:t>
                  </w:r>
                </w:p>
              </w:tc>
              <w:tc>
                <w:tcPr>
                  <w:tcW w:w="690" w:type="pct"/>
                  <w:vAlign w:val="center"/>
                </w:tcPr>
                <w:p w14:paraId="741FC96D">
                  <w:pPr>
                    <w:pStyle w:val="50"/>
                    <w:spacing w:beforeLines="0"/>
                    <w:rPr>
                      <w:rFonts w:ascii="Times New Roman" w:hAnsi="Times New Roman"/>
                      <w:color w:val="000000"/>
                      <w:szCs w:val="21"/>
                    </w:rPr>
                  </w:pPr>
                  <w:r>
                    <w:rPr>
                      <w:rFonts w:ascii="Times New Roman" w:hAnsi="Times New Roman"/>
                      <w:color w:val="000000"/>
                      <w:szCs w:val="21"/>
                    </w:rPr>
                    <w:t>1次/月</w:t>
                  </w:r>
                </w:p>
              </w:tc>
              <w:tc>
                <w:tcPr>
                  <w:tcW w:w="571" w:type="pct"/>
                  <w:vAlign w:val="center"/>
                </w:tcPr>
                <w:p w14:paraId="79F6ED71">
                  <w:pPr>
                    <w:pStyle w:val="50"/>
                    <w:adjustRightInd/>
                    <w:snapToGrid/>
                    <w:spacing w:beforeLines="0" w:line="240" w:lineRule="auto"/>
                    <w:rPr>
                      <w:rFonts w:ascii="Times New Roman" w:hAnsi="Times New Roman"/>
                      <w:color w:val="000000"/>
                      <w:szCs w:val="21"/>
                    </w:rPr>
                  </w:pPr>
                  <w:r>
                    <w:rPr>
                      <w:rFonts w:ascii="Times New Roman" w:hAnsi="Times New Roman"/>
                      <w:color w:val="000000"/>
                      <w:szCs w:val="21"/>
                    </w:rPr>
                    <w:t>否</w:t>
                  </w:r>
                </w:p>
              </w:tc>
            </w:tr>
            <w:tr w14:paraId="05BF41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94" w:type="pct"/>
                  <w:vMerge w:val="continue"/>
                  <w:vAlign w:val="center"/>
                </w:tcPr>
                <w:p w14:paraId="130B5975">
                  <w:pPr>
                    <w:pStyle w:val="50"/>
                    <w:adjustRightInd/>
                    <w:snapToGrid/>
                    <w:spacing w:beforeLines="0" w:line="240" w:lineRule="auto"/>
                    <w:rPr>
                      <w:rFonts w:ascii="Times New Roman" w:hAnsi="Times New Roman"/>
                      <w:color w:val="000000"/>
                      <w:szCs w:val="21"/>
                    </w:rPr>
                  </w:pPr>
                </w:p>
              </w:tc>
              <w:tc>
                <w:tcPr>
                  <w:tcW w:w="1118" w:type="pct"/>
                  <w:vMerge w:val="continue"/>
                  <w:vAlign w:val="center"/>
                </w:tcPr>
                <w:p w14:paraId="076C4599">
                  <w:pPr>
                    <w:pStyle w:val="50"/>
                    <w:adjustRightInd/>
                    <w:snapToGrid/>
                    <w:spacing w:beforeLines="0" w:line="240" w:lineRule="auto"/>
                    <w:rPr>
                      <w:rFonts w:ascii="Times New Roman" w:hAnsi="Times New Roman"/>
                      <w:color w:val="000000"/>
                      <w:szCs w:val="21"/>
                    </w:rPr>
                  </w:pPr>
                </w:p>
              </w:tc>
              <w:tc>
                <w:tcPr>
                  <w:tcW w:w="1027" w:type="pct"/>
                  <w:vMerge w:val="continue"/>
                  <w:vAlign w:val="center"/>
                </w:tcPr>
                <w:p w14:paraId="62B54366">
                  <w:pPr>
                    <w:pStyle w:val="50"/>
                    <w:spacing w:beforeLines="0"/>
                    <w:rPr>
                      <w:rFonts w:ascii="Times New Roman" w:hAnsi="Times New Roman"/>
                      <w:color w:val="000000"/>
                      <w:szCs w:val="21"/>
                    </w:rPr>
                  </w:pPr>
                </w:p>
              </w:tc>
              <w:tc>
                <w:tcPr>
                  <w:tcW w:w="1300" w:type="pct"/>
                  <w:vAlign w:val="center"/>
                </w:tcPr>
                <w:p w14:paraId="2E778E7F">
                  <w:pPr>
                    <w:pStyle w:val="50"/>
                    <w:spacing w:beforeLines="0"/>
                    <w:rPr>
                      <w:rFonts w:ascii="Times New Roman" w:hAnsi="Times New Roman"/>
                      <w:color w:val="000000"/>
                      <w:szCs w:val="21"/>
                    </w:rPr>
                  </w:pPr>
                  <w:r>
                    <w:rPr>
                      <w:rFonts w:ascii="Times New Roman" w:hAnsi="Times New Roman"/>
                      <w:color w:val="000000"/>
                      <w:szCs w:val="21"/>
                    </w:rPr>
                    <w:t>颗粒物、二氧化硫、林格曼黑度</w:t>
                  </w:r>
                </w:p>
              </w:tc>
              <w:tc>
                <w:tcPr>
                  <w:tcW w:w="690" w:type="pct"/>
                  <w:vAlign w:val="center"/>
                </w:tcPr>
                <w:p w14:paraId="286048BF">
                  <w:pPr>
                    <w:pStyle w:val="50"/>
                    <w:spacing w:beforeLines="0"/>
                    <w:rPr>
                      <w:rFonts w:ascii="Times New Roman" w:hAnsi="Times New Roman"/>
                      <w:color w:val="000000"/>
                      <w:szCs w:val="21"/>
                    </w:rPr>
                  </w:pPr>
                  <w:r>
                    <w:rPr>
                      <w:rFonts w:ascii="Times New Roman" w:hAnsi="Times New Roman"/>
                      <w:color w:val="000000"/>
                      <w:szCs w:val="21"/>
                    </w:rPr>
                    <w:t>1次/</w:t>
                  </w:r>
                  <w:r>
                    <w:rPr>
                      <w:rFonts w:hint="eastAsia" w:ascii="Times New Roman" w:hAnsi="Times New Roman"/>
                      <w:color w:val="000000"/>
                      <w:szCs w:val="21"/>
                    </w:rPr>
                    <w:t>半</w:t>
                  </w:r>
                  <w:r>
                    <w:rPr>
                      <w:rFonts w:ascii="Times New Roman" w:hAnsi="Times New Roman"/>
                      <w:color w:val="000000"/>
                      <w:szCs w:val="21"/>
                    </w:rPr>
                    <w:t>年</w:t>
                  </w:r>
                </w:p>
              </w:tc>
              <w:tc>
                <w:tcPr>
                  <w:tcW w:w="571" w:type="pct"/>
                  <w:vAlign w:val="center"/>
                </w:tcPr>
                <w:p w14:paraId="1CFD54B0">
                  <w:pPr>
                    <w:pStyle w:val="50"/>
                    <w:adjustRightInd/>
                    <w:snapToGrid/>
                    <w:spacing w:beforeLines="0" w:line="240" w:lineRule="auto"/>
                    <w:rPr>
                      <w:rFonts w:ascii="Times New Roman" w:hAnsi="Times New Roman"/>
                      <w:color w:val="000000"/>
                      <w:szCs w:val="21"/>
                    </w:rPr>
                  </w:pPr>
                  <w:r>
                    <w:rPr>
                      <w:rFonts w:ascii="Times New Roman" w:hAnsi="Times New Roman"/>
                      <w:color w:val="000000"/>
                      <w:szCs w:val="21"/>
                    </w:rPr>
                    <w:t>否</w:t>
                  </w:r>
                </w:p>
              </w:tc>
            </w:tr>
            <w:tr w14:paraId="682FDC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94" w:type="pct"/>
                  <w:vAlign w:val="center"/>
                </w:tcPr>
                <w:p w14:paraId="4209FC33">
                  <w:pPr>
                    <w:pStyle w:val="50"/>
                    <w:adjustRightInd/>
                    <w:snapToGrid/>
                    <w:spacing w:beforeLines="0" w:line="240" w:lineRule="auto"/>
                    <w:rPr>
                      <w:rFonts w:ascii="Times New Roman" w:hAnsi="Times New Roman"/>
                      <w:color w:val="000000"/>
                      <w:szCs w:val="21"/>
                    </w:rPr>
                  </w:pPr>
                  <w:r>
                    <w:rPr>
                      <w:rFonts w:ascii="Times New Roman" w:hAnsi="Times New Roman"/>
                      <w:color w:val="000000"/>
                      <w:szCs w:val="21"/>
                    </w:rPr>
                    <w:t>2</w:t>
                  </w:r>
                </w:p>
              </w:tc>
              <w:tc>
                <w:tcPr>
                  <w:tcW w:w="1118" w:type="pct"/>
                  <w:vAlign w:val="center"/>
                </w:tcPr>
                <w:p w14:paraId="76C48E87">
                  <w:pPr>
                    <w:pStyle w:val="50"/>
                    <w:spacing w:beforeLines="0"/>
                    <w:rPr>
                      <w:rFonts w:ascii="Times New Roman" w:hAnsi="Times New Roman"/>
                      <w:color w:val="000000"/>
                      <w:szCs w:val="21"/>
                    </w:rPr>
                  </w:pPr>
                  <w:r>
                    <w:rPr>
                      <w:rFonts w:ascii="Times New Roman" w:hAnsi="Times New Roman"/>
                      <w:color w:val="000000"/>
                      <w:szCs w:val="21"/>
                    </w:rPr>
                    <w:t>DA002</w:t>
                  </w:r>
                </w:p>
              </w:tc>
              <w:tc>
                <w:tcPr>
                  <w:tcW w:w="1027" w:type="pct"/>
                  <w:vAlign w:val="center"/>
                </w:tcPr>
                <w:p w14:paraId="4C6EB3D3">
                  <w:pPr>
                    <w:pStyle w:val="50"/>
                    <w:spacing w:beforeLines="0"/>
                    <w:rPr>
                      <w:rFonts w:ascii="Times New Roman" w:hAnsi="Times New Roman"/>
                      <w:color w:val="000000"/>
                      <w:szCs w:val="21"/>
                    </w:rPr>
                  </w:pPr>
                  <w:r>
                    <w:rPr>
                      <w:rFonts w:ascii="Times New Roman" w:hAnsi="Times New Roman"/>
                      <w:color w:val="000000"/>
                      <w:szCs w:val="21"/>
                    </w:rPr>
                    <w:t>油烟废气排放口</w:t>
                  </w:r>
                </w:p>
              </w:tc>
              <w:tc>
                <w:tcPr>
                  <w:tcW w:w="1300" w:type="pct"/>
                  <w:vAlign w:val="center"/>
                </w:tcPr>
                <w:p w14:paraId="7B3368AB">
                  <w:pPr>
                    <w:pStyle w:val="50"/>
                    <w:spacing w:beforeLines="0"/>
                    <w:rPr>
                      <w:rFonts w:ascii="Times New Roman" w:hAnsi="Times New Roman"/>
                      <w:color w:val="000000"/>
                      <w:szCs w:val="21"/>
                    </w:rPr>
                  </w:pPr>
                  <w:r>
                    <w:rPr>
                      <w:rFonts w:ascii="Times New Roman" w:hAnsi="Times New Roman"/>
                      <w:color w:val="000000"/>
                      <w:szCs w:val="21"/>
                    </w:rPr>
                    <w:t>油烟</w:t>
                  </w:r>
                </w:p>
              </w:tc>
              <w:tc>
                <w:tcPr>
                  <w:tcW w:w="1172" w:type="dxa"/>
                  <w:vAlign w:val="center"/>
                </w:tcPr>
                <w:p w14:paraId="68762591">
                  <w:pPr>
                    <w:pStyle w:val="21"/>
                    <w:widowControl w:val="0"/>
                    <w:spacing w:before="24" w:beforeLines="10" w:beforeAutospacing="0" w:after="0" w:afterAutospacing="0"/>
                    <w:jc w:val="center"/>
                    <w:rPr>
                      <w:rFonts w:ascii="Times New Roman" w:hAnsi="Times New Roman"/>
                      <w:color w:val="000000"/>
                      <w:sz w:val="21"/>
                      <w:szCs w:val="21"/>
                    </w:rPr>
                  </w:pPr>
                  <w:r>
                    <w:rPr>
                      <w:rFonts w:ascii="Times New Roman" w:hAnsi="Times New Roman"/>
                      <w:color w:val="000000"/>
                      <w:kern w:val="0"/>
                      <w:sz w:val="21"/>
                      <w:szCs w:val="21"/>
                      <w:lang w:bidi="ar"/>
                    </w:rPr>
                    <w:t>1次/半年</w:t>
                  </w:r>
                </w:p>
              </w:tc>
              <w:tc>
                <w:tcPr>
                  <w:tcW w:w="970" w:type="dxa"/>
                  <w:vAlign w:val="center"/>
                </w:tcPr>
                <w:p w14:paraId="1F22B485">
                  <w:pPr>
                    <w:pStyle w:val="21"/>
                    <w:widowControl w:val="0"/>
                    <w:spacing w:before="24" w:beforeLines="10" w:beforeAutospacing="0" w:after="0" w:afterAutospacing="0"/>
                    <w:jc w:val="center"/>
                    <w:rPr>
                      <w:rFonts w:ascii="Times New Roman" w:hAnsi="Times New Roman"/>
                      <w:color w:val="000000"/>
                      <w:sz w:val="21"/>
                      <w:szCs w:val="21"/>
                    </w:rPr>
                  </w:pPr>
                  <w:r>
                    <w:rPr>
                      <w:rFonts w:ascii="Times New Roman" w:hAnsi="Times New Roman"/>
                      <w:color w:val="000000"/>
                      <w:kern w:val="0"/>
                      <w:sz w:val="21"/>
                      <w:szCs w:val="21"/>
                      <w:lang w:bidi="ar"/>
                    </w:rPr>
                    <w:t>否</w:t>
                  </w:r>
                </w:p>
              </w:tc>
            </w:tr>
            <w:tr w14:paraId="3399E8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94" w:type="pct"/>
                  <w:vAlign w:val="center"/>
                </w:tcPr>
                <w:p w14:paraId="01FBA189">
                  <w:pPr>
                    <w:pStyle w:val="50"/>
                    <w:adjustRightInd/>
                    <w:snapToGrid/>
                    <w:spacing w:beforeLines="0" w:line="240" w:lineRule="auto"/>
                    <w:rPr>
                      <w:rFonts w:ascii="Times New Roman" w:hAnsi="Times New Roman"/>
                      <w:color w:val="000000"/>
                      <w:szCs w:val="21"/>
                    </w:rPr>
                  </w:pPr>
                  <w:r>
                    <w:rPr>
                      <w:rFonts w:ascii="Times New Roman" w:hAnsi="Times New Roman"/>
                      <w:color w:val="000000"/>
                      <w:szCs w:val="21"/>
                    </w:rPr>
                    <w:t>2</w:t>
                  </w:r>
                </w:p>
              </w:tc>
              <w:tc>
                <w:tcPr>
                  <w:tcW w:w="1118" w:type="pct"/>
                  <w:vAlign w:val="center"/>
                </w:tcPr>
                <w:p w14:paraId="235056F6">
                  <w:pPr>
                    <w:pStyle w:val="50"/>
                    <w:spacing w:beforeLines="0"/>
                    <w:rPr>
                      <w:rFonts w:ascii="Times New Roman" w:hAnsi="Times New Roman"/>
                      <w:color w:val="000000"/>
                      <w:szCs w:val="21"/>
                      <w:lang w:eastAsia="en-US"/>
                    </w:rPr>
                  </w:pPr>
                  <w:r>
                    <w:rPr>
                      <w:rFonts w:ascii="Times New Roman" w:hAnsi="Times New Roman"/>
                      <w:color w:val="000000"/>
                      <w:szCs w:val="21"/>
                      <w:lang w:eastAsia="en-US"/>
                    </w:rPr>
                    <w:t>/</w:t>
                  </w:r>
                </w:p>
              </w:tc>
              <w:tc>
                <w:tcPr>
                  <w:tcW w:w="1027" w:type="pct"/>
                  <w:vAlign w:val="center"/>
                </w:tcPr>
                <w:p w14:paraId="76270772">
                  <w:pPr>
                    <w:pStyle w:val="50"/>
                    <w:spacing w:beforeLines="0"/>
                    <w:rPr>
                      <w:rFonts w:ascii="Times New Roman" w:hAnsi="Times New Roman"/>
                      <w:color w:val="000000"/>
                      <w:szCs w:val="21"/>
                      <w:lang w:eastAsia="en-US"/>
                    </w:rPr>
                  </w:pPr>
                  <w:r>
                    <w:rPr>
                      <w:rFonts w:ascii="Times New Roman" w:hAnsi="Times New Roman"/>
                      <w:color w:val="000000"/>
                      <w:szCs w:val="21"/>
                      <w:lang w:eastAsia="en-US"/>
                    </w:rPr>
                    <w:t>厂界</w:t>
                  </w:r>
                </w:p>
              </w:tc>
              <w:tc>
                <w:tcPr>
                  <w:tcW w:w="1300" w:type="pct"/>
                  <w:vAlign w:val="center"/>
                </w:tcPr>
                <w:p w14:paraId="1ED6A358">
                  <w:pPr>
                    <w:pStyle w:val="50"/>
                    <w:spacing w:beforeLines="0"/>
                    <w:rPr>
                      <w:rFonts w:ascii="Times New Roman" w:hAnsi="Times New Roman"/>
                      <w:color w:val="000000"/>
                      <w:szCs w:val="21"/>
                    </w:rPr>
                  </w:pPr>
                  <w:r>
                    <w:rPr>
                      <w:rFonts w:ascii="Times New Roman" w:hAnsi="Times New Roman"/>
                      <w:color w:val="000000"/>
                      <w:szCs w:val="21"/>
                    </w:rPr>
                    <w:t>臭气浓度、颗粒物、</w:t>
                  </w:r>
                  <w:r>
                    <w:rPr>
                      <w:rFonts w:ascii="Times New Roman" w:hAnsi="Times New Roman"/>
                      <w:color w:val="000000"/>
                      <w:kern w:val="0"/>
                      <w:szCs w:val="21"/>
                    </w:rPr>
                    <w:t>NOx</w:t>
                  </w:r>
                  <w:bookmarkStart w:id="32" w:name="OLE_LINK39"/>
                  <w:r>
                    <w:rPr>
                      <w:rFonts w:ascii="Times New Roman" w:hAnsi="Times New Roman"/>
                      <w:color w:val="000000"/>
                      <w:kern w:val="0"/>
                      <w:szCs w:val="21"/>
                    </w:rPr>
                    <w:t>、</w:t>
                  </w:r>
                  <w:bookmarkEnd w:id="32"/>
                  <w:r>
                    <w:rPr>
                      <w:rFonts w:ascii="Times New Roman" w:hAnsi="Times New Roman"/>
                      <w:color w:val="000000"/>
                      <w:kern w:val="0"/>
                      <w:szCs w:val="21"/>
                    </w:rPr>
                    <w:t>SO</w:t>
                  </w:r>
                  <w:r>
                    <w:rPr>
                      <w:rFonts w:ascii="Times New Roman" w:hAnsi="Times New Roman"/>
                      <w:color w:val="000000"/>
                      <w:kern w:val="0"/>
                      <w:szCs w:val="21"/>
                      <w:vertAlign w:val="subscript"/>
                    </w:rPr>
                    <w:t>2</w:t>
                  </w:r>
                  <w:r>
                    <w:rPr>
                      <w:rFonts w:ascii="Times New Roman" w:hAnsi="Times New Roman"/>
                      <w:color w:val="000000"/>
                      <w:szCs w:val="21"/>
                    </w:rPr>
                    <w:t xml:space="preserve"> </w:t>
                  </w:r>
                </w:p>
              </w:tc>
              <w:tc>
                <w:tcPr>
                  <w:tcW w:w="690" w:type="pct"/>
                  <w:vAlign w:val="center"/>
                </w:tcPr>
                <w:p w14:paraId="68FE70C0">
                  <w:pPr>
                    <w:pStyle w:val="50"/>
                    <w:spacing w:beforeLines="0"/>
                    <w:rPr>
                      <w:rFonts w:ascii="Times New Roman" w:hAnsi="Times New Roman"/>
                      <w:color w:val="000000"/>
                      <w:szCs w:val="21"/>
                    </w:rPr>
                  </w:pPr>
                  <w:r>
                    <w:rPr>
                      <w:rFonts w:ascii="Times New Roman" w:hAnsi="Times New Roman"/>
                      <w:color w:val="000000"/>
                      <w:szCs w:val="21"/>
                    </w:rPr>
                    <w:t>1次/半年</w:t>
                  </w:r>
                </w:p>
              </w:tc>
              <w:tc>
                <w:tcPr>
                  <w:tcW w:w="571" w:type="pct"/>
                  <w:vAlign w:val="center"/>
                </w:tcPr>
                <w:p w14:paraId="6078C405">
                  <w:pPr>
                    <w:pStyle w:val="50"/>
                    <w:spacing w:beforeLines="0"/>
                    <w:rPr>
                      <w:rFonts w:ascii="Times New Roman" w:hAnsi="Times New Roman"/>
                      <w:color w:val="000000"/>
                      <w:szCs w:val="21"/>
                    </w:rPr>
                  </w:pPr>
                  <w:r>
                    <w:rPr>
                      <w:rFonts w:ascii="Times New Roman" w:hAnsi="Times New Roman"/>
                      <w:color w:val="000000"/>
                      <w:szCs w:val="21"/>
                    </w:rPr>
                    <w:t>否</w:t>
                  </w:r>
                </w:p>
              </w:tc>
            </w:tr>
          </w:tbl>
          <w:p w14:paraId="064AE13C">
            <w:pPr>
              <w:spacing w:line="360" w:lineRule="auto"/>
              <w:ind w:firstLine="480" w:firstLineChars="200"/>
              <w:rPr>
                <w:color w:val="000000"/>
                <w:sz w:val="24"/>
              </w:rPr>
            </w:pPr>
            <w:r>
              <w:rPr>
                <w:color w:val="000000"/>
                <w:sz w:val="24"/>
              </w:rPr>
              <w:t>本项目营运期产生的大气污染物主要生物质气化锅炉废气、天然气燃烧废气、车间异味。生物质气化锅炉废气采取低氮燃烧技术，经布袋除尘器处理后通过1根2</w:t>
            </w:r>
            <w:r>
              <w:rPr>
                <w:rFonts w:hint="eastAsia"/>
                <w:color w:val="000000"/>
                <w:sz w:val="24"/>
              </w:rPr>
              <w:t>1</w:t>
            </w:r>
            <w:r>
              <w:rPr>
                <w:color w:val="000000"/>
                <w:sz w:val="24"/>
              </w:rPr>
              <w:t>m高排气筒排放，使得外排废气满足《锅炉大气污染物排放标准》（GB13271-2014）中表3燃气锅炉大气污染物特别排放限值；天然气燃烧废气满足《大气</w:t>
            </w:r>
            <w:r>
              <w:rPr>
                <w:rFonts w:hint="eastAsia"/>
                <w:color w:val="000000"/>
                <w:sz w:val="24"/>
                <w:lang w:eastAsia="zh-CN"/>
              </w:rPr>
              <w:t>污染物</w:t>
            </w:r>
            <w:r>
              <w:rPr>
                <w:color w:val="000000"/>
                <w:sz w:val="24"/>
              </w:rPr>
              <w:t>综合排放标准》（GB 16297-1996）表2中无组织排放浓度限值要求；车间内采用机械通风，通过安装排风扇或者新风系统降低车间内异味，</w:t>
            </w:r>
            <w:r>
              <w:rPr>
                <w:sz w:val="24"/>
              </w:rPr>
              <w:t>车间异味满足《恶臭污染物排放标准》（GB14554-</w:t>
            </w:r>
            <w:bookmarkStart w:id="40" w:name="_GoBack"/>
            <w:bookmarkEnd w:id="40"/>
            <w:r>
              <w:rPr>
                <w:sz w:val="24"/>
              </w:rPr>
              <w:t>93）中排放标准要求；熬制</w:t>
            </w:r>
            <w:r>
              <w:rPr>
                <w:color w:val="000000"/>
                <w:sz w:val="24"/>
                <w:lang w:bidi="ar"/>
              </w:rPr>
              <w:t>油烟</w:t>
            </w:r>
            <w:r>
              <w:rPr>
                <w:sz w:val="24"/>
                <w:lang w:bidi="ar"/>
              </w:rPr>
              <w:t>经油烟净化器处理后高于屋顶高空排放，外排污染物满足《饮食业油烟排放标准（试行）》（GB18483-2001）要求</w:t>
            </w:r>
            <w:r>
              <w:rPr>
                <w:color w:val="000000"/>
                <w:sz w:val="24"/>
              </w:rPr>
              <w:t>。</w:t>
            </w:r>
          </w:p>
          <w:p w14:paraId="3CBDCA3E">
            <w:pPr>
              <w:adjustRightInd w:val="0"/>
              <w:snapToGrid w:val="0"/>
              <w:spacing w:line="360" w:lineRule="auto"/>
              <w:rPr>
                <w:bCs/>
                <w:color w:val="000000"/>
                <w:spacing w:val="-10"/>
                <w:sz w:val="24"/>
                <w:szCs w:val="24"/>
              </w:rPr>
            </w:pPr>
            <w:r>
              <w:rPr>
                <w:b/>
                <w:color w:val="000000"/>
                <w:sz w:val="24"/>
                <w:szCs w:val="24"/>
              </w:rPr>
              <w:t>2 废水</w:t>
            </w:r>
          </w:p>
          <w:p w14:paraId="7D80490B">
            <w:pPr>
              <w:tabs>
                <w:tab w:val="left" w:pos="8137"/>
              </w:tabs>
              <w:adjustRightInd w:val="0"/>
              <w:snapToGrid w:val="0"/>
              <w:spacing w:line="360" w:lineRule="auto"/>
              <w:ind w:firstLine="482" w:firstLineChars="200"/>
              <w:rPr>
                <w:b/>
                <w:sz w:val="24"/>
                <w:szCs w:val="24"/>
              </w:rPr>
            </w:pPr>
            <w:r>
              <w:rPr>
                <w:b/>
                <w:sz w:val="24"/>
                <w:szCs w:val="24"/>
              </w:rPr>
              <w:t>W1生活污水：</w:t>
            </w:r>
            <w:r>
              <w:rPr>
                <w:bCs/>
                <w:sz w:val="24"/>
                <w:szCs w:val="24"/>
              </w:rPr>
              <w:t>项目职工定员</w:t>
            </w:r>
            <w:r>
              <w:rPr>
                <w:rFonts w:hint="eastAsia"/>
                <w:bCs/>
                <w:sz w:val="24"/>
                <w:szCs w:val="24"/>
              </w:rPr>
              <w:t>8</w:t>
            </w:r>
            <w:r>
              <w:rPr>
                <w:bCs/>
                <w:sz w:val="24"/>
                <w:szCs w:val="24"/>
              </w:rPr>
              <w:t>0人，年工作时间为300天。参照《湖南省用水定额》（DB43T388-2020），厂区内平均每人每天的用水量按100L计，生活用水为</w:t>
            </w:r>
            <w:r>
              <w:rPr>
                <w:rFonts w:hint="eastAsia"/>
                <w:bCs/>
                <w:sz w:val="24"/>
                <w:szCs w:val="24"/>
              </w:rPr>
              <w:t>8</w:t>
            </w:r>
            <w:r>
              <w:rPr>
                <w:bCs/>
                <w:sz w:val="24"/>
                <w:szCs w:val="24"/>
              </w:rPr>
              <w:t>m</w:t>
            </w:r>
            <w:r>
              <w:rPr>
                <w:bCs/>
                <w:sz w:val="24"/>
                <w:szCs w:val="24"/>
                <w:vertAlign w:val="superscript"/>
              </w:rPr>
              <w:t>3</w:t>
            </w:r>
            <w:r>
              <w:rPr>
                <w:bCs/>
                <w:sz w:val="24"/>
                <w:szCs w:val="24"/>
              </w:rPr>
              <w:t>/d（</w:t>
            </w:r>
            <w:r>
              <w:rPr>
                <w:rFonts w:hint="eastAsia"/>
                <w:bCs/>
                <w:sz w:val="24"/>
                <w:szCs w:val="24"/>
              </w:rPr>
              <w:t>24</w:t>
            </w:r>
            <w:r>
              <w:rPr>
                <w:bCs/>
                <w:sz w:val="24"/>
                <w:szCs w:val="24"/>
              </w:rPr>
              <w:t>00m</w:t>
            </w:r>
            <w:r>
              <w:rPr>
                <w:bCs/>
                <w:sz w:val="24"/>
                <w:szCs w:val="24"/>
                <w:vertAlign w:val="superscript"/>
              </w:rPr>
              <w:t>3</w:t>
            </w:r>
            <w:r>
              <w:rPr>
                <w:bCs/>
                <w:sz w:val="24"/>
                <w:szCs w:val="24"/>
              </w:rPr>
              <w:t>/a）。生活污水排放系数取0.8，则生活污水产生量为</w:t>
            </w:r>
            <w:r>
              <w:rPr>
                <w:rFonts w:hint="eastAsia"/>
                <w:bCs/>
                <w:sz w:val="24"/>
                <w:szCs w:val="24"/>
              </w:rPr>
              <w:t>6.4</w:t>
            </w:r>
            <w:r>
              <w:rPr>
                <w:bCs/>
                <w:sz w:val="24"/>
                <w:szCs w:val="24"/>
              </w:rPr>
              <w:t>m</w:t>
            </w:r>
            <w:r>
              <w:rPr>
                <w:bCs/>
                <w:sz w:val="24"/>
                <w:szCs w:val="24"/>
                <w:vertAlign w:val="superscript"/>
              </w:rPr>
              <w:t>3</w:t>
            </w:r>
            <w:r>
              <w:rPr>
                <w:bCs/>
                <w:sz w:val="24"/>
                <w:szCs w:val="24"/>
              </w:rPr>
              <w:t>/d（</w:t>
            </w:r>
            <w:r>
              <w:rPr>
                <w:rFonts w:hint="eastAsia"/>
                <w:bCs/>
                <w:sz w:val="24"/>
                <w:szCs w:val="24"/>
              </w:rPr>
              <w:t>1920</w:t>
            </w:r>
            <w:r>
              <w:rPr>
                <w:bCs/>
                <w:sz w:val="24"/>
                <w:szCs w:val="24"/>
              </w:rPr>
              <w:t>m</w:t>
            </w:r>
            <w:r>
              <w:rPr>
                <w:bCs/>
                <w:sz w:val="24"/>
                <w:szCs w:val="24"/>
                <w:vertAlign w:val="superscript"/>
              </w:rPr>
              <w:t>3</w:t>
            </w:r>
            <w:r>
              <w:rPr>
                <w:bCs/>
                <w:sz w:val="24"/>
                <w:szCs w:val="24"/>
              </w:rPr>
              <w:t>/a），生活污水经隔油池、化粪池预处理后排入市政污水管网，经安化县污水处理厂深度处理，排入资江。</w:t>
            </w:r>
          </w:p>
          <w:p w14:paraId="17784D4C">
            <w:pPr>
              <w:adjustRightInd w:val="0"/>
              <w:snapToGrid w:val="0"/>
              <w:spacing w:line="360" w:lineRule="auto"/>
              <w:ind w:firstLine="482" w:firstLineChars="200"/>
              <w:rPr>
                <w:b/>
                <w:sz w:val="24"/>
                <w:szCs w:val="24"/>
              </w:rPr>
            </w:pPr>
            <w:r>
              <w:rPr>
                <w:b/>
                <w:sz w:val="24"/>
              </w:rPr>
              <w:t>W2</w:t>
            </w:r>
            <w:r>
              <w:rPr>
                <w:b/>
                <w:sz w:val="24"/>
                <w:szCs w:val="24"/>
              </w:rPr>
              <w:t>生产废水</w:t>
            </w:r>
          </w:p>
          <w:p w14:paraId="0DE4DC6F">
            <w:pPr>
              <w:adjustRightInd w:val="0"/>
              <w:snapToGrid w:val="0"/>
              <w:spacing w:line="360" w:lineRule="auto"/>
              <w:ind w:firstLine="482" w:firstLineChars="200"/>
              <w:rPr>
                <w:b/>
                <w:sz w:val="24"/>
                <w:szCs w:val="24"/>
              </w:rPr>
            </w:pPr>
            <w:r>
              <w:rPr>
                <w:rFonts w:hint="eastAsia"/>
                <w:b/>
                <w:sz w:val="24"/>
                <w:szCs w:val="24"/>
              </w:rPr>
              <w:t>锅炉废水</w:t>
            </w:r>
          </w:p>
          <w:p w14:paraId="4A9D789E">
            <w:pPr>
              <w:snapToGrid w:val="0"/>
              <w:spacing w:line="360" w:lineRule="auto"/>
              <w:ind w:firstLine="470" w:firstLineChars="196"/>
              <w:rPr>
                <w:bCs/>
                <w:color w:val="000000"/>
                <w:sz w:val="24"/>
                <w:szCs w:val="24"/>
                <w:u w:val="single"/>
              </w:rPr>
            </w:pPr>
            <w:r>
              <w:rPr>
                <w:rFonts w:hint="eastAsia"/>
                <w:bCs/>
                <w:color w:val="000000"/>
                <w:sz w:val="24"/>
                <w:szCs w:val="24"/>
                <w:u w:val="single"/>
                <w:lang w:bidi="ar"/>
              </w:rPr>
              <w:t>根据项目水平衡分析，本项目锅炉废水</w:t>
            </w:r>
            <w:r>
              <w:rPr>
                <w:bCs/>
                <w:color w:val="000000"/>
                <w:sz w:val="24"/>
                <w:szCs w:val="24"/>
                <w:u w:val="single"/>
              </w:rPr>
              <w:t>（锅炉定排水+软水制备浓水）排放量为12.96m</w:t>
            </w:r>
            <w:r>
              <w:rPr>
                <w:bCs/>
                <w:color w:val="000000"/>
                <w:sz w:val="24"/>
                <w:szCs w:val="24"/>
                <w:u w:val="single"/>
                <w:vertAlign w:val="superscript"/>
              </w:rPr>
              <w:t>3</w:t>
            </w:r>
            <w:r>
              <w:rPr>
                <w:bCs/>
                <w:color w:val="000000"/>
                <w:sz w:val="24"/>
                <w:szCs w:val="24"/>
                <w:u w:val="single"/>
              </w:rPr>
              <w:t>/d，3888m</w:t>
            </w:r>
            <w:r>
              <w:rPr>
                <w:bCs/>
                <w:color w:val="000000"/>
                <w:sz w:val="24"/>
                <w:szCs w:val="24"/>
                <w:u w:val="single"/>
                <w:vertAlign w:val="superscript"/>
              </w:rPr>
              <w:t>3</w:t>
            </w:r>
            <w:r>
              <w:rPr>
                <w:bCs/>
                <w:color w:val="000000"/>
                <w:sz w:val="24"/>
                <w:szCs w:val="24"/>
                <w:u w:val="single"/>
              </w:rPr>
              <w:t>/a。水中富含Ca</w:t>
            </w:r>
            <w:r>
              <w:rPr>
                <w:bCs/>
                <w:color w:val="000000"/>
                <w:sz w:val="24"/>
                <w:szCs w:val="24"/>
                <w:u w:val="single"/>
                <w:vertAlign w:val="superscript"/>
              </w:rPr>
              <w:t>2+</w:t>
            </w:r>
            <w:r>
              <w:rPr>
                <w:bCs/>
                <w:color w:val="000000"/>
                <w:sz w:val="24"/>
                <w:szCs w:val="24"/>
                <w:u w:val="single"/>
              </w:rPr>
              <w:t>、Mg</w:t>
            </w:r>
            <w:r>
              <w:rPr>
                <w:bCs/>
                <w:color w:val="000000"/>
                <w:sz w:val="24"/>
                <w:szCs w:val="24"/>
                <w:u w:val="single"/>
                <w:vertAlign w:val="superscript"/>
              </w:rPr>
              <w:t>2+</w:t>
            </w:r>
            <w:r>
              <w:rPr>
                <w:bCs/>
                <w:color w:val="000000"/>
                <w:sz w:val="24"/>
                <w:szCs w:val="24"/>
                <w:u w:val="single"/>
              </w:rPr>
              <w:t>等盐分，</w:t>
            </w:r>
            <w:r>
              <w:rPr>
                <w:color w:val="000000"/>
                <w:sz w:val="24"/>
                <w:szCs w:val="24"/>
                <w:u w:val="single"/>
              </w:rPr>
              <w:t>其主要污染因子为pH、COD，其中</w:t>
            </w:r>
            <w:r>
              <w:rPr>
                <w:bCs/>
                <w:color w:val="000000"/>
                <w:sz w:val="24"/>
                <w:szCs w:val="24"/>
                <w:u w:val="single"/>
              </w:rPr>
              <w:t>锅炉废水一般为中性，且污染因子中SS浓度也较低，本评价主要对锅炉废水中COD进行定量核算。</w:t>
            </w:r>
            <w:r>
              <w:rPr>
                <w:rFonts w:hint="eastAsia" w:ascii="宋体" w:hAnsi="宋体" w:cs="宋体"/>
                <w:bCs/>
                <w:color w:val="000000"/>
                <w:sz w:val="24"/>
                <w:szCs w:val="24"/>
                <w:u w:val="single"/>
              </w:rPr>
              <w:t>根据《第二次全国污染源普查工业污染源产排污系数手册》中“</w:t>
            </w:r>
            <w:r>
              <w:rPr>
                <w:bCs/>
                <w:color w:val="000000"/>
                <w:sz w:val="24"/>
                <w:szCs w:val="24"/>
                <w:u w:val="single"/>
              </w:rPr>
              <w:t>4430工业锅炉工业锅炉（热力生产和供应行业）产排污系数表-工业废水量和化学</w:t>
            </w:r>
            <w:r>
              <w:rPr>
                <w:rFonts w:hint="eastAsia" w:ascii="宋体" w:hAnsi="宋体" w:cs="宋体"/>
                <w:bCs/>
                <w:color w:val="000000"/>
                <w:sz w:val="24"/>
                <w:szCs w:val="24"/>
                <w:u w:val="single"/>
              </w:rPr>
              <w:t>需氧量”可</w:t>
            </w:r>
            <w:r>
              <w:rPr>
                <w:bCs/>
                <w:color w:val="000000"/>
                <w:sz w:val="24"/>
                <w:szCs w:val="24"/>
                <w:u w:val="single"/>
              </w:rPr>
              <w:t>知，生物质燃料全部类型锅炉废水化学需氧量产污系数为30克/t -原料，本项目生物质燃料使用总量为3600t/a，COD量约0.108t/a，COD浓度为27.78mg/L&lt;500mg/L。</w:t>
            </w:r>
          </w:p>
          <w:p w14:paraId="0BD8B21E">
            <w:pPr>
              <w:snapToGrid w:val="0"/>
              <w:spacing w:line="360" w:lineRule="auto"/>
              <w:ind w:firstLine="470" w:firstLineChars="196"/>
              <w:rPr>
                <w:bCs/>
                <w:color w:val="000000"/>
                <w:sz w:val="24"/>
                <w:szCs w:val="24"/>
              </w:rPr>
            </w:pPr>
            <w:r>
              <w:rPr>
                <w:bCs/>
                <w:sz w:val="24"/>
                <w:szCs w:val="24"/>
              </w:rPr>
              <w:t>项目蒸汽使用方式为间接加热，加到卤制、熬制、杀菌、烘干等工序设备。按企业实际生产经验，蒸汽损耗约为20%，其余的均为蒸汽冷凝水，蒸汽产生量为14400t/a，则蒸汽损耗量为2880t/a（9.6t/d），则加到工序上变成冷凝水的蒸汽为11232m</w:t>
            </w:r>
            <w:r>
              <w:rPr>
                <w:bCs/>
                <w:sz w:val="24"/>
                <w:szCs w:val="24"/>
                <w:vertAlign w:val="superscript"/>
              </w:rPr>
              <w:t>3</w:t>
            </w:r>
            <w:r>
              <w:rPr>
                <w:bCs/>
                <w:sz w:val="24"/>
                <w:szCs w:val="24"/>
              </w:rPr>
              <w:t>/a</w:t>
            </w:r>
            <w:r>
              <w:rPr>
                <w:rFonts w:hint="eastAsia"/>
                <w:bCs/>
                <w:sz w:val="24"/>
                <w:szCs w:val="24"/>
              </w:rPr>
              <w:t>（</w:t>
            </w:r>
            <w:r>
              <w:rPr>
                <w:bCs/>
                <w:sz w:val="24"/>
                <w:szCs w:val="24"/>
              </w:rPr>
              <w:t>37.44m</w:t>
            </w:r>
            <w:r>
              <w:rPr>
                <w:bCs/>
                <w:sz w:val="24"/>
                <w:szCs w:val="24"/>
                <w:vertAlign w:val="superscript"/>
              </w:rPr>
              <w:t>3</w:t>
            </w:r>
            <w:r>
              <w:rPr>
                <w:bCs/>
                <w:sz w:val="24"/>
                <w:szCs w:val="24"/>
              </w:rPr>
              <w:t>/d</w:t>
            </w:r>
            <w:r>
              <w:rPr>
                <w:rFonts w:hint="eastAsia"/>
                <w:bCs/>
                <w:sz w:val="24"/>
                <w:szCs w:val="24"/>
              </w:rPr>
              <w:t>），回用于锅炉；</w:t>
            </w:r>
            <w:r>
              <w:rPr>
                <w:bCs/>
                <w:sz w:val="24"/>
                <w:szCs w:val="24"/>
              </w:rPr>
              <w:t>则锅炉需补充的新鲜水量为22.56 m</w:t>
            </w:r>
            <w:r>
              <w:rPr>
                <w:bCs/>
                <w:sz w:val="24"/>
                <w:szCs w:val="24"/>
                <w:vertAlign w:val="superscript"/>
              </w:rPr>
              <w:t>3</w:t>
            </w:r>
            <w:r>
              <w:rPr>
                <w:bCs/>
                <w:sz w:val="24"/>
                <w:szCs w:val="24"/>
              </w:rPr>
              <w:t>/d（6768 m</w:t>
            </w:r>
            <w:r>
              <w:rPr>
                <w:bCs/>
                <w:sz w:val="24"/>
                <w:szCs w:val="24"/>
                <w:vertAlign w:val="superscript"/>
              </w:rPr>
              <w:t>3</w:t>
            </w:r>
            <w:r>
              <w:rPr>
                <w:bCs/>
                <w:sz w:val="24"/>
                <w:szCs w:val="24"/>
              </w:rPr>
              <w:t>/a）</w:t>
            </w:r>
            <w:r>
              <w:rPr>
                <w:rFonts w:hint="eastAsia"/>
                <w:bCs/>
                <w:sz w:val="24"/>
                <w:szCs w:val="24"/>
              </w:rPr>
              <w:t>。</w:t>
            </w:r>
          </w:p>
          <w:p w14:paraId="757A3D93">
            <w:pPr>
              <w:snapToGrid w:val="0"/>
              <w:spacing w:line="360" w:lineRule="auto"/>
              <w:ind w:left="472"/>
              <w:rPr>
                <w:b/>
                <w:sz w:val="24"/>
              </w:rPr>
            </w:pPr>
            <w:r>
              <w:rPr>
                <w:b/>
                <w:sz w:val="24"/>
              </w:rPr>
              <w:t>肉类卤制品预处理废水</w:t>
            </w:r>
          </w:p>
          <w:p w14:paraId="7167B3C7">
            <w:pPr>
              <w:spacing w:line="360" w:lineRule="auto"/>
              <w:ind w:firstLine="470" w:firstLineChars="196"/>
              <w:rPr>
                <w:sz w:val="24"/>
              </w:rPr>
            </w:pPr>
            <w:r>
              <w:rPr>
                <w:bCs/>
                <w:sz w:val="24"/>
              </w:rPr>
              <w:t>根据建设单位提供的资料，类比同类型项目可知；肉类卤制品预处理用水包括解冻（含清洗）、焯水。解冻、焯水用水量分别为2m</w:t>
            </w:r>
            <w:r>
              <w:rPr>
                <w:bCs/>
                <w:sz w:val="24"/>
                <w:vertAlign w:val="superscript"/>
              </w:rPr>
              <w:t>3</w:t>
            </w:r>
            <w:r>
              <w:rPr>
                <w:bCs/>
                <w:sz w:val="24"/>
              </w:rPr>
              <w:t>/t原料、1.5m</w:t>
            </w:r>
            <w:r>
              <w:rPr>
                <w:bCs/>
                <w:sz w:val="24"/>
                <w:vertAlign w:val="superscript"/>
              </w:rPr>
              <w:t>3</w:t>
            </w:r>
            <w:r>
              <w:rPr>
                <w:bCs/>
                <w:sz w:val="24"/>
              </w:rPr>
              <w:t>/t原料。本项目肉类卤制品原料12000吨，</w:t>
            </w:r>
            <w:r>
              <w:rPr>
                <w:sz w:val="24"/>
              </w:rPr>
              <w:t>依托湖南华益科技发展有限公司（原名湖南华益食品有限公司）自建污水处理设施处理。原料为冷冻状态，</w:t>
            </w:r>
            <w:r>
              <w:rPr>
                <w:bCs/>
                <w:sz w:val="24"/>
              </w:rPr>
              <w:t>肉类卤制品</w:t>
            </w:r>
            <w:r>
              <w:rPr>
                <w:sz w:val="24"/>
              </w:rPr>
              <w:t>原料表面含冰衣或冰霜≤</w:t>
            </w:r>
            <w:r>
              <w:rPr>
                <w:rFonts w:hint="eastAsia"/>
                <w:sz w:val="24"/>
              </w:rPr>
              <w:t>5</w:t>
            </w:r>
            <w:r>
              <w:rPr>
                <w:sz w:val="24"/>
              </w:rPr>
              <w:t>%，则原料带入水分为</w:t>
            </w:r>
            <w:r>
              <w:rPr>
                <w:rFonts w:hint="eastAsia"/>
                <w:sz w:val="24"/>
              </w:rPr>
              <w:t>600</w:t>
            </w:r>
            <w:r>
              <w:rPr>
                <w:sz w:val="24"/>
              </w:rPr>
              <w:t>m</w:t>
            </w:r>
            <w:r>
              <w:rPr>
                <w:sz w:val="24"/>
                <w:vertAlign w:val="superscript"/>
              </w:rPr>
              <w:t>3</w:t>
            </w:r>
            <w:r>
              <w:rPr>
                <w:sz w:val="24"/>
              </w:rPr>
              <w:t>/a（</w:t>
            </w:r>
            <w:r>
              <w:rPr>
                <w:rFonts w:hint="eastAsia"/>
                <w:sz w:val="24"/>
              </w:rPr>
              <w:t>2</w:t>
            </w:r>
            <w:r>
              <w:rPr>
                <w:sz w:val="24"/>
              </w:rPr>
              <w:t>m</w:t>
            </w:r>
            <w:r>
              <w:rPr>
                <w:sz w:val="24"/>
                <w:vertAlign w:val="superscript"/>
              </w:rPr>
              <w:t>3</w:t>
            </w:r>
            <w:r>
              <w:rPr>
                <w:sz w:val="24"/>
              </w:rPr>
              <w:t>/d），则</w:t>
            </w:r>
            <w:r>
              <w:rPr>
                <w:bCs/>
                <w:sz w:val="24"/>
              </w:rPr>
              <w:t>肉类卤制品</w:t>
            </w:r>
            <w:r>
              <w:rPr>
                <w:sz w:val="24"/>
              </w:rPr>
              <w:t>预处理总排水量为</w:t>
            </w:r>
            <w:r>
              <w:rPr>
                <w:rFonts w:hint="eastAsia"/>
                <w:sz w:val="24"/>
              </w:rPr>
              <w:t>128</w:t>
            </w:r>
            <w:r>
              <w:rPr>
                <w:sz w:val="24"/>
              </w:rPr>
              <w:t>m</w:t>
            </w:r>
            <w:r>
              <w:rPr>
                <w:sz w:val="24"/>
                <w:vertAlign w:val="superscript"/>
              </w:rPr>
              <w:t>3</w:t>
            </w:r>
            <w:r>
              <w:rPr>
                <w:sz w:val="24"/>
              </w:rPr>
              <w:t>/d（38</w:t>
            </w:r>
            <w:r>
              <w:rPr>
                <w:rFonts w:hint="eastAsia"/>
                <w:sz w:val="24"/>
              </w:rPr>
              <w:t>40</w:t>
            </w:r>
            <w:r>
              <w:rPr>
                <w:sz w:val="24"/>
              </w:rPr>
              <w:t>0m</w:t>
            </w:r>
            <w:r>
              <w:rPr>
                <w:sz w:val="24"/>
                <w:vertAlign w:val="superscript"/>
              </w:rPr>
              <w:t>3</w:t>
            </w:r>
            <w:r>
              <w:rPr>
                <w:sz w:val="24"/>
              </w:rPr>
              <w:t>/a）。</w:t>
            </w:r>
          </w:p>
          <w:p w14:paraId="0B81F1BC">
            <w:pPr>
              <w:spacing w:line="360" w:lineRule="auto"/>
              <w:ind w:firstLine="470" w:firstLineChars="196"/>
              <w:rPr>
                <w:bCs/>
                <w:sz w:val="24"/>
                <w:szCs w:val="24"/>
              </w:rPr>
            </w:pPr>
            <w:r>
              <w:rPr>
                <w:sz w:val="24"/>
                <w:szCs w:val="24"/>
                <w:lang w:bidi="ar"/>
              </w:rPr>
              <w:t>根据生态环境部2021年6月11日发布《排放源统计调查产排污核算方法和系数手册》（公告2021年第24号）中《135 屠宰及肉类加工行业系数手册》-1353 肉制品及副产品加工行业系数表，本项目</w:t>
            </w:r>
            <w:r>
              <w:rPr>
                <w:bCs/>
                <w:sz w:val="24"/>
                <w:szCs w:val="24"/>
                <w:lang w:bidi="ar"/>
              </w:rPr>
              <w:t>肉类产品废水</w:t>
            </w:r>
            <w:r>
              <w:rPr>
                <w:sz w:val="24"/>
                <w:szCs w:val="24"/>
                <w:lang w:bidi="ar"/>
              </w:rPr>
              <w:t>中的主要污染物产生浓度为：</w:t>
            </w:r>
            <w:r>
              <w:rPr>
                <w:bCs/>
                <w:sz w:val="24"/>
                <w:szCs w:val="24"/>
                <w:lang w:bidi="ar"/>
              </w:rPr>
              <w:t>COD5</w:t>
            </w:r>
            <w:r>
              <w:rPr>
                <w:rFonts w:hint="eastAsia"/>
                <w:bCs/>
                <w:sz w:val="24"/>
                <w:szCs w:val="24"/>
                <w:lang w:bidi="ar"/>
              </w:rPr>
              <w:t>906.25</w:t>
            </w:r>
            <w:r>
              <w:rPr>
                <w:sz w:val="24"/>
                <w:szCs w:val="24"/>
                <w:lang w:bidi="ar"/>
              </w:rPr>
              <w:t>mg/L、氨氮75.</w:t>
            </w:r>
            <w:r>
              <w:rPr>
                <w:rFonts w:hint="eastAsia"/>
                <w:sz w:val="24"/>
                <w:szCs w:val="24"/>
                <w:lang w:bidi="ar"/>
              </w:rPr>
              <w:t>94</w:t>
            </w:r>
            <w:r>
              <w:rPr>
                <w:sz w:val="24"/>
                <w:szCs w:val="24"/>
                <w:lang w:bidi="ar"/>
              </w:rPr>
              <w:t>mg/L、总磷95.</w:t>
            </w:r>
            <w:r>
              <w:rPr>
                <w:rFonts w:hint="eastAsia"/>
                <w:sz w:val="24"/>
                <w:szCs w:val="24"/>
                <w:lang w:bidi="ar"/>
              </w:rPr>
              <w:t>94</w:t>
            </w:r>
            <w:r>
              <w:rPr>
                <w:sz w:val="24"/>
                <w:szCs w:val="24"/>
                <w:lang w:bidi="ar"/>
              </w:rPr>
              <w:t>mg/L、总氮</w:t>
            </w:r>
            <w:r>
              <w:rPr>
                <w:rFonts w:hint="eastAsia"/>
                <w:sz w:val="24"/>
                <w:szCs w:val="24"/>
                <w:lang w:bidi="ar"/>
              </w:rPr>
              <w:t>291.88</w:t>
            </w:r>
            <w:r>
              <w:rPr>
                <w:sz w:val="24"/>
                <w:szCs w:val="24"/>
                <w:lang w:bidi="ar"/>
              </w:rPr>
              <w:t>mg/L；结合同类型其他项目肉制品预处理源强分析，本项目</w:t>
            </w:r>
            <w:r>
              <w:rPr>
                <w:bCs/>
                <w:sz w:val="24"/>
                <w:szCs w:val="24"/>
                <w:lang w:bidi="ar"/>
              </w:rPr>
              <w:t>肉类产品废水</w:t>
            </w:r>
            <w:r>
              <w:rPr>
                <w:sz w:val="24"/>
                <w:szCs w:val="24"/>
                <w:lang w:bidi="ar"/>
              </w:rPr>
              <w:t>中的主要污染物产生浓度为：悬浮物800mg/L、</w:t>
            </w:r>
            <w:r>
              <w:rPr>
                <w:bCs/>
                <w:sz w:val="24"/>
                <w:szCs w:val="24"/>
                <w:lang w:bidi="ar"/>
              </w:rPr>
              <w:t>BOD</w:t>
            </w:r>
            <w:r>
              <w:rPr>
                <w:bCs/>
                <w:sz w:val="24"/>
                <w:szCs w:val="24"/>
                <w:vertAlign w:val="subscript"/>
                <w:lang w:bidi="ar"/>
              </w:rPr>
              <w:t>5</w:t>
            </w:r>
            <w:r>
              <w:rPr>
                <w:sz w:val="24"/>
                <w:szCs w:val="24"/>
                <w:lang w:bidi="ar"/>
              </w:rPr>
              <w:t>3000mg/L、动植物油500mg/L、氯化物1200 mg/L。</w:t>
            </w:r>
            <w:r>
              <w:rPr>
                <w:sz w:val="24"/>
              </w:rPr>
              <w:t>依托湖南华益科技发展有限公司（原名湖南华益食品有限公司）自建污水处理站处理。</w:t>
            </w:r>
          </w:p>
          <w:p w14:paraId="039A713A">
            <w:pPr>
              <w:snapToGrid w:val="0"/>
              <w:spacing w:line="360" w:lineRule="auto"/>
              <w:ind w:left="472"/>
              <w:rPr>
                <w:b/>
                <w:sz w:val="24"/>
              </w:rPr>
            </w:pPr>
            <w:r>
              <w:rPr>
                <w:b/>
                <w:bCs/>
                <w:sz w:val="24"/>
                <w:szCs w:val="24"/>
              </w:rPr>
              <w:t>非即食性生制调理品预处理废水</w:t>
            </w:r>
          </w:p>
          <w:p w14:paraId="55010070">
            <w:pPr>
              <w:spacing w:line="360" w:lineRule="auto"/>
              <w:ind w:firstLine="470" w:firstLineChars="196"/>
              <w:rPr>
                <w:sz w:val="24"/>
                <w:szCs w:val="24"/>
              </w:rPr>
            </w:pPr>
            <w:r>
              <w:rPr>
                <w:bCs/>
                <w:sz w:val="24"/>
              </w:rPr>
              <w:t>根据建设单位提供的资料，类比同类型项目可知；</w:t>
            </w:r>
            <w:r>
              <w:rPr>
                <w:sz w:val="24"/>
              </w:rPr>
              <w:t>非即食性生制食品</w:t>
            </w:r>
            <w:r>
              <w:rPr>
                <w:bCs/>
                <w:sz w:val="24"/>
              </w:rPr>
              <w:t>预处理用水主要为浸泡（浸泡包括进行解冻和清洗），浸泡用水量为2m</w:t>
            </w:r>
            <w:r>
              <w:rPr>
                <w:bCs/>
                <w:sz w:val="24"/>
                <w:vertAlign w:val="superscript"/>
              </w:rPr>
              <w:t>3</w:t>
            </w:r>
            <w:r>
              <w:rPr>
                <w:bCs/>
                <w:sz w:val="24"/>
              </w:rPr>
              <w:t>/t原料；本项目</w:t>
            </w:r>
            <w:r>
              <w:rPr>
                <w:sz w:val="24"/>
              </w:rPr>
              <w:t>非即食性生制食品</w:t>
            </w:r>
            <w:r>
              <w:rPr>
                <w:bCs/>
                <w:sz w:val="24"/>
              </w:rPr>
              <w:t>原料总计3500t/a（</w:t>
            </w:r>
            <w:r>
              <w:rPr>
                <w:sz w:val="24"/>
              </w:rPr>
              <w:t>生猪蹄块和剁椒鱼头，年产量分别为3000吨、500t</w:t>
            </w:r>
            <w:r>
              <w:rPr>
                <w:bCs/>
                <w:sz w:val="24"/>
              </w:rPr>
              <w:t>），则</w:t>
            </w:r>
            <w:r>
              <w:rPr>
                <w:sz w:val="24"/>
              </w:rPr>
              <w:t>非即食性生制食品</w:t>
            </w:r>
            <w:r>
              <w:rPr>
                <w:bCs/>
                <w:sz w:val="24"/>
              </w:rPr>
              <w:t>预处理废水量6300m</w:t>
            </w:r>
            <w:r>
              <w:rPr>
                <w:bCs/>
                <w:sz w:val="24"/>
                <w:vertAlign w:val="superscript"/>
              </w:rPr>
              <w:t>3</w:t>
            </w:r>
            <w:r>
              <w:rPr>
                <w:bCs/>
                <w:sz w:val="24"/>
              </w:rPr>
              <w:t>/a（21m</w:t>
            </w:r>
            <w:r>
              <w:rPr>
                <w:bCs/>
                <w:sz w:val="24"/>
                <w:vertAlign w:val="superscript"/>
              </w:rPr>
              <w:t>3</w:t>
            </w:r>
            <w:r>
              <w:rPr>
                <w:bCs/>
                <w:sz w:val="24"/>
              </w:rPr>
              <w:t>/d）。</w:t>
            </w:r>
            <w:r>
              <w:rPr>
                <w:sz w:val="24"/>
              </w:rPr>
              <w:t>原料表面含冰衣或冰霜≤</w:t>
            </w:r>
            <w:r>
              <w:rPr>
                <w:rFonts w:hint="eastAsia"/>
                <w:sz w:val="24"/>
              </w:rPr>
              <w:t>5</w:t>
            </w:r>
            <w:r>
              <w:rPr>
                <w:sz w:val="24"/>
              </w:rPr>
              <w:t>%，则原料带入水分为</w:t>
            </w:r>
            <w:r>
              <w:rPr>
                <w:rFonts w:hint="eastAsia"/>
                <w:sz w:val="24"/>
              </w:rPr>
              <w:t>175</w:t>
            </w:r>
            <w:r>
              <w:rPr>
                <w:sz w:val="24"/>
              </w:rPr>
              <w:t>m</w:t>
            </w:r>
            <w:r>
              <w:rPr>
                <w:sz w:val="24"/>
                <w:vertAlign w:val="superscript"/>
              </w:rPr>
              <w:t>3</w:t>
            </w:r>
            <w:r>
              <w:rPr>
                <w:sz w:val="24"/>
              </w:rPr>
              <w:t>/a（0.</w:t>
            </w:r>
            <w:r>
              <w:rPr>
                <w:rFonts w:hint="eastAsia"/>
                <w:sz w:val="24"/>
              </w:rPr>
              <w:t>58</w:t>
            </w:r>
            <w:r>
              <w:rPr>
                <w:sz w:val="24"/>
              </w:rPr>
              <w:t>m</w:t>
            </w:r>
            <w:r>
              <w:rPr>
                <w:sz w:val="24"/>
                <w:vertAlign w:val="superscript"/>
              </w:rPr>
              <w:t>3</w:t>
            </w:r>
            <w:r>
              <w:rPr>
                <w:sz w:val="24"/>
              </w:rPr>
              <w:t>/d），则非即食性生制食品预处理总排水量为21.</w:t>
            </w:r>
            <w:r>
              <w:rPr>
                <w:rFonts w:hint="eastAsia"/>
                <w:sz w:val="24"/>
              </w:rPr>
              <w:t>58</w:t>
            </w:r>
            <w:r>
              <w:rPr>
                <w:sz w:val="24"/>
              </w:rPr>
              <w:t>m</w:t>
            </w:r>
            <w:r>
              <w:rPr>
                <w:sz w:val="24"/>
                <w:vertAlign w:val="superscript"/>
              </w:rPr>
              <w:t>3</w:t>
            </w:r>
            <w:r>
              <w:rPr>
                <w:sz w:val="24"/>
              </w:rPr>
              <w:t>/d（</w:t>
            </w:r>
            <w:r>
              <w:rPr>
                <w:rFonts w:hint="eastAsia"/>
                <w:sz w:val="24"/>
              </w:rPr>
              <w:t>6475</w:t>
            </w:r>
            <w:r>
              <w:rPr>
                <w:sz w:val="24"/>
              </w:rPr>
              <w:t>m</w:t>
            </w:r>
            <w:r>
              <w:rPr>
                <w:sz w:val="24"/>
                <w:vertAlign w:val="superscript"/>
              </w:rPr>
              <w:t>3</w:t>
            </w:r>
            <w:r>
              <w:rPr>
                <w:sz w:val="24"/>
              </w:rPr>
              <w:t>/a）。依托湖南华益科技发展有限公司（原名湖南华益食品有限公司）自建污水处理站处理。</w:t>
            </w:r>
            <w:r>
              <w:rPr>
                <w:sz w:val="24"/>
                <w:szCs w:val="24"/>
                <w:lang w:bidi="ar"/>
              </w:rPr>
              <w:t>废水主要污染物为</w:t>
            </w:r>
            <w:r>
              <w:rPr>
                <w:bCs/>
                <w:sz w:val="24"/>
                <w:szCs w:val="24"/>
                <w:lang w:bidi="ar"/>
              </w:rPr>
              <w:t>pH、SS、BOD</w:t>
            </w:r>
            <w:r>
              <w:rPr>
                <w:bCs/>
                <w:sz w:val="24"/>
                <w:szCs w:val="24"/>
                <w:vertAlign w:val="subscript"/>
                <w:lang w:bidi="ar"/>
              </w:rPr>
              <w:t>5</w:t>
            </w:r>
            <w:r>
              <w:rPr>
                <w:bCs/>
                <w:sz w:val="24"/>
                <w:szCs w:val="24"/>
                <w:lang w:bidi="ar"/>
              </w:rPr>
              <w:t>、COD、NH</w:t>
            </w:r>
            <w:r>
              <w:rPr>
                <w:bCs/>
                <w:sz w:val="24"/>
                <w:szCs w:val="24"/>
                <w:vertAlign w:val="subscript"/>
                <w:lang w:bidi="ar"/>
              </w:rPr>
              <w:t>3</w:t>
            </w:r>
            <w:r>
              <w:rPr>
                <w:bCs/>
                <w:sz w:val="24"/>
                <w:szCs w:val="24"/>
                <w:lang w:bidi="ar"/>
              </w:rPr>
              <w:t>-N、TP、TN、动植物油等。</w:t>
            </w:r>
          </w:p>
          <w:p w14:paraId="6B3BB481">
            <w:pPr>
              <w:spacing w:line="360" w:lineRule="auto"/>
              <w:ind w:firstLine="470" w:firstLineChars="196"/>
              <w:rPr>
                <w:sz w:val="24"/>
                <w:szCs w:val="24"/>
                <w:lang w:bidi="ar"/>
              </w:rPr>
            </w:pPr>
            <w:r>
              <w:rPr>
                <w:sz w:val="24"/>
                <w:szCs w:val="24"/>
                <w:lang w:bidi="ar"/>
              </w:rPr>
              <w:t>经查《</w:t>
            </w:r>
            <w:r>
              <w:rPr>
                <w:bCs/>
                <w:sz w:val="24"/>
                <w:szCs w:val="24"/>
                <w:lang w:bidi="ar"/>
              </w:rPr>
              <w:t>排放源统计调查产排污核算方法和系数手册》-《136水产品加工行业系数手册》中没有类似产品的产污系数，</w:t>
            </w:r>
            <w:r>
              <w:rPr>
                <w:sz w:val="24"/>
                <w:szCs w:val="24"/>
                <w:lang w:bidi="ar"/>
              </w:rPr>
              <w:t>并结合同类型其他项目水产品预处理废水源强分析，本项目</w:t>
            </w:r>
            <w:r>
              <w:rPr>
                <w:bCs/>
                <w:sz w:val="24"/>
                <w:szCs w:val="24"/>
                <w:lang w:bidi="ar"/>
              </w:rPr>
              <w:t>非即食性生制食品预处理废水</w:t>
            </w:r>
            <w:r>
              <w:rPr>
                <w:sz w:val="24"/>
                <w:szCs w:val="24"/>
                <w:lang w:bidi="ar"/>
              </w:rPr>
              <w:t>中的污染物浓度为：</w:t>
            </w:r>
            <w:r>
              <w:rPr>
                <w:bCs/>
                <w:sz w:val="24"/>
                <w:szCs w:val="24"/>
                <w:lang w:bidi="ar"/>
              </w:rPr>
              <w:t>COD3000</w:t>
            </w:r>
            <w:r>
              <w:rPr>
                <w:sz w:val="24"/>
                <w:szCs w:val="24"/>
                <w:lang w:bidi="ar"/>
              </w:rPr>
              <w:t>mg/L、氨氮60mg/L、总磷30mg/L、总氮90mg/L、悬浮物500mg/L、</w:t>
            </w:r>
            <w:r>
              <w:rPr>
                <w:bCs/>
                <w:sz w:val="24"/>
                <w:szCs w:val="24"/>
                <w:lang w:bidi="ar"/>
              </w:rPr>
              <w:t>BOD</w:t>
            </w:r>
            <w:r>
              <w:rPr>
                <w:bCs/>
                <w:sz w:val="24"/>
                <w:szCs w:val="24"/>
                <w:vertAlign w:val="subscript"/>
                <w:lang w:bidi="ar"/>
              </w:rPr>
              <w:t>5</w:t>
            </w:r>
            <w:r>
              <w:rPr>
                <w:sz w:val="24"/>
                <w:szCs w:val="24"/>
                <w:lang w:bidi="ar"/>
              </w:rPr>
              <w:t>1800mg/L、动植物油300mg/L。</w:t>
            </w:r>
          </w:p>
          <w:p w14:paraId="1C395CD6">
            <w:pPr>
              <w:snapToGrid w:val="0"/>
              <w:spacing w:line="360" w:lineRule="auto"/>
              <w:ind w:left="472"/>
              <w:rPr>
                <w:b/>
                <w:sz w:val="24"/>
              </w:rPr>
            </w:pPr>
            <w:r>
              <w:rPr>
                <w:b/>
                <w:sz w:val="24"/>
              </w:rPr>
              <w:t>黄豆浸泡废水</w:t>
            </w:r>
          </w:p>
          <w:p w14:paraId="60B9B751">
            <w:pPr>
              <w:snapToGrid w:val="0"/>
              <w:spacing w:line="360" w:lineRule="auto"/>
              <w:ind w:firstLine="470" w:firstLineChars="196"/>
              <w:rPr>
                <w:bCs/>
                <w:sz w:val="24"/>
              </w:rPr>
            </w:pPr>
            <w:r>
              <w:rPr>
                <w:bCs/>
                <w:sz w:val="24"/>
              </w:rPr>
              <w:t>根据建设单位提供的资料，黄豆原料需要进行浸泡（包括进行清洗）。浸泡用水量为</w:t>
            </w:r>
            <w:r>
              <w:rPr>
                <w:rFonts w:hint="eastAsia"/>
                <w:bCs/>
                <w:sz w:val="24"/>
              </w:rPr>
              <w:t>1</w:t>
            </w:r>
            <w:r>
              <w:rPr>
                <w:bCs/>
                <w:sz w:val="24"/>
              </w:rPr>
              <w:t>m</w:t>
            </w:r>
            <w:r>
              <w:rPr>
                <w:bCs/>
                <w:sz w:val="24"/>
                <w:vertAlign w:val="superscript"/>
              </w:rPr>
              <w:t>3</w:t>
            </w:r>
            <w:r>
              <w:rPr>
                <w:bCs/>
                <w:sz w:val="24"/>
              </w:rPr>
              <w:t>/t 原料。黄豆原料用量为300t/a，则黄豆用水量为</w:t>
            </w:r>
            <w:r>
              <w:rPr>
                <w:rFonts w:hint="eastAsia"/>
                <w:bCs/>
                <w:sz w:val="24"/>
              </w:rPr>
              <w:t>3</w:t>
            </w:r>
            <w:r>
              <w:rPr>
                <w:bCs/>
                <w:sz w:val="24"/>
              </w:rPr>
              <w:t>00m</w:t>
            </w:r>
            <w:r>
              <w:rPr>
                <w:bCs/>
                <w:sz w:val="24"/>
                <w:vertAlign w:val="superscript"/>
              </w:rPr>
              <w:t>3</w:t>
            </w:r>
            <w:r>
              <w:rPr>
                <w:bCs/>
                <w:sz w:val="24"/>
              </w:rPr>
              <w:t>/a（</w:t>
            </w:r>
            <w:r>
              <w:rPr>
                <w:rFonts w:hint="eastAsia"/>
                <w:bCs/>
                <w:sz w:val="24"/>
              </w:rPr>
              <w:t>1</w:t>
            </w:r>
            <w:r>
              <w:rPr>
                <w:sz w:val="24"/>
              </w:rPr>
              <w:t>m</w:t>
            </w:r>
            <w:r>
              <w:rPr>
                <w:sz w:val="24"/>
                <w:vertAlign w:val="superscript"/>
              </w:rPr>
              <w:t>3</w:t>
            </w:r>
            <w:r>
              <w:rPr>
                <w:sz w:val="24"/>
              </w:rPr>
              <w:t>/d</w:t>
            </w:r>
            <w:r>
              <w:rPr>
                <w:bCs/>
                <w:sz w:val="24"/>
              </w:rPr>
              <w:t>），排水系数取0.9，则年废水量</w:t>
            </w:r>
            <w:r>
              <w:rPr>
                <w:rFonts w:hint="eastAsia"/>
                <w:bCs/>
                <w:sz w:val="24"/>
              </w:rPr>
              <w:t>270</w:t>
            </w:r>
            <w:r>
              <w:rPr>
                <w:bCs/>
                <w:sz w:val="24"/>
              </w:rPr>
              <w:t>m</w:t>
            </w:r>
            <w:r>
              <w:rPr>
                <w:bCs/>
                <w:sz w:val="24"/>
                <w:vertAlign w:val="superscript"/>
              </w:rPr>
              <w:t>3</w:t>
            </w:r>
            <w:r>
              <w:rPr>
                <w:bCs/>
                <w:sz w:val="24"/>
              </w:rPr>
              <w:t>/a（</w:t>
            </w:r>
            <w:r>
              <w:rPr>
                <w:rFonts w:hint="eastAsia"/>
                <w:bCs/>
                <w:sz w:val="24"/>
              </w:rPr>
              <w:t>0.9</w:t>
            </w:r>
            <w:r>
              <w:rPr>
                <w:sz w:val="24"/>
              </w:rPr>
              <w:t>m</w:t>
            </w:r>
            <w:r>
              <w:rPr>
                <w:sz w:val="24"/>
                <w:vertAlign w:val="superscript"/>
              </w:rPr>
              <w:t>3</w:t>
            </w:r>
            <w:r>
              <w:rPr>
                <w:sz w:val="24"/>
              </w:rPr>
              <w:t>/d</w:t>
            </w:r>
            <w:r>
              <w:rPr>
                <w:bCs/>
                <w:sz w:val="24"/>
              </w:rPr>
              <w:t>）。</w:t>
            </w:r>
          </w:p>
          <w:p w14:paraId="7BC2218A">
            <w:pPr>
              <w:spacing w:line="360" w:lineRule="auto"/>
              <w:ind w:firstLine="470" w:firstLineChars="196"/>
              <w:rPr>
                <w:sz w:val="24"/>
                <w:szCs w:val="24"/>
                <w:lang w:bidi="ar"/>
              </w:rPr>
            </w:pPr>
            <w:r>
              <w:rPr>
                <w:sz w:val="24"/>
                <w:szCs w:val="24"/>
                <w:lang w:bidi="ar"/>
              </w:rPr>
              <w:t>经查《</w:t>
            </w:r>
            <w:r>
              <w:rPr>
                <w:bCs/>
                <w:sz w:val="24"/>
                <w:szCs w:val="24"/>
                <w:lang w:bidi="ar"/>
              </w:rPr>
              <w:t>排放源统计调查产排污核算方法和系数手册》-《1392豆制品制造行业系数手册》中没有类似产品的产污系数，</w:t>
            </w:r>
            <w:r>
              <w:rPr>
                <w:sz w:val="24"/>
                <w:szCs w:val="24"/>
                <w:lang w:bidi="ar"/>
              </w:rPr>
              <w:t>结合同类型其他项目豆制品预处理废水源强分析，本项目</w:t>
            </w:r>
            <w:r>
              <w:rPr>
                <w:rFonts w:hint="eastAsia"/>
                <w:sz w:val="24"/>
                <w:szCs w:val="24"/>
                <w:lang w:bidi="ar"/>
              </w:rPr>
              <w:t>黄豆浸泡</w:t>
            </w:r>
            <w:r>
              <w:rPr>
                <w:bCs/>
                <w:sz w:val="24"/>
                <w:szCs w:val="24"/>
                <w:lang w:bidi="ar"/>
              </w:rPr>
              <w:t>废水</w:t>
            </w:r>
            <w:r>
              <w:rPr>
                <w:sz w:val="24"/>
                <w:szCs w:val="24"/>
                <w:lang w:bidi="ar"/>
              </w:rPr>
              <w:t>中的污染物浓度为：</w:t>
            </w:r>
            <w:r>
              <w:rPr>
                <w:bCs/>
                <w:sz w:val="24"/>
                <w:szCs w:val="24"/>
                <w:lang w:bidi="ar"/>
              </w:rPr>
              <w:t>COD2000</w:t>
            </w:r>
            <w:r>
              <w:rPr>
                <w:sz w:val="24"/>
                <w:szCs w:val="24"/>
                <w:lang w:bidi="ar"/>
              </w:rPr>
              <w:t>mg/L、氨氮50mg/L、总磷20mg/L、总氮80mg/L、悬浮物300mg/L、</w:t>
            </w:r>
            <w:r>
              <w:rPr>
                <w:bCs/>
                <w:sz w:val="24"/>
                <w:szCs w:val="24"/>
                <w:lang w:bidi="ar"/>
              </w:rPr>
              <w:t>BOD</w:t>
            </w:r>
            <w:r>
              <w:rPr>
                <w:bCs/>
                <w:sz w:val="24"/>
                <w:szCs w:val="24"/>
                <w:vertAlign w:val="subscript"/>
                <w:lang w:bidi="ar"/>
              </w:rPr>
              <w:t>5</w:t>
            </w:r>
            <w:r>
              <w:rPr>
                <w:bCs/>
                <w:sz w:val="24"/>
                <w:szCs w:val="24"/>
                <w:lang w:bidi="ar"/>
              </w:rPr>
              <w:t>12</w:t>
            </w:r>
            <w:r>
              <w:rPr>
                <w:sz w:val="24"/>
                <w:szCs w:val="24"/>
                <w:lang w:bidi="ar"/>
              </w:rPr>
              <w:t>00mg/L</w:t>
            </w:r>
            <w:r>
              <w:rPr>
                <w:rFonts w:hint="eastAsia"/>
                <w:sz w:val="24"/>
                <w:szCs w:val="24"/>
                <w:lang w:bidi="ar"/>
              </w:rPr>
              <w:t>、</w:t>
            </w:r>
            <w:r>
              <w:rPr>
                <w:sz w:val="24"/>
                <w:szCs w:val="24"/>
                <w:lang w:bidi="ar"/>
              </w:rPr>
              <w:t>氯化物</w:t>
            </w:r>
            <w:r>
              <w:rPr>
                <w:rFonts w:hint="eastAsia"/>
                <w:sz w:val="24"/>
                <w:szCs w:val="24"/>
                <w:lang w:bidi="ar"/>
              </w:rPr>
              <w:t>5</w:t>
            </w:r>
            <w:r>
              <w:rPr>
                <w:sz w:val="24"/>
                <w:szCs w:val="24"/>
                <w:lang w:bidi="ar"/>
              </w:rPr>
              <w:t>00 mg/L。依托湖南华益科技发展有限公司（原名湖南华益食品有限公司）自建污水处理站处理。</w:t>
            </w:r>
          </w:p>
          <w:p w14:paraId="43CA5142">
            <w:pPr>
              <w:snapToGrid w:val="0"/>
              <w:spacing w:line="360" w:lineRule="auto"/>
              <w:ind w:left="472"/>
              <w:rPr>
                <w:b/>
                <w:sz w:val="24"/>
              </w:rPr>
            </w:pPr>
            <w:r>
              <w:rPr>
                <w:rFonts w:hint="eastAsia"/>
                <w:b/>
                <w:sz w:val="24"/>
              </w:rPr>
              <w:t>卤料原料清洗</w:t>
            </w:r>
            <w:r>
              <w:rPr>
                <w:b/>
                <w:sz w:val="24"/>
              </w:rPr>
              <w:t>废水</w:t>
            </w:r>
          </w:p>
          <w:p w14:paraId="69DCD9CD">
            <w:pPr>
              <w:spacing w:line="360" w:lineRule="auto"/>
              <w:ind w:firstLine="470" w:firstLineChars="196"/>
              <w:rPr>
                <w:sz w:val="24"/>
                <w:szCs w:val="24"/>
              </w:rPr>
            </w:pPr>
            <w:r>
              <w:rPr>
                <w:bCs/>
                <w:sz w:val="24"/>
              </w:rPr>
              <w:t>根据建设单位提供的资料，类比同类型项目可知；</w:t>
            </w:r>
            <w:r>
              <w:rPr>
                <w:rFonts w:hint="eastAsia"/>
                <w:bCs/>
                <w:sz w:val="24"/>
              </w:rPr>
              <w:t>项目卤制原料需要进行清洗，用水量与原料比例为1:1，原料用量为39t/a，则清洗用水量为39</w:t>
            </w:r>
            <w:r>
              <w:rPr>
                <w:sz w:val="24"/>
              </w:rPr>
              <w:t>m</w:t>
            </w:r>
            <w:r>
              <w:rPr>
                <w:sz w:val="24"/>
                <w:vertAlign w:val="superscript"/>
              </w:rPr>
              <w:t>3</w:t>
            </w:r>
            <w:r>
              <w:rPr>
                <w:sz w:val="24"/>
              </w:rPr>
              <w:t>/d</w:t>
            </w:r>
            <w:r>
              <w:rPr>
                <w:rFonts w:hint="eastAsia"/>
                <w:bCs/>
                <w:sz w:val="24"/>
              </w:rPr>
              <w:t>（0.13</w:t>
            </w:r>
            <w:r>
              <w:rPr>
                <w:sz w:val="24"/>
              </w:rPr>
              <w:t>m</w:t>
            </w:r>
            <w:r>
              <w:rPr>
                <w:sz w:val="24"/>
                <w:vertAlign w:val="superscript"/>
              </w:rPr>
              <w:t>3</w:t>
            </w:r>
            <w:r>
              <w:rPr>
                <w:sz w:val="24"/>
              </w:rPr>
              <w:t>/d</w:t>
            </w:r>
            <w:r>
              <w:rPr>
                <w:rFonts w:hint="eastAsia"/>
                <w:bCs/>
                <w:sz w:val="24"/>
              </w:rPr>
              <w:t>）</w:t>
            </w:r>
            <w:r>
              <w:rPr>
                <w:bCs/>
                <w:sz w:val="24"/>
              </w:rPr>
              <w:t>，排水系数取0.9，则年废水量</w:t>
            </w:r>
            <w:r>
              <w:rPr>
                <w:rFonts w:hint="eastAsia"/>
                <w:bCs/>
                <w:sz w:val="24"/>
              </w:rPr>
              <w:t>35.1</w:t>
            </w:r>
            <w:r>
              <w:rPr>
                <w:bCs/>
                <w:sz w:val="24"/>
              </w:rPr>
              <w:t>m</w:t>
            </w:r>
            <w:r>
              <w:rPr>
                <w:bCs/>
                <w:sz w:val="24"/>
                <w:vertAlign w:val="superscript"/>
              </w:rPr>
              <w:t>3</w:t>
            </w:r>
            <w:r>
              <w:rPr>
                <w:bCs/>
                <w:sz w:val="24"/>
              </w:rPr>
              <w:t>/a（</w:t>
            </w:r>
            <w:r>
              <w:rPr>
                <w:rFonts w:hint="eastAsia"/>
                <w:bCs/>
                <w:sz w:val="24"/>
              </w:rPr>
              <w:t>0.117</w:t>
            </w:r>
            <w:r>
              <w:rPr>
                <w:bCs/>
                <w:sz w:val="24"/>
              </w:rPr>
              <w:t>m</w:t>
            </w:r>
            <w:r>
              <w:rPr>
                <w:bCs/>
                <w:sz w:val="24"/>
                <w:vertAlign w:val="superscript"/>
              </w:rPr>
              <w:t>3</w:t>
            </w:r>
            <w:r>
              <w:rPr>
                <w:bCs/>
                <w:sz w:val="24"/>
              </w:rPr>
              <w:t>/d）。</w:t>
            </w:r>
            <w:r>
              <w:rPr>
                <w:sz w:val="24"/>
              </w:rPr>
              <w:t>依托湖南华益科技发展有限公司（原名湖南华益食品有限公司）自建污水处理站处理。</w:t>
            </w:r>
            <w:r>
              <w:rPr>
                <w:sz w:val="24"/>
                <w:szCs w:val="24"/>
                <w:lang w:bidi="ar"/>
              </w:rPr>
              <w:t>废水主要污染物为</w:t>
            </w:r>
            <w:r>
              <w:rPr>
                <w:bCs/>
                <w:sz w:val="24"/>
                <w:szCs w:val="24"/>
                <w:lang w:bidi="ar"/>
              </w:rPr>
              <w:t>pH、SS、BOD</w:t>
            </w:r>
            <w:r>
              <w:rPr>
                <w:bCs/>
                <w:sz w:val="24"/>
                <w:szCs w:val="24"/>
                <w:vertAlign w:val="subscript"/>
                <w:lang w:bidi="ar"/>
              </w:rPr>
              <w:t>5</w:t>
            </w:r>
            <w:r>
              <w:rPr>
                <w:bCs/>
                <w:sz w:val="24"/>
                <w:szCs w:val="24"/>
                <w:lang w:bidi="ar"/>
              </w:rPr>
              <w:t>、COD、NH</w:t>
            </w:r>
            <w:r>
              <w:rPr>
                <w:bCs/>
                <w:sz w:val="24"/>
                <w:szCs w:val="24"/>
                <w:vertAlign w:val="subscript"/>
                <w:lang w:bidi="ar"/>
              </w:rPr>
              <w:t>3</w:t>
            </w:r>
            <w:r>
              <w:rPr>
                <w:bCs/>
                <w:sz w:val="24"/>
                <w:szCs w:val="24"/>
                <w:lang w:bidi="ar"/>
              </w:rPr>
              <w:t>-N、TP、TN等。</w:t>
            </w:r>
          </w:p>
          <w:p w14:paraId="7F19A723">
            <w:pPr>
              <w:snapToGrid w:val="0"/>
              <w:spacing w:line="360" w:lineRule="auto"/>
              <w:ind w:left="472"/>
              <w:rPr>
                <w:b/>
                <w:sz w:val="24"/>
              </w:rPr>
            </w:pPr>
            <w:r>
              <w:rPr>
                <w:b/>
                <w:sz w:val="24"/>
              </w:rPr>
              <w:t>洗袋废水</w:t>
            </w:r>
          </w:p>
          <w:p w14:paraId="4DE8AA6D">
            <w:pPr>
              <w:snapToGrid w:val="0"/>
              <w:spacing w:line="360" w:lineRule="auto"/>
              <w:ind w:firstLine="470" w:firstLineChars="196"/>
              <w:rPr>
                <w:sz w:val="24"/>
              </w:rPr>
            </w:pPr>
            <w:r>
              <w:rPr>
                <w:bCs/>
                <w:sz w:val="24"/>
              </w:rPr>
              <w:t>根据建设单位提供的资料，类比同类型项目可知；</w:t>
            </w:r>
            <w:r>
              <w:rPr>
                <w:sz w:val="24"/>
              </w:rPr>
              <w:t>杀菌后进行洗袋，用水量为1m</w:t>
            </w:r>
            <w:r>
              <w:rPr>
                <w:sz w:val="24"/>
                <w:vertAlign w:val="superscript"/>
              </w:rPr>
              <w:t>3</w:t>
            </w:r>
            <w:r>
              <w:rPr>
                <w:sz w:val="24"/>
              </w:rPr>
              <w:t>/t产品，产品量为15500t/a，则年废水量46.5m</w:t>
            </w:r>
            <w:r>
              <w:rPr>
                <w:sz w:val="24"/>
                <w:vertAlign w:val="superscript"/>
              </w:rPr>
              <w:t>3</w:t>
            </w:r>
            <w:r>
              <w:rPr>
                <w:sz w:val="24"/>
              </w:rPr>
              <w:t>/d（13950m³/a）。</w:t>
            </w:r>
            <w:r>
              <w:rPr>
                <w:sz w:val="24"/>
                <w:szCs w:val="24"/>
                <w:lang w:bidi="ar"/>
              </w:rPr>
              <w:t>洗袋废水主要污染物为</w:t>
            </w:r>
            <w:r>
              <w:rPr>
                <w:bCs/>
                <w:sz w:val="24"/>
                <w:szCs w:val="24"/>
                <w:lang w:bidi="ar"/>
              </w:rPr>
              <w:t>pH、SS、BOD</w:t>
            </w:r>
            <w:r>
              <w:rPr>
                <w:bCs/>
                <w:sz w:val="24"/>
                <w:szCs w:val="24"/>
                <w:vertAlign w:val="subscript"/>
                <w:lang w:bidi="ar"/>
              </w:rPr>
              <w:t>5</w:t>
            </w:r>
            <w:r>
              <w:rPr>
                <w:bCs/>
                <w:sz w:val="24"/>
                <w:szCs w:val="24"/>
                <w:lang w:bidi="ar"/>
              </w:rPr>
              <w:t>、COD、NH</w:t>
            </w:r>
            <w:r>
              <w:rPr>
                <w:bCs/>
                <w:sz w:val="24"/>
                <w:szCs w:val="24"/>
                <w:vertAlign w:val="subscript"/>
                <w:lang w:bidi="ar"/>
              </w:rPr>
              <w:t>3</w:t>
            </w:r>
            <w:r>
              <w:rPr>
                <w:bCs/>
                <w:sz w:val="24"/>
                <w:szCs w:val="24"/>
                <w:lang w:bidi="ar"/>
              </w:rPr>
              <w:t>-N、TP、TN、动植物油、氯化物</w:t>
            </w:r>
            <w:r>
              <w:rPr>
                <w:sz w:val="24"/>
                <w:szCs w:val="24"/>
                <w:lang w:bidi="ar"/>
              </w:rPr>
              <w:t>等，汇同其他生产废水</w:t>
            </w:r>
            <w:r>
              <w:rPr>
                <w:sz w:val="24"/>
              </w:rPr>
              <w:t>依托湖南华益科技发展有限公司（原名湖南华益食品有限公司）自建污水处理站处理</w:t>
            </w:r>
            <w:r>
              <w:rPr>
                <w:sz w:val="24"/>
                <w:szCs w:val="24"/>
                <w:lang w:bidi="ar"/>
              </w:rPr>
              <w:t>。</w:t>
            </w:r>
          </w:p>
          <w:p w14:paraId="75CF9CA7">
            <w:pPr>
              <w:snapToGrid w:val="0"/>
              <w:spacing w:line="360" w:lineRule="auto"/>
              <w:ind w:left="472"/>
              <w:rPr>
                <w:b/>
                <w:sz w:val="24"/>
              </w:rPr>
            </w:pPr>
            <w:r>
              <w:rPr>
                <w:b/>
                <w:sz w:val="24"/>
              </w:rPr>
              <w:t>设备清洗废水</w:t>
            </w:r>
          </w:p>
          <w:p w14:paraId="2AE473EF">
            <w:pPr>
              <w:spacing w:line="360" w:lineRule="auto"/>
              <w:ind w:firstLine="470" w:firstLineChars="196"/>
              <w:rPr>
                <w:sz w:val="24"/>
              </w:rPr>
            </w:pPr>
            <w:r>
              <w:rPr>
                <w:bCs/>
                <w:sz w:val="24"/>
              </w:rPr>
              <w:t>根据建设单位提供的资料</w:t>
            </w:r>
            <w:r>
              <w:rPr>
                <w:sz w:val="24"/>
              </w:rPr>
              <w:t>及生产经验数据表明，大约每天生产出一批次成品。厂区内生产设备每天清洗一次，年工作300天，设备清洗废水量为9m</w:t>
            </w:r>
            <w:r>
              <w:rPr>
                <w:sz w:val="24"/>
                <w:vertAlign w:val="superscript"/>
              </w:rPr>
              <w:t>3</w:t>
            </w:r>
            <w:r>
              <w:rPr>
                <w:sz w:val="24"/>
              </w:rPr>
              <w:t>/d（2700m</w:t>
            </w:r>
            <w:r>
              <w:rPr>
                <w:sz w:val="24"/>
                <w:vertAlign w:val="superscript"/>
              </w:rPr>
              <w:t>3</w:t>
            </w:r>
            <w:r>
              <w:rPr>
                <w:sz w:val="24"/>
              </w:rPr>
              <w:t>/a）。</w:t>
            </w:r>
            <w:r>
              <w:rPr>
                <w:sz w:val="24"/>
                <w:szCs w:val="24"/>
                <w:lang w:bidi="ar"/>
              </w:rPr>
              <w:t>设备清洗废水主要污染物为</w:t>
            </w:r>
            <w:r>
              <w:rPr>
                <w:bCs/>
                <w:sz w:val="24"/>
                <w:szCs w:val="24"/>
                <w:lang w:bidi="ar"/>
              </w:rPr>
              <w:t>pH、SS、BOD</w:t>
            </w:r>
            <w:r>
              <w:rPr>
                <w:bCs/>
                <w:sz w:val="24"/>
                <w:szCs w:val="24"/>
                <w:vertAlign w:val="subscript"/>
                <w:lang w:bidi="ar"/>
              </w:rPr>
              <w:t>5</w:t>
            </w:r>
            <w:r>
              <w:rPr>
                <w:bCs/>
                <w:sz w:val="24"/>
                <w:szCs w:val="24"/>
                <w:lang w:bidi="ar"/>
              </w:rPr>
              <w:t>、COD、NH</w:t>
            </w:r>
            <w:r>
              <w:rPr>
                <w:bCs/>
                <w:sz w:val="24"/>
                <w:szCs w:val="24"/>
                <w:vertAlign w:val="subscript"/>
                <w:lang w:bidi="ar"/>
              </w:rPr>
              <w:t>3</w:t>
            </w:r>
            <w:r>
              <w:rPr>
                <w:bCs/>
                <w:sz w:val="24"/>
                <w:szCs w:val="24"/>
                <w:lang w:bidi="ar"/>
              </w:rPr>
              <w:t>-N、TP、TN、氯化物、动植物油</w:t>
            </w:r>
            <w:r>
              <w:rPr>
                <w:sz w:val="24"/>
                <w:szCs w:val="24"/>
                <w:lang w:bidi="ar"/>
              </w:rPr>
              <w:t>等，</w:t>
            </w:r>
            <w:r>
              <w:rPr>
                <w:sz w:val="24"/>
              </w:rPr>
              <w:t>依托湖南华益科技发展有限公司（原名湖南华益食品有限公司）自建污水处理站处理</w:t>
            </w:r>
            <w:r>
              <w:rPr>
                <w:sz w:val="24"/>
                <w:szCs w:val="24"/>
                <w:lang w:bidi="ar"/>
              </w:rPr>
              <w:t>。</w:t>
            </w:r>
          </w:p>
          <w:p w14:paraId="0A264541">
            <w:pPr>
              <w:snapToGrid w:val="0"/>
              <w:spacing w:line="360" w:lineRule="auto"/>
              <w:ind w:left="472"/>
              <w:rPr>
                <w:b/>
                <w:sz w:val="24"/>
              </w:rPr>
            </w:pPr>
            <w:r>
              <w:rPr>
                <w:b/>
                <w:sz w:val="24"/>
              </w:rPr>
              <w:t>地面清洁废水</w:t>
            </w:r>
          </w:p>
          <w:p w14:paraId="5413D9B1">
            <w:pPr>
              <w:snapToGrid w:val="0"/>
              <w:spacing w:line="360" w:lineRule="auto"/>
              <w:ind w:firstLine="470" w:firstLineChars="196"/>
              <w:rPr>
                <w:sz w:val="24"/>
                <w:szCs w:val="24"/>
                <w:lang w:bidi="ar"/>
              </w:rPr>
            </w:pPr>
            <w:r>
              <w:rPr>
                <w:sz w:val="24"/>
              </w:rPr>
              <w:t>车间生产区地面需每天进行清洗，用水规模约为</w:t>
            </w:r>
            <w:r>
              <w:rPr>
                <w:bCs/>
                <w:sz w:val="24"/>
              </w:rPr>
              <w:t>5L/m</w:t>
            </w:r>
            <w:r>
              <w:rPr>
                <w:bCs/>
                <w:sz w:val="24"/>
                <w:vertAlign w:val="superscript"/>
              </w:rPr>
              <w:t>2</w:t>
            </w:r>
            <w:r>
              <w:rPr>
                <w:bCs/>
                <w:sz w:val="24"/>
              </w:rPr>
              <w:t>计</w:t>
            </w:r>
            <w:r>
              <w:rPr>
                <w:bCs/>
                <w:color w:val="000000"/>
                <w:sz w:val="24"/>
              </w:rPr>
              <w:t>。</w:t>
            </w:r>
            <w:r>
              <w:rPr>
                <w:sz w:val="24"/>
              </w:rPr>
              <w:t>根据建设单位提供资料，需要清洗的生产车间面积约为9000</w:t>
            </w:r>
            <w:r>
              <w:rPr>
                <w:bCs/>
                <w:sz w:val="24"/>
              </w:rPr>
              <w:t>m</w:t>
            </w:r>
            <w:r>
              <w:rPr>
                <w:bCs/>
                <w:sz w:val="24"/>
                <w:vertAlign w:val="superscript"/>
              </w:rPr>
              <w:t>2</w:t>
            </w:r>
            <w:r>
              <w:rPr>
                <w:bCs/>
                <w:color w:val="000000"/>
                <w:sz w:val="24"/>
              </w:rPr>
              <w:t>，地面清洁废水产生量为40.5m</w:t>
            </w:r>
            <w:r>
              <w:rPr>
                <w:bCs/>
                <w:color w:val="000000"/>
                <w:sz w:val="24"/>
                <w:vertAlign w:val="superscript"/>
              </w:rPr>
              <w:t>3</w:t>
            </w:r>
            <w:r>
              <w:rPr>
                <w:bCs/>
                <w:color w:val="000000"/>
                <w:sz w:val="24"/>
              </w:rPr>
              <w:t>/d（12150m</w:t>
            </w:r>
            <w:r>
              <w:rPr>
                <w:bCs/>
                <w:color w:val="000000"/>
                <w:sz w:val="24"/>
                <w:vertAlign w:val="superscript"/>
              </w:rPr>
              <w:t>3</w:t>
            </w:r>
            <w:r>
              <w:rPr>
                <w:bCs/>
                <w:color w:val="000000"/>
                <w:sz w:val="24"/>
              </w:rPr>
              <w:t>/a）。</w:t>
            </w:r>
            <w:r>
              <w:rPr>
                <w:sz w:val="24"/>
                <w:szCs w:val="24"/>
                <w:lang w:bidi="ar"/>
              </w:rPr>
              <w:t>主要污染物为</w:t>
            </w:r>
            <w:r>
              <w:rPr>
                <w:bCs/>
                <w:sz w:val="24"/>
                <w:szCs w:val="24"/>
                <w:lang w:bidi="ar"/>
              </w:rPr>
              <w:t>pH、</w:t>
            </w:r>
            <w:r>
              <w:rPr>
                <w:sz w:val="24"/>
                <w:szCs w:val="24"/>
                <w:lang w:bidi="ar"/>
              </w:rPr>
              <w:t>COD、BOD</w:t>
            </w:r>
            <w:r>
              <w:rPr>
                <w:sz w:val="24"/>
                <w:szCs w:val="24"/>
                <w:vertAlign w:val="subscript"/>
                <w:lang w:bidi="ar"/>
              </w:rPr>
              <w:t>5</w:t>
            </w:r>
            <w:r>
              <w:rPr>
                <w:sz w:val="24"/>
                <w:szCs w:val="24"/>
                <w:lang w:bidi="ar"/>
              </w:rPr>
              <w:t>、SS、NH</w:t>
            </w:r>
            <w:r>
              <w:rPr>
                <w:sz w:val="24"/>
                <w:szCs w:val="24"/>
                <w:vertAlign w:val="subscript"/>
                <w:lang w:bidi="ar"/>
              </w:rPr>
              <w:t>3</w:t>
            </w:r>
            <w:r>
              <w:rPr>
                <w:sz w:val="24"/>
                <w:szCs w:val="24"/>
                <w:lang w:bidi="ar"/>
              </w:rPr>
              <w:t>-N、</w:t>
            </w:r>
            <w:r>
              <w:rPr>
                <w:bCs/>
                <w:sz w:val="24"/>
                <w:szCs w:val="24"/>
                <w:lang w:bidi="ar"/>
              </w:rPr>
              <w:t>TP、TN、动植物油</w:t>
            </w:r>
            <w:r>
              <w:rPr>
                <w:sz w:val="24"/>
                <w:szCs w:val="24"/>
                <w:lang w:bidi="ar"/>
              </w:rPr>
              <w:t>等</w:t>
            </w:r>
            <w:r>
              <w:rPr>
                <w:bCs/>
                <w:sz w:val="24"/>
                <w:szCs w:val="24"/>
                <w:lang w:bidi="ar"/>
              </w:rPr>
              <w:t>，</w:t>
            </w:r>
            <w:r>
              <w:rPr>
                <w:sz w:val="24"/>
                <w:szCs w:val="24"/>
                <w:lang w:bidi="ar"/>
              </w:rPr>
              <w:t>汇同其他生产废水</w:t>
            </w:r>
            <w:r>
              <w:rPr>
                <w:sz w:val="24"/>
              </w:rPr>
              <w:t>依托湖南华益科技发展有限公司（原名湖南华益食品有限公司）自建污水处理站处理</w:t>
            </w:r>
            <w:r>
              <w:rPr>
                <w:sz w:val="24"/>
                <w:szCs w:val="24"/>
                <w:lang w:bidi="ar"/>
              </w:rPr>
              <w:t>。</w:t>
            </w:r>
          </w:p>
          <w:p w14:paraId="31BB2E52">
            <w:pPr>
              <w:snapToGrid w:val="0"/>
              <w:spacing w:line="360" w:lineRule="auto"/>
              <w:ind w:firstLine="472" w:firstLineChars="196"/>
              <w:rPr>
                <w:sz w:val="24"/>
                <w:szCs w:val="24"/>
                <w:u w:val="single"/>
                <w:lang w:bidi="ar"/>
              </w:rPr>
            </w:pPr>
            <w:r>
              <w:rPr>
                <w:rFonts w:hint="eastAsia"/>
                <w:b/>
                <w:sz w:val="24"/>
                <w:u w:val="single"/>
              </w:rPr>
              <w:t>检验</w:t>
            </w:r>
            <w:r>
              <w:rPr>
                <w:b/>
                <w:sz w:val="24"/>
                <w:u w:val="single"/>
              </w:rPr>
              <w:t>废水</w:t>
            </w:r>
          </w:p>
          <w:p w14:paraId="6BCDB396">
            <w:pPr>
              <w:snapToGrid w:val="0"/>
              <w:spacing w:line="360" w:lineRule="auto"/>
              <w:ind w:firstLine="470" w:firstLineChars="196"/>
              <w:rPr>
                <w:bCs/>
                <w:color w:val="000000"/>
                <w:sz w:val="24"/>
              </w:rPr>
            </w:pPr>
            <w:r>
              <w:rPr>
                <w:bCs/>
                <w:color w:val="000000"/>
                <w:sz w:val="24"/>
                <w:u w:val="single"/>
              </w:rPr>
              <w:t>项目</w:t>
            </w:r>
            <w:r>
              <w:rPr>
                <w:rFonts w:hint="eastAsia"/>
                <w:bCs/>
                <w:color w:val="000000"/>
                <w:sz w:val="24"/>
                <w:u w:val="single"/>
              </w:rPr>
              <w:t>检验</w:t>
            </w:r>
            <w:r>
              <w:rPr>
                <w:bCs/>
                <w:color w:val="000000"/>
                <w:sz w:val="24"/>
                <w:u w:val="single"/>
              </w:rPr>
              <w:t>室主要检验指标为水分、感官净含量、大肠菌群、菌群种数等，以此判别食品卫生质量。项目</w:t>
            </w:r>
            <w:r>
              <w:rPr>
                <w:rFonts w:hint="eastAsia"/>
                <w:bCs/>
                <w:color w:val="000000"/>
                <w:sz w:val="24"/>
                <w:u w:val="single"/>
              </w:rPr>
              <w:t>检验</w:t>
            </w:r>
            <w:r>
              <w:rPr>
                <w:bCs/>
                <w:color w:val="000000"/>
                <w:sz w:val="24"/>
                <w:u w:val="single"/>
              </w:rPr>
              <w:t>室检验产生的废水主要为清洗容器产生的检验废水，废水中不含有毒有害物质。检验废水约为0.4m</w:t>
            </w:r>
            <w:r>
              <w:rPr>
                <w:bCs/>
                <w:color w:val="000000"/>
                <w:sz w:val="24"/>
                <w:u w:val="single"/>
                <w:vertAlign w:val="superscript"/>
              </w:rPr>
              <w:t>3</w:t>
            </w:r>
            <w:r>
              <w:rPr>
                <w:bCs/>
                <w:color w:val="000000"/>
                <w:sz w:val="24"/>
                <w:u w:val="single"/>
              </w:rPr>
              <w:t>/a（0.001</w:t>
            </w:r>
            <w:r>
              <w:rPr>
                <w:rFonts w:hint="eastAsia"/>
                <w:bCs/>
                <w:color w:val="000000"/>
                <w:sz w:val="24"/>
                <w:u w:val="single"/>
              </w:rPr>
              <w:t>3</w:t>
            </w:r>
            <w:r>
              <w:rPr>
                <w:bCs/>
                <w:color w:val="000000"/>
                <w:sz w:val="24"/>
                <w:u w:val="single"/>
              </w:rPr>
              <w:t>m</w:t>
            </w:r>
            <w:r>
              <w:rPr>
                <w:bCs/>
                <w:color w:val="000000"/>
                <w:sz w:val="24"/>
                <w:u w:val="single"/>
                <w:vertAlign w:val="superscript"/>
              </w:rPr>
              <w:t>3</w:t>
            </w:r>
            <w:r>
              <w:rPr>
                <w:bCs/>
                <w:color w:val="000000"/>
                <w:sz w:val="24"/>
                <w:u w:val="single"/>
              </w:rPr>
              <w:t>/d）。</w:t>
            </w:r>
            <w:r>
              <w:rPr>
                <w:sz w:val="24"/>
                <w:szCs w:val="24"/>
                <w:u w:val="single"/>
                <w:lang w:bidi="ar"/>
              </w:rPr>
              <w:t>废水主要污染物为</w:t>
            </w:r>
            <w:r>
              <w:rPr>
                <w:bCs/>
                <w:sz w:val="24"/>
                <w:szCs w:val="24"/>
                <w:u w:val="single"/>
                <w:lang w:bidi="ar"/>
              </w:rPr>
              <w:t>pH、SS、BOD</w:t>
            </w:r>
            <w:r>
              <w:rPr>
                <w:bCs/>
                <w:sz w:val="24"/>
                <w:szCs w:val="24"/>
                <w:u w:val="single"/>
                <w:vertAlign w:val="subscript"/>
                <w:lang w:bidi="ar"/>
              </w:rPr>
              <w:t>5</w:t>
            </w:r>
            <w:r>
              <w:rPr>
                <w:bCs/>
                <w:sz w:val="24"/>
                <w:szCs w:val="24"/>
                <w:u w:val="single"/>
                <w:lang w:bidi="ar"/>
              </w:rPr>
              <w:t>、COD、NH</w:t>
            </w:r>
            <w:r>
              <w:rPr>
                <w:bCs/>
                <w:sz w:val="24"/>
                <w:szCs w:val="24"/>
                <w:u w:val="single"/>
                <w:vertAlign w:val="subscript"/>
                <w:lang w:bidi="ar"/>
              </w:rPr>
              <w:t>3</w:t>
            </w:r>
            <w:r>
              <w:rPr>
                <w:bCs/>
                <w:sz w:val="24"/>
                <w:szCs w:val="24"/>
                <w:u w:val="single"/>
                <w:lang w:bidi="ar"/>
              </w:rPr>
              <w:t>-N、TP、TN、氯化物、动植物油</w:t>
            </w:r>
            <w:r>
              <w:rPr>
                <w:sz w:val="24"/>
                <w:szCs w:val="24"/>
                <w:u w:val="single"/>
                <w:lang w:bidi="ar"/>
              </w:rPr>
              <w:t>等，</w:t>
            </w:r>
            <w:r>
              <w:rPr>
                <w:sz w:val="24"/>
                <w:u w:val="single"/>
              </w:rPr>
              <w:t>依托湖南华益科技发展有限公司（原名湖南华益食品有限公司）自建污水处理站处理</w:t>
            </w:r>
            <w:r>
              <w:rPr>
                <w:sz w:val="24"/>
                <w:szCs w:val="24"/>
                <w:lang w:bidi="ar"/>
              </w:rPr>
              <w:t>。</w:t>
            </w:r>
          </w:p>
          <w:p w14:paraId="008534DA">
            <w:pPr>
              <w:tabs>
                <w:tab w:val="left" w:pos="2196"/>
              </w:tabs>
              <w:spacing w:line="360" w:lineRule="auto"/>
              <w:jc w:val="center"/>
              <w:rPr>
                <w:b/>
                <w:sz w:val="24"/>
                <w:szCs w:val="24"/>
              </w:rPr>
            </w:pPr>
            <w:r>
              <w:rPr>
                <w:b/>
                <w:sz w:val="24"/>
                <w:szCs w:val="24"/>
              </w:rPr>
              <w:t>表4-11  项目营运期废水污染物产生量和产生浓度一览表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98"/>
              <w:gridCol w:w="1698"/>
              <w:gridCol w:w="1699"/>
              <w:gridCol w:w="1699"/>
              <w:gridCol w:w="1699"/>
            </w:tblGrid>
            <w:tr w14:paraId="43303B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tcBorders>
                    <w:top w:val="single" w:color="auto" w:sz="12" w:space="0"/>
                    <w:left w:val="single" w:color="auto" w:sz="12" w:space="0"/>
                    <w:bottom w:val="single" w:color="auto" w:sz="4" w:space="0"/>
                    <w:right w:val="single" w:color="auto" w:sz="4" w:space="0"/>
                  </w:tcBorders>
                  <w:vAlign w:val="center"/>
                </w:tcPr>
                <w:p w14:paraId="5236E866">
                  <w:pPr>
                    <w:adjustRightInd w:val="0"/>
                    <w:jc w:val="center"/>
                    <w:rPr>
                      <w:bCs/>
                      <w:szCs w:val="21"/>
                      <w:u w:val="single"/>
                      <w:lang w:eastAsia="en-US"/>
                    </w:rPr>
                  </w:pPr>
                  <w:r>
                    <w:rPr>
                      <w:b/>
                      <w:szCs w:val="21"/>
                      <w:u w:val="single"/>
                      <w:lang w:eastAsia="en-US" w:bidi="ar"/>
                    </w:rPr>
                    <w:t>污染源</w:t>
                  </w:r>
                </w:p>
              </w:tc>
              <w:tc>
                <w:tcPr>
                  <w:tcW w:w="999" w:type="pct"/>
                  <w:tcBorders>
                    <w:top w:val="single" w:color="auto" w:sz="12" w:space="0"/>
                    <w:left w:val="single" w:color="auto" w:sz="4" w:space="0"/>
                    <w:bottom w:val="single" w:color="auto" w:sz="4" w:space="0"/>
                    <w:right w:val="single" w:color="auto" w:sz="4" w:space="0"/>
                  </w:tcBorders>
                  <w:vAlign w:val="center"/>
                </w:tcPr>
                <w:p w14:paraId="1CFD4687">
                  <w:pPr>
                    <w:adjustRightInd w:val="0"/>
                    <w:jc w:val="center"/>
                    <w:rPr>
                      <w:b/>
                      <w:szCs w:val="21"/>
                      <w:u w:val="single"/>
                      <w:lang w:eastAsia="en-US"/>
                    </w:rPr>
                  </w:pPr>
                  <w:r>
                    <w:rPr>
                      <w:b/>
                      <w:szCs w:val="21"/>
                      <w:u w:val="single"/>
                      <w:lang w:eastAsia="en-US" w:bidi="ar"/>
                    </w:rPr>
                    <w:t>污染物</w:t>
                  </w:r>
                </w:p>
              </w:tc>
              <w:tc>
                <w:tcPr>
                  <w:tcW w:w="1000" w:type="pct"/>
                  <w:tcBorders>
                    <w:top w:val="single" w:color="auto" w:sz="12" w:space="0"/>
                    <w:left w:val="single" w:color="auto" w:sz="4" w:space="0"/>
                    <w:bottom w:val="single" w:color="auto" w:sz="4" w:space="0"/>
                    <w:right w:val="single" w:color="auto" w:sz="4" w:space="0"/>
                  </w:tcBorders>
                  <w:vAlign w:val="center"/>
                </w:tcPr>
                <w:p w14:paraId="7AAEAB6D">
                  <w:pPr>
                    <w:adjustRightInd w:val="0"/>
                    <w:jc w:val="center"/>
                    <w:rPr>
                      <w:b/>
                      <w:szCs w:val="21"/>
                      <w:u w:val="single"/>
                      <w:lang w:eastAsia="en-US"/>
                    </w:rPr>
                  </w:pPr>
                  <w:r>
                    <w:rPr>
                      <w:b/>
                      <w:szCs w:val="21"/>
                      <w:u w:val="single"/>
                      <w:lang w:eastAsia="en-US" w:bidi="ar"/>
                    </w:rPr>
                    <w:t>废水产生量m</w:t>
                  </w:r>
                  <w:r>
                    <w:rPr>
                      <w:b/>
                      <w:szCs w:val="21"/>
                      <w:u w:val="single"/>
                      <w:vertAlign w:val="superscript"/>
                      <w:lang w:eastAsia="en-US" w:bidi="ar"/>
                    </w:rPr>
                    <w:t>3</w:t>
                  </w:r>
                  <w:r>
                    <w:rPr>
                      <w:b/>
                      <w:szCs w:val="21"/>
                      <w:u w:val="single"/>
                      <w:lang w:eastAsia="en-US" w:bidi="ar"/>
                    </w:rPr>
                    <w:t>/a</w:t>
                  </w:r>
                </w:p>
              </w:tc>
              <w:tc>
                <w:tcPr>
                  <w:tcW w:w="1000" w:type="pct"/>
                  <w:tcBorders>
                    <w:top w:val="single" w:color="auto" w:sz="12" w:space="0"/>
                    <w:left w:val="single" w:color="auto" w:sz="4" w:space="0"/>
                    <w:bottom w:val="single" w:color="auto" w:sz="4" w:space="0"/>
                    <w:right w:val="single" w:color="auto" w:sz="4" w:space="0"/>
                  </w:tcBorders>
                  <w:vAlign w:val="center"/>
                </w:tcPr>
                <w:p w14:paraId="65594170">
                  <w:pPr>
                    <w:adjustRightInd w:val="0"/>
                    <w:jc w:val="center"/>
                    <w:rPr>
                      <w:b/>
                      <w:szCs w:val="21"/>
                      <w:u w:val="single"/>
                      <w:lang w:eastAsia="en-US"/>
                    </w:rPr>
                  </w:pPr>
                  <w:r>
                    <w:rPr>
                      <w:b/>
                      <w:szCs w:val="21"/>
                      <w:u w:val="single"/>
                      <w:lang w:eastAsia="en-US" w:bidi="ar"/>
                    </w:rPr>
                    <w:t>废水产生浓度mg/L</w:t>
                  </w:r>
                </w:p>
              </w:tc>
              <w:tc>
                <w:tcPr>
                  <w:tcW w:w="1000" w:type="pct"/>
                  <w:tcBorders>
                    <w:top w:val="single" w:color="auto" w:sz="12" w:space="0"/>
                    <w:left w:val="single" w:color="auto" w:sz="4" w:space="0"/>
                    <w:bottom w:val="single" w:color="auto" w:sz="4" w:space="0"/>
                    <w:right w:val="single" w:color="auto" w:sz="12" w:space="0"/>
                  </w:tcBorders>
                  <w:vAlign w:val="center"/>
                </w:tcPr>
                <w:p w14:paraId="7C7A2AE2">
                  <w:pPr>
                    <w:adjustRightInd w:val="0"/>
                    <w:jc w:val="center"/>
                    <w:rPr>
                      <w:b/>
                      <w:szCs w:val="21"/>
                      <w:u w:val="single"/>
                      <w:lang w:eastAsia="en-US"/>
                    </w:rPr>
                  </w:pPr>
                  <w:r>
                    <w:rPr>
                      <w:b/>
                      <w:szCs w:val="21"/>
                      <w:u w:val="single"/>
                      <w:lang w:eastAsia="en-US" w:bidi="ar"/>
                    </w:rPr>
                    <w:t>产生量t/a</w:t>
                  </w:r>
                </w:p>
              </w:tc>
            </w:tr>
            <w:tr w14:paraId="1A028C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restart"/>
                  <w:tcBorders>
                    <w:top w:val="single" w:color="auto" w:sz="4" w:space="0"/>
                    <w:left w:val="single" w:color="auto" w:sz="12" w:space="0"/>
                    <w:right w:val="single" w:color="auto" w:sz="4" w:space="0"/>
                  </w:tcBorders>
                  <w:vAlign w:val="center"/>
                </w:tcPr>
                <w:p w14:paraId="1B2D2B29">
                  <w:pPr>
                    <w:jc w:val="center"/>
                    <w:rPr>
                      <w:snapToGrid w:val="0"/>
                      <w:szCs w:val="21"/>
                      <w:u w:val="single"/>
                    </w:rPr>
                  </w:pPr>
                  <w:r>
                    <w:rPr>
                      <w:snapToGrid w:val="0"/>
                      <w:szCs w:val="21"/>
                      <w:u w:val="single"/>
                    </w:rPr>
                    <w:t>生活污水</w:t>
                  </w:r>
                </w:p>
              </w:tc>
              <w:tc>
                <w:tcPr>
                  <w:tcW w:w="999" w:type="pct"/>
                  <w:tcBorders>
                    <w:top w:val="single" w:color="auto" w:sz="4" w:space="0"/>
                    <w:left w:val="single" w:color="auto" w:sz="4" w:space="0"/>
                    <w:bottom w:val="single" w:color="auto" w:sz="4" w:space="0"/>
                    <w:right w:val="single" w:color="auto" w:sz="4" w:space="0"/>
                  </w:tcBorders>
                  <w:vAlign w:val="center"/>
                </w:tcPr>
                <w:p w14:paraId="7A5F2128">
                  <w:pPr>
                    <w:widowControl/>
                    <w:jc w:val="center"/>
                    <w:textAlignment w:val="center"/>
                    <w:rPr>
                      <w:kern w:val="0"/>
                      <w:szCs w:val="21"/>
                      <w:u w:val="single"/>
                      <w:lang w:bidi="ar"/>
                    </w:rPr>
                  </w:pPr>
                  <w:r>
                    <w:rPr>
                      <w:kern w:val="0"/>
                      <w:szCs w:val="21"/>
                      <w:u w:val="single"/>
                      <w:lang w:bidi="ar"/>
                    </w:rPr>
                    <w:t>pH</w:t>
                  </w:r>
                </w:p>
              </w:tc>
              <w:tc>
                <w:tcPr>
                  <w:tcW w:w="1000" w:type="pct"/>
                  <w:vMerge w:val="restart"/>
                  <w:tcBorders>
                    <w:top w:val="single" w:color="auto" w:sz="4" w:space="0"/>
                    <w:left w:val="single" w:color="auto" w:sz="4" w:space="0"/>
                    <w:right w:val="single" w:color="auto" w:sz="4" w:space="0"/>
                  </w:tcBorders>
                  <w:vAlign w:val="center"/>
                </w:tcPr>
                <w:p w14:paraId="702B3F88">
                  <w:pPr>
                    <w:jc w:val="center"/>
                    <w:rPr>
                      <w:snapToGrid w:val="0"/>
                      <w:szCs w:val="21"/>
                      <w:u w:val="single"/>
                    </w:rPr>
                  </w:pPr>
                  <w:r>
                    <w:rPr>
                      <w:rFonts w:hint="eastAsia"/>
                      <w:snapToGrid w:val="0"/>
                      <w:szCs w:val="21"/>
                      <w:u w:val="single"/>
                    </w:rPr>
                    <w:t>1920</w:t>
                  </w:r>
                </w:p>
              </w:tc>
              <w:tc>
                <w:tcPr>
                  <w:tcW w:w="1000" w:type="pct"/>
                  <w:tcBorders>
                    <w:top w:val="single" w:color="auto" w:sz="4" w:space="0"/>
                    <w:left w:val="single" w:color="auto" w:sz="4" w:space="0"/>
                    <w:bottom w:val="single" w:color="auto" w:sz="4" w:space="0"/>
                    <w:right w:val="single" w:color="auto" w:sz="4" w:space="0"/>
                  </w:tcBorders>
                  <w:vAlign w:val="center"/>
                </w:tcPr>
                <w:p w14:paraId="0062930A">
                  <w:pPr>
                    <w:widowControl/>
                    <w:jc w:val="center"/>
                    <w:textAlignment w:val="center"/>
                    <w:rPr>
                      <w:kern w:val="0"/>
                      <w:szCs w:val="21"/>
                      <w:u w:val="single"/>
                      <w:lang w:bidi="ar"/>
                    </w:rPr>
                  </w:pPr>
                  <w:r>
                    <w:rPr>
                      <w:kern w:val="0"/>
                      <w:szCs w:val="21"/>
                      <w:u w:val="single"/>
                      <w:lang w:bidi="ar"/>
                    </w:rPr>
                    <w:t>6-9</w:t>
                  </w:r>
                </w:p>
              </w:tc>
              <w:tc>
                <w:tcPr>
                  <w:tcW w:w="1000" w:type="pct"/>
                  <w:tcBorders>
                    <w:top w:val="single" w:color="auto" w:sz="4" w:space="0"/>
                    <w:left w:val="single" w:color="auto" w:sz="4" w:space="0"/>
                    <w:bottom w:val="single" w:color="auto" w:sz="4" w:space="0"/>
                    <w:right w:val="single" w:color="auto" w:sz="12" w:space="0"/>
                  </w:tcBorders>
                  <w:vAlign w:val="center"/>
                </w:tcPr>
                <w:p w14:paraId="763FD9BB">
                  <w:pPr>
                    <w:widowControl/>
                    <w:jc w:val="center"/>
                    <w:textAlignment w:val="center"/>
                    <w:rPr>
                      <w:kern w:val="0"/>
                      <w:szCs w:val="21"/>
                      <w:u w:val="single"/>
                      <w:lang w:bidi="ar"/>
                    </w:rPr>
                  </w:pPr>
                  <w:r>
                    <w:rPr>
                      <w:kern w:val="0"/>
                      <w:szCs w:val="21"/>
                      <w:u w:val="single"/>
                      <w:lang w:bidi="ar"/>
                    </w:rPr>
                    <w:t>/</w:t>
                  </w:r>
                </w:p>
              </w:tc>
            </w:tr>
            <w:tr w14:paraId="4E134C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tcBorders>
                    <w:left w:val="single" w:color="auto" w:sz="12" w:space="0"/>
                    <w:right w:val="single" w:color="auto" w:sz="4" w:space="0"/>
                  </w:tcBorders>
                  <w:vAlign w:val="center"/>
                </w:tcPr>
                <w:p w14:paraId="6C021AF3">
                  <w:pPr>
                    <w:adjustRightInd w:val="0"/>
                    <w:jc w:val="center"/>
                    <w:rPr>
                      <w:bCs/>
                      <w:szCs w:val="21"/>
                      <w:u w:val="single"/>
                      <w:lang w:eastAsia="en-US" w:bidi="ar"/>
                    </w:rPr>
                  </w:pPr>
                </w:p>
              </w:tc>
              <w:tc>
                <w:tcPr>
                  <w:tcW w:w="999" w:type="pct"/>
                  <w:tcBorders>
                    <w:top w:val="single" w:color="auto" w:sz="4" w:space="0"/>
                    <w:left w:val="single" w:color="auto" w:sz="4" w:space="0"/>
                    <w:bottom w:val="single" w:color="auto" w:sz="4" w:space="0"/>
                    <w:right w:val="single" w:color="auto" w:sz="4" w:space="0"/>
                  </w:tcBorders>
                  <w:vAlign w:val="center"/>
                </w:tcPr>
                <w:p w14:paraId="08BD79E1">
                  <w:pPr>
                    <w:adjustRightInd w:val="0"/>
                    <w:jc w:val="center"/>
                    <w:rPr>
                      <w:bCs/>
                      <w:szCs w:val="21"/>
                      <w:u w:val="single"/>
                      <w:lang w:eastAsia="en-US" w:bidi="ar"/>
                    </w:rPr>
                  </w:pPr>
                  <w:r>
                    <w:rPr>
                      <w:kern w:val="0"/>
                      <w:szCs w:val="21"/>
                      <w:u w:val="single"/>
                      <w:lang w:bidi="ar"/>
                    </w:rPr>
                    <w:t>COD</w:t>
                  </w:r>
                </w:p>
              </w:tc>
              <w:tc>
                <w:tcPr>
                  <w:tcW w:w="1000" w:type="pct"/>
                  <w:vMerge w:val="continue"/>
                  <w:tcBorders>
                    <w:left w:val="single" w:color="auto" w:sz="4" w:space="0"/>
                    <w:right w:val="single" w:color="auto" w:sz="4" w:space="0"/>
                  </w:tcBorders>
                  <w:vAlign w:val="center"/>
                </w:tcPr>
                <w:p w14:paraId="2B7BE7A5">
                  <w:pPr>
                    <w:adjustRightInd w:val="0"/>
                    <w:jc w:val="center"/>
                    <w:rPr>
                      <w:bCs/>
                      <w:szCs w:val="21"/>
                      <w:u w:val="single"/>
                      <w:lang w:eastAsia="en-US" w:bidi="ar"/>
                    </w:rPr>
                  </w:pPr>
                </w:p>
              </w:tc>
              <w:tc>
                <w:tcPr>
                  <w:tcW w:w="1000" w:type="pct"/>
                  <w:tcBorders>
                    <w:top w:val="single" w:color="auto" w:sz="4" w:space="0"/>
                    <w:left w:val="single" w:color="auto" w:sz="4" w:space="0"/>
                    <w:bottom w:val="single" w:color="auto" w:sz="4" w:space="0"/>
                    <w:right w:val="single" w:color="auto" w:sz="4" w:space="0"/>
                  </w:tcBorders>
                  <w:vAlign w:val="center"/>
                </w:tcPr>
                <w:p w14:paraId="7ECE1C54">
                  <w:pPr>
                    <w:adjustRightInd w:val="0"/>
                    <w:jc w:val="center"/>
                    <w:rPr>
                      <w:bCs/>
                      <w:szCs w:val="21"/>
                      <w:u w:val="single"/>
                      <w:lang w:eastAsia="en-US" w:bidi="ar"/>
                    </w:rPr>
                  </w:pPr>
                  <w:r>
                    <w:rPr>
                      <w:kern w:val="0"/>
                      <w:szCs w:val="21"/>
                      <w:u w:val="single"/>
                      <w:lang w:bidi="ar"/>
                    </w:rPr>
                    <w:t>350</w:t>
                  </w:r>
                </w:p>
              </w:tc>
              <w:tc>
                <w:tcPr>
                  <w:tcW w:w="1699" w:type="dxa"/>
                  <w:tcBorders>
                    <w:top w:val="single" w:color="auto" w:sz="4" w:space="0"/>
                    <w:left w:val="single" w:color="auto" w:sz="4" w:space="0"/>
                    <w:bottom w:val="single" w:color="auto" w:sz="4" w:space="0"/>
                    <w:right w:val="single" w:color="auto" w:sz="12" w:space="0"/>
                  </w:tcBorders>
                  <w:vAlign w:val="center"/>
                </w:tcPr>
                <w:p w14:paraId="5CC91C32">
                  <w:pPr>
                    <w:widowControl/>
                    <w:jc w:val="center"/>
                    <w:textAlignment w:val="center"/>
                    <w:rPr>
                      <w:color w:val="000000"/>
                      <w:kern w:val="0"/>
                      <w:szCs w:val="21"/>
                      <w:u w:val="single"/>
                    </w:rPr>
                  </w:pPr>
                  <w:r>
                    <w:rPr>
                      <w:color w:val="000000"/>
                      <w:kern w:val="0"/>
                      <w:szCs w:val="21"/>
                      <w:lang w:bidi="ar"/>
                    </w:rPr>
                    <w:t xml:space="preserve">0.672 </w:t>
                  </w:r>
                </w:p>
              </w:tc>
            </w:tr>
            <w:tr w14:paraId="3066E2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tcBorders>
                    <w:left w:val="single" w:color="auto" w:sz="12" w:space="0"/>
                    <w:right w:val="single" w:color="auto" w:sz="4" w:space="0"/>
                  </w:tcBorders>
                  <w:vAlign w:val="center"/>
                </w:tcPr>
                <w:p w14:paraId="54DC3E50">
                  <w:pPr>
                    <w:adjustRightInd w:val="0"/>
                    <w:jc w:val="center"/>
                    <w:rPr>
                      <w:bCs/>
                      <w:szCs w:val="21"/>
                      <w:u w:val="single"/>
                      <w:lang w:eastAsia="en-US" w:bidi="ar"/>
                    </w:rPr>
                  </w:pPr>
                </w:p>
              </w:tc>
              <w:tc>
                <w:tcPr>
                  <w:tcW w:w="999" w:type="pct"/>
                  <w:tcBorders>
                    <w:top w:val="single" w:color="auto" w:sz="4" w:space="0"/>
                    <w:left w:val="single" w:color="auto" w:sz="4" w:space="0"/>
                    <w:bottom w:val="single" w:color="auto" w:sz="4" w:space="0"/>
                    <w:right w:val="single" w:color="auto" w:sz="4" w:space="0"/>
                  </w:tcBorders>
                  <w:vAlign w:val="center"/>
                </w:tcPr>
                <w:p w14:paraId="38227CC3">
                  <w:pPr>
                    <w:adjustRightInd w:val="0"/>
                    <w:jc w:val="center"/>
                    <w:rPr>
                      <w:bCs/>
                      <w:szCs w:val="21"/>
                      <w:u w:val="single"/>
                      <w:lang w:eastAsia="en-US" w:bidi="ar"/>
                    </w:rPr>
                  </w:pPr>
                  <w:r>
                    <w:rPr>
                      <w:kern w:val="0"/>
                      <w:szCs w:val="21"/>
                      <w:u w:val="single"/>
                      <w:lang w:bidi="ar"/>
                    </w:rPr>
                    <w:t>氨氮</w:t>
                  </w:r>
                </w:p>
              </w:tc>
              <w:tc>
                <w:tcPr>
                  <w:tcW w:w="1000" w:type="pct"/>
                  <w:vMerge w:val="continue"/>
                  <w:tcBorders>
                    <w:left w:val="single" w:color="auto" w:sz="4" w:space="0"/>
                    <w:right w:val="single" w:color="auto" w:sz="4" w:space="0"/>
                  </w:tcBorders>
                  <w:vAlign w:val="center"/>
                </w:tcPr>
                <w:p w14:paraId="5B89D781">
                  <w:pPr>
                    <w:adjustRightInd w:val="0"/>
                    <w:jc w:val="center"/>
                    <w:rPr>
                      <w:bCs/>
                      <w:szCs w:val="21"/>
                      <w:u w:val="single"/>
                      <w:lang w:eastAsia="en-US" w:bidi="ar"/>
                    </w:rPr>
                  </w:pPr>
                </w:p>
              </w:tc>
              <w:tc>
                <w:tcPr>
                  <w:tcW w:w="1000" w:type="pct"/>
                  <w:tcBorders>
                    <w:top w:val="single" w:color="auto" w:sz="4" w:space="0"/>
                    <w:left w:val="single" w:color="auto" w:sz="4" w:space="0"/>
                    <w:bottom w:val="single" w:color="auto" w:sz="4" w:space="0"/>
                    <w:right w:val="single" w:color="auto" w:sz="4" w:space="0"/>
                  </w:tcBorders>
                  <w:vAlign w:val="center"/>
                </w:tcPr>
                <w:p w14:paraId="5151000E">
                  <w:pPr>
                    <w:adjustRightInd w:val="0"/>
                    <w:jc w:val="center"/>
                    <w:rPr>
                      <w:bCs/>
                      <w:szCs w:val="21"/>
                      <w:u w:val="single"/>
                      <w:lang w:eastAsia="en-US" w:bidi="ar"/>
                    </w:rPr>
                  </w:pPr>
                  <w:r>
                    <w:rPr>
                      <w:kern w:val="0"/>
                      <w:szCs w:val="21"/>
                      <w:u w:val="single"/>
                      <w:lang w:bidi="ar"/>
                    </w:rPr>
                    <w:t>40</w:t>
                  </w:r>
                </w:p>
              </w:tc>
              <w:tc>
                <w:tcPr>
                  <w:tcW w:w="1699" w:type="dxa"/>
                  <w:tcBorders>
                    <w:top w:val="single" w:color="auto" w:sz="4" w:space="0"/>
                    <w:left w:val="single" w:color="auto" w:sz="4" w:space="0"/>
                    <w:bottom w:val="single" w:color="auto" w:sz="4" w:space="0"/>
                    <w:right w:val="single" w:color="auto" w:sz="12" w:space="0"/>
                  </w:tcBorders>
                  <w:vAlign w:val="center"/>
                </w:tcPr>
                <w:p w14:paraId="5F20215A">
                  <w:pPr>
                    <w:widowControl/>
                    <w:jc w:val="center"/>
                    <w:textAlignment w:val="center"/>
                    <w:rPr>
                      <w:color w:val="000000"/>
                      <w:szCs w:val="21"/>
                      <w:u w:val="single"/>
                    </w:rPr>
                  </w:pPr>
                  <w:r>
                    <w:rPr>
                      <w:color w:val="000000"/>
                      <w:kern w:val="0"/>
                      <w:szCs w:val="21"/>
                      <w:lang w:bidi="ar"/>
                    </w:rPr>
                    <w:t xml:space="preserve">0.077 </w:t>
                  </w:r>
                </w:p>
              </w:tc>
            </w:tr>
            <w:tr w14:paraId="1A98C2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tcBorders>
                    <w:left w:val="single" w:color="auto" w:sz="12" w:space="0"/>
                    <w:right w:val="single" w:color="auto" w:sz="4" w:space="0"/>
                  </w:tcBorders>
                  <w:vAlign w:val="center"/>
                </w:tcPr>
                <w:p w14:paraId="7E4BB693">
                  <w:pPr>
                    <w:adjustRightInd w:val="0"/>
                    <w:jc w:val="center"/>
                    <w:rPr>
                      <w:bCs/>
                      <w:szCs w:val="21"/>
                      <w:u w:val="single"/>
                      <w:lang w:eastAsia="en-US" w:bidi="ar"/>
                    </w:rPr>
                  </w:pPr>
                </w:p>
              </w:tc>
              <w:tc>
                <w:tcPr>
                  <w:tcW w:w="999" w:type="pct"/>
                  <w:tcBorders>
                    <w:top w:val="single" w:color="auto" w:sz="4" w:space="0"/>
                    <w:left w:val="single" w:color="auto" w:sz="4" w:space="0"/>
                    <w:bottom w:val="single" w:color="auto" w:sz="4" w:space="0"/>
                    <w:right w:val="single" w:color="auto" w:sz="4" w:space="0"/>
                  </w:tcBorders>
                  <w:vAlign w:val="center"/>
                </w:tcPr>
                <w:p w14:paraId="7D23F4FD">
                  <w:pPr>
                    <w:adjustRightInd w:val="0"/>
                    <w:jc w:val="center"/>
                    <w:rPr>
                      <w:bCs/>
                      <w:szCs w:val="21"/>
                      <w:u w:val="single"/>
                      <w:lang w:eastAsia="en-US" w:bidi="ar"/>
                    </w:rPr>
                  </w:pPr>
                  <w:r>
                    <w:rPr>
                      <w:kern w:val="0"/>
                      <w:szCs w:val="21"/>
                      <w:u w:val="single"/>
                      <w:lang w:bidi="ar"/>
                    </w:rPr>
                    <w:t>总氮</w:t>
                  </w:r>
                </w:p>
              </w:tc>
              <w:tc>
                <w:tcPr>
                  <w:tcW w:w="1000" w:type="pct"/>
                  <w:vMerge w:val="continue"/>
                  <w:tcBorders>
                    <w:left w:val="single" w:color="auto" w:sz="4" w:space="0"/>
                    <w:right w:val="single" w:color="auto" w:sz="4" w:space="0"/>
                  </w:tcBorders>
                  <w:vAlign w:val="center"/>
                </w:tcPr>
                <w:p w14:paraId="6D613FBA">
                  <w:pPr>
                    <w:adjustRightInd w:val="0"/>
                    <w:jc w:val="center"/>
                    <w:rPr>
                      <w:bCs/>
                      <w:szCs w:val="21"/>
                      <w:u w:val="single"/>
                      <w:lang w:eastAsia="en-US" w:bidi="ar"/>
                    </w:rPr>
                  </w:pPr>
                </w:p>
              </w:tc>
              <w:tc>
                <w:tcPr>
                  <w:tcW w:w="1000" w:type="pct"/>
                  <w:tcBorders>
                    <w:top w:val="single" w:color="auto" w:sz="4" w:space="0"/>
                    <w:left w:val="single" w:color="auto" w:sz="4" w:space="0"/>
                    <w:bottom w:val="single" w:color="auto" w:sz="4" w:space="0"/>
                    <w:right w:val="single" w:color="auto" w:sz="4" w:space="0"/>
                  </w:tcBorders>
                  <w:vAlign w:val="center"/>
                </w:tcPr>
                <w:p w14:paraId="63C55A86">
                  <w:pPr>
                    <w:adjustRightInd w:val="0"/>
                    <w:jc w:val="center"/>
                    <w:rPr>
                      <w:bCs/>
                      <w:szCs w:val="21"/>
                      <w:u w:val="single"/>
                      <w:lang w:eastAsia="en-US" w:bidi="ar"/>
                    </w:rPr>
                  </w:pPr>
                  <w:r>
                    <w:rPr>
                      <w:kern w:val="0"/>
                      <w:szCs w:val="21"/>
                      <w:u w:val="single"/>
                      <w:lang w:bidi="ar"/>
                    </w:rPr>
                    <w:t>60</w:t>
                  </w:r>
                </w:p>
              </w:tc>
              <w:tc>
                <w:tcPr>
                  <w:tcW w:w="1699" w:type="dxa"/>
                  <w:tcBorders>
                    <w:top w:val="single" w:color="auto" w:sz="4" w:space="0"/>
                    <w:left w:val="single" w:color="auto" w:sz="4" w:space="0"/>
                    <w:bottom w:val="single" w:color="auto" w:sz="4" w:space="0"/>
                    <w:right w:val="single" w:color="auto" w:sz="12" w:space="0"/>
                  </w:tcBorders>
                  <w:vAlign w:val="center"/>
                </w:tcPr>
                <w:p w14:paraId="33B76674">
                  <w:pPr>
                    <w:widowControl/>
                    <w:jc w:val="center"/>
                    <w:textAlignment w:val="center"/>
                    <w:rPr>
                      <w:color w:val="000000"/>
                      <w:szCs w:val="21"/>
                      <w:u w:val="single"/>
                    </w:rPr>
                  </w:pPr>
                  <w:r>
                    <w:rPr>
                      <w:color w:val="000000"/>
                      <w:kern w:val="0"/>
                      <w:szCs w:val="21"/>
                      <w:lang w:bidi="ar"/>
                    </w:rPr>
                    <w:t xml:space="preserve">0.115 </w:t>
                  </w:r>
                </w:p>
              </w:tc>
            </w:tr>
            <w:tr w14:paraId="383A5F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tcBorders>
                    <w:left w:val="single" w:color="auto" w:sz="12" w:space="0"/>
                    <w:right w:val="single" w:color="auto" w:sz="4" w:space="0"/>
                  </w:tcBorders>
                  <w:vAlign w:val="center"/>
                </w:tcPr>
                <w:p w14:paraId="458FCEB3">
                  <w:pPr>
                    <w:adjustRightInd w:val="0"/>
                    <w:jc w:val="center"/>
                    <w:rPr>
                      <w:bCs/>
                      <w:szCs w:val="21"/>
                      <w:u w:val="single"/>
                      <w:lang w:eastAsia="en-US" w:bidi="ar"/>
                    </w:rPr>
                  </w:pPr>
                </w:p>
              </w:tc>
              <w:tc>
                <w:tcPr>
                  <w:tcW w:w="999" w:type="pct"/>
                  <w:tcBorders>
                    <w:top w:val="single" w:color="auto" w:sz="4" w:space="0"/>
                    <w:left w:val="single" w:color="auto" w:sz="4" w:space="0"/>
                    <w:bottom w:val="single" w:color="auto" w:sz="4" w:space="0"/>
                    <w:right w:val="single" w:color="auto" w:sz="4" w:space="0"/>
                  </w:tcBorders>
                  <w:vAlign w:val="center"/>
                </w:tcPr>
                <w:p w14:paraId="6C64FE41">
                  <w:pPr>
                    <w:adjustRightInd w:val="0"/>
                    <w:jc w:val="center"/>
                    <w:rPr>
                      <w:bCs/>
                      <w:szCs w:val="21"/>
                      <w:u w:val="single"/>
                      <w:lang w:eastAsia="en-US" w:bidi="ar"/>
                    </w:rPr>
                  </w:pPr>
                  <w:r>
                    <w:rPr>
                      <w:kern w:val="0"/>
                      <w:szCs w:val="21"/>
                      <w:u w:val="single"/>
                      <w:lang w:bidi="ar"/>
                    </w:rPr>
                    <w:t>总磷</w:t>
                  </w:r>
                </w:p>
              </w:tc>
              <w:tc>
                <w:tcPr>
                  <w:tcW w:w="1000" w:type="pct"/>
                  <w:vMerge w:val="continue"/>
                  <w:tcBorders>
                    <w:left w:val="single" w:color="auto" w:sz="4" w:space="0"/>
                    <w:right w:val="single" w:color="auto" w:sz="4" w:space="0"/>
                  </w:tcBorders>
                  <w:vAlign w:val="center"/>
                </w:tcPr>
                <w:p w14:paraId="40839802">
                  <w:pPr>
                    <w:adjustRightInd w:val="0"/>
                    <w:jc w:val="center"/>
                    <w:rPr>
                      <w:bCs/>
                      <w:szCs w:val="21"/>
                      <w:u w:val="single"/>
                      <w:lang w:eastAsia="en-US" w:bidi="ar"/>
                    </w:rPr>
                  </w:pPr>
                </w:p>
              </w:tc>
              <w:tc>
                <w:tcPr>
                  <w:tcW w:w="1000" w:type="pct"/>
                  <w:tcBorders>
                    <w:top w:val="single" w:color="auto" w:sz="4" w:space="0"/>
                    <w:left w:val="single" w:color="auto" w:sz="4" w:space="0"/>
                    <w:bottom w:val="single" w:color="auto" w:sz="4" w:space="0"/>
                    <w:right w:val="single" w:color="auto" w:sz="4" w:space="0"/>
                  </w:tcBorders>
                  <w:vAlign w:val="center"/>
                </w:tcPr>
                <w:p w14:paraId="441B81DA">
                  <w:pPr>
                    <w:adjustRightInd w:val="0"/>
                    <w:jc w:val="center"/>
                    <w:rPr>
                      <w:bCs/>
                      <w:szCs w:val="21"/>
                      <w:u w:val="single"/>
                      <w:lang w:eastAsia="en-US" w:bidi="ar"/>
                    </w:rPr>
                  </w:pPr>
                  <w:r>
                    <w:rPr>
                      <w:kern w:val="0"/>
                      <w:szCs w:val="21"/>
                      <w:u w:val="single"/>
                      <w:lang w:bidi="ar"/>
                    </w:rPr>
                    <w:t>5</w:t>
                  </w:r>
                </w:p>
              </w:tc>
              <w:tc>
                <w:tcPr>
                  <w:tcW w:w="1699" w:type="dxa"/>
                  <w:tcBorders>
                    <w:top w:val="single" w:color="auto" w:sz="4" w:space="0"/>
                    <w:left w:val="single" w:color="auto" w:sz="4" w:space="0"/>
                    <w:bottom w:val="single" w:color="auto" w:sz="4" w:space="0"/>
                    <w:right w:val="single" w:color="auto" w:sz="12" w:space="0"/>
                  </w:tcBorders>
                  <w:vAlign w:val="center"/>
                </w:tcPr>
                <w:p w14:paraId="66157E2F">
                  <w:pPr>
                    <w:widowControl/>
                    <w:jc w:val="center"/>
                    <w:textAlignment w:val="center"/>
                    <w:rPr>
                      <w:color w:val="000000"/>
                      <w:szCs w:val="21"/>
                      <w:u w:val="single"/>
                    </w:rPr>
                  </w:pPr>
                  <w:r>
                    <w:rPr>
                      <w:color w:val="000000"/>
                      <w:kern w:val="0"/>
                      <w:szCs w:val="21"/>
                      <w:lang w:bidi="ar"/>
                    </w:rPr>
                    <w:t xml:space="preserve">0.010 </w:t>
                  </w:r>
                </w:p>
              </w:tc>
            </w:tr>
            <w:tr w14:paraId="31E121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tcBorders>
                    <w:left w:val="single" w:color="auto" w:sz="12" w:space="0"/>
                    <w:right w:val="single" w:color="auto" w:sz="4" w:space="0"/>
                  </w:tcBorders>
                  <w:vAlign w:val="center"/>
                </w:tcPr>
                <w:p w14:paraId="505EBDC9">
                  <w:pPr>
                    <w:adjustRightInd w:val="0"/>
                    <w:jc w:val="center"/>
                    <w:rPr>
                      <w:bCs/>
                      <w:szCs w:val="21"/>
                      <w:u w:val="single"/>
                      <w:lang w:eastAsia="en-US" w:bidi="ar"/>
                    </w:rPr>
                  </w:pPr>
                </w:p>
              </w:tc>
              <w:tc>
                <w:tcPr>
                  <w:tcW w:w="999" w:type="pct"/>
                  <w:tcBorders>
                    <w:top w:val="single" w:color="auto" w:sz="4" w:space="0"/>
                    <w:left w:val="single" w:color="auto" w:sz="4" w:space="0"/>
                    <w:bottom w:val="single" w:color="auto" w:sz="4" w:space="0"/>
                    <w:right w:val="single" w:color="auto" w:sz="4" w:space="0"/>
                  </w:tcBorders>
                  <w:vAlign w:val="center"/>
                </w:tcPr>
                <w:p w14:paraId="4F9AAB2F">
                  <w:pPr>
                    <w:adjustRightInd w:val="0"/>
                    <w:jc w:val="center"/>
                    <w:rPr>
                      <w:bCs/>
                      <w:szCs w:val="21"/>
                      <w:u w:val="single"/>
                      <w:lang w:eastAsia="en-US" w:bidi="ar"/>
                    </w:rPr>
                  </w:pPr>
                  <w:r>
                    <w:rPr>
                      <w:kern w:val="0"/>
                      <w:szCs w:val="21"/>
                      <w:u w:val="single"/>
                      <w:lang w:bidi="ar"/>
                    </w:rPr>
                    <w:t>SS</w:t>
                  </w:r>
                </w:p>
              </w:tc>
              <w:tc>
                <w:tcPr>
                  <w:tcW w:w="1000" w:type="pct"/>
                  <w:vMerge w:val="continue"/>
                  <w:tcBorders>
                    <w:left w:val="single" w:color="auto" w:sz="4" w:space="0"/>
                    <w:right w:val="single" w:color="auto" w:sz="4" w:space="0"/>
                  </w:tcBorders>
                  <w:vAlign w:val="center"/>
                </w:tcPr>
                <w:p w14:paraId="26F00DD0">
                  <w:pPr>
                    <w:adjustRightInd w:val="0"/>
                    <w:jc w:val="center"/>
                    <w:rPr>
                      <w:bCs/>
                      <w:szCs w:val="21"/>
                      <w:u w:val="single"/>
                      <w:lang w:eastAsia="en-US" w:bidi="ar"/>
                    </w:rPr>
                  </w:pPr>
                </w:p>
              </w:tc>
              <w:tc>
                <w:tcPr>
                  <w:tcW w:w="1000" w:type="pct"/>
                  <w:tcBorders>
                    <w:top w:val="single" w:color="auto" w:sz="4" w:space="0"/>
                    <w:left w:val="single" w:color="auto" w:sz="4" w:space="0"/>
                    <w:bottom w:val="single" w:color="auto" w:sz="4" w:space="0"/>
                    <w:right w:val="single" w:color="auto" w:sz="4" w:space="0"/>
                  </w:tcBorders>
                  <w:vAlign w:val="center"/>
                </w:tcPr>
                <w:p w14:paraId="022CDE2E">
                  <w:pPr>
                    <w:adjustRightInd w:val="0"/>
                    <w:jc w:val="center"/>
                    <w:rPr>
                      <w:bCs/>
                      <w:szCs w:val="21"/>
                      <w:u w:val="single"/>
                      <w:lang w:eastAsia="en-US" w:bidi="ar"/>
                    </w:rPr>
                  </w:pPr>
                  <w:r>
                    <w:rPr>
                      <w:kern w:val="0"/>
                      <w:szCs w:val="21"/>
                      <w:u w:val="single"/>
                      <w:lang w:bidi="ar"/>
                    </w:rPr>
                    <w:t>300</w:t>
                  </w:r>
                </w:p>
              </w:tc>
              <w:tc>
                <w:tcPr>
                  <w:tcW w:w="1699" w:type="dxa"/>
                  <w:tcBorders>
                    <w:top w:val="single" w:color="auto" w:sz="4" w:space="0"/>
                    <w:left w:val="single" w:color="auto" w:sz="4" w:space="0"/>
                    <w:bottom w:val="single" w:color="auto" w:sz="4" w:space="0"/>
                    <w:right w:val="single" w:color="auto" w:sz="12" w:space="0"/>
                  </w:tcBorders>
                  <w:vAlign w:val="center"/>
                </w:tcPr>
                <w:p w14:paraId="30466BB4">
                  <w:pPr>
                    <w:widowControl/>
                    <w:jc w:val="center"/>
                    <w:textAlignment w:val="center"/>
                    <w:rPr>
                      <w:color w:val="000000"/>
                      <w:szCs w:val="21"/>
                      <w:u w:val="single"/>
                    </w:rPr>
                  </w:pPr>
                  <w:r>
                    <w:rPr>
                      <w:color w:val="000000"/>
                      <w:kern w:val="0"/>
                      <w:szCs w:val="21"/>
                      <w:lang w:bidi="ar"/>
                    </w:rPr>
                    <w:t xml:space="preserve">0.576 </w:t>
                  </w:r>
                </w:p>
              </w:tc>
            </w:tr>
            <w:tr w14:paraId="4BEE5A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tcBorders>
                    <w:left w:val="single" w:color="auto" w:sz="12" w:space="0"/>
                    <w:right w:val="single" w:color="auto" w:sz="4" w:space="0"/>
                  </w:tcBorders>
                  <w:vAlign w:val="center"/>
                </w:tcPr>
                <w:p w14:paraId="61DA3BBD">
                  <w:pPr>
                    <w:adjustRightInd w:val="0"/>
                    <w:jc w:val="center"/>
                    <w:rPr>
                      <w:bCs/>
                      <w:szCs w:val="21"/>
                      <w:u w:val="single"/>
                      <w:lang w:eastAsia="en-US" w:bidi="ar"/>
                    </w:rPr>
                  </w:pPr>
                </w:p>
              </w:tc>
              <w:tc>
                <w:tcPr>
                  <w:tcW w:w="999" w:type="pct"/>
                  <w:tcBorders>
                    <w:top w:val="single" w:color="auto" w:sz="4" w:space="0"/>
                    <w:left w:val="single" w:color="auto" w:sz="4" w:space="0"/>
                    <w:bottom w:val="single" w:color="auto" w:sz="4" w:space="0"/>
                    <w:right w:val="single" w:color="auto" w:sz="4" w:space="0"/>
                  </w:tcBorders>
                  <w:vAlign w:val="center"/>
                </w:tcPr>
                <w:p w14:paraId="51463080">
                  <w:pPr>
                    <w:adjustRightInd w:val="0"/>
                    <w:jc w:val="center"/>
                    <w:rPr>
                      <w:bCs/>
                      <w:szCs w:val="21"/>
                      <w:u w:val="single"/>
                      <w:lang w:eastAsia="en-US" w:bidi="ar"/>
                    </w:rPr>
                  </w:pPr>
                  <w:r>
                    <w:rPr>
                      <w:kern w:val="0"/>
                      <w:szCs w:val="21"/>
                      <w:u w:val="single"/>
                      <w:lang w:bidi="ar"/>
                    </w:rPr>
                    <w:t>BOD</w:t>
                  </w:r>
                </w:p>
              </w:tc>
              <w:tc>
                <w:tcPr>
                  <w:tcW w:w="1000" w:type="pct"/>
                  <w:vMerge w:val="continue"/>
                  <w:tcBorders>
                    <w:left w:val="single" w:color="auto" w:sz="4" w:space="0"/>
                    <w:right w:val="single" w:color="auto" w:sz="4" w:space="0"/>
                  </w:tcBorders>
                  <w:vAlign w:val="center"/>
                </w:tcPr>
                <w:p w14:paraId="3BF59072">
                  <w:pPr>
                    <w:adjustRightInd w:val="0"/>
                    <w:jc w:val="center"/>
                    <w:rPr>
                      <w:bCs/>
                      <w:szCs w:val="21"/>
                      <w:u w:val="single"/>
                      <w:lang w:eastAsia="en-US" w:bidi="ar"/>
                    </w:rPr>
                  </w:pPr>
                </w:p>
              </w:tc>
              <w:tc>
                <w:tcPr>
                  <w:tcW w:w="1000" w:type="pct"/>
                  <w:tcBorders>
                    <w:top w:val="single" w:color="auto" w:sz="4" w:space="0"/>
                    <w:left w:val="single" w:color="auto" w:sz="4" w:space="0"/>
                    <w:bottom w:val="single" w:color="auto" w:sz="4" w:space="0"/>
                    <w:right w:val="single" w:color="auto" w:sz="4" w:space="0"/>
                  </w:tcBorders>
                  <w:vAlign w:val="center"/>
                </w:tcPr>
                <w:p w14:paraId="3ACF754E">
                  <w:pPr>
                    <w:adjustRightInd w:val="0"/>
                    <w:jc w:val="center"/>
                    <w:rPr>
                      <w:bCs/>
                      <w:szCs w:val="21"/>
                      <w:u w:val="single"/>
                      <w:lang w:eastAsia="en-US" w:bidi="ar"/>
                    </w:rPr>
                  </w:pPr>
                  <w:r>
                    <w:rPr>
                      <w:kern w:val="0"/>
                      <w:szCs w:val="21"/>
                      <w:u w:val="single"/>
                      <w:lang w:bidi="ar"/>
                    </w:rPr>
                    <w:t>250</w:t>
                  </w:r>
                </w:p>
              </w:tc>
              <w:tc>
                <w:tcPr>
                  <w:tcW w:w="1699" w:type="dxa"/>
                  <w:tcBorders>
                    <w:top w:val="single" w:color="auto" w:sz="4" w:space="0"/>
                    <w:left w:val="single" w:color="auto" w:sz="4" w:space="0"/>
                    <w:bottom w:val="single" w:color="auto" w:sz="4" w:space="0"/>
                    <w:right w:val="single" w:color="auto" w:sz="12" w:space="0"/>
                  </w:tcBorders>
                  <w:vAlign w:val="center"/>
                </w:tcPr>
                <w:p w14:paraId="7D4EF456">
                  <w:pPr>
                    <w:widowControl/>
                    <w:jc w:val="center"/>
                    <w:textAlignment w:val="center"/>
                    <w:rPr>
                      <w:color w:val="000000"/>
                      <w:szCs w:val="21"/>
                      <w:u w:val="single"/>
                    </w:rPr>
                  </w:pPr>
                  <w:r>
                    <w:rPr>
                      <w:color w:val="000000"/>
                      <w:kern w:val="0"/>
                      <w:szCs w:val="21"/>
                      <w:lang w:bidi="ar"/>
                    </w:rPr>
                    <w:t xml:space="preserve">0.480 </w:t>
                  </w:r>
                </w:p>
              </w:tc>
            </w:tr>
            <w:tr w14:paraId="24FB65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tcBorders>
                    <w:left w:val="single" w:color="auto" w:sz="12" w:space="0"/>
                    <w:right w:val="single" w:color="auto" w:sz="4" w:space="0"/>
                  </w:tcBorders>
                  <w:vAlign w:val="center"/>
                </w:tcPr>
                <w:p w14:paraId="61C32CA9">
                  <w:pPr>
                    <w:adjustRightInd w:val="0"/>
                    <w:jc w:val="center"/>
                    <w:rPr>
                      <w:bCs/>
                      <w:szCs w:val="21"/>
                      <w:u w:val="single"/>
                      <w:lang w:eastAsia="en-US" w:bidi="ar"/>
                    </w:rPr>
                  </w:pPr>
                </w:p>
              </w:tc>
              <w:tc>
                <w:tcPr>
                  <w:tcW w:w="999" w:type="pct"/>
                  <w:tcBorders>
                    <w:top w:val="single" w:color="auto" w:sz="4" w:space="0"/>
                    <w:left w:val="single" w:color="auto" w:sz="4" w:space="0"/>
                    <w:bottom w:val="single" w:color="auto" w:sz="4" w:space="0"/>
                    <w:right w:val="single" w:color="auto" w:sz="4" w:space="0"/>
                  </w:tcBorders>
                  <w:vAlign w:val="center"/>
                </w:tcPr>
                <w:p w14:paraId="082637C8">
                  <w:pPr>
                    <w:adjustRightInd w:val="0"/>
                    <w:jc w:val="center"/>
                    <w:rPr>
                      <w:bCs/>
                      <w:szCs w:val="21"/>
                      <w:u w:val="single"/>
                      <w:lang w:eastAsia="en-US" w:bidi="ar"/>
                    </w:rPr>
                  </w:pPr>
                  <w:r>
                    <w:rPr>
                      <w:kern w:val="0"/>
                      <w:szCs w:val="21"/>
                      <w:u w:val="single"/>
                      <w:lang w:bidi="ar"/>
                    </w:rPr>
                    <w:t>动植物油</w:t>
                  </w:r>
                </w:p>
              </w:tc>
              <w:tc>
                <w:tcPr>
                  <w:tcW w:w="1000" w:type="pct"/>
                  <w:vMerge w:val="continue"/>
                  <w:tcBorders>
                    <w:left w:val="single" w:color="auto" w:sz="4" w:space="0"/>
                    <w:bottom w:val="single" w:color="auto" w:sz="4" w:space="0"/>
                    <w:right w:val="single" w:color="auto" w:sz="4" w:space="0"/>
                  </w:tcBorders>
                  <w:vAlign w:val="center"/>
                </w:tcPr>
                <w:p w14:paraId="22939D14">
                  <w:pPr>
                    <w:adjustRightInd w:val="0"/>
                    <w:jc w:val="center"/>
                    <w:rPr>
                      <w:bCs/>
                      <w:szCs w:val="21"/>
                      <w:u w:val="single"/>
                      <w:lang w:eastAsia="en-US" w:bidi="ar"/>
                    </w:rPr>
                  </w:pPr>
                </w:p>
              </w:tc>
              <w:tc>
                <w:tcPr>
                  <w:tcW w:w="1000" w:type="pct"/>
                  <w:tcBorders>
                    <w:top w:val="single" w:color="auto" w:sz="4" w:space="0"/>
                    <w:left w:val="single" w:color="auto" w:sz="4" w:space="0"/>
                    <w:bottom w:val="single" w:color="auto" w:sz="4" w:space="0"/>
                    <w:right w:val="single" w:color="auto" w:sz="4" w:space="0"/>
                  </w:tcBorders>
                  <w:vAlign w:val="center"/>
                </w:tcPr>
                <w:p w14:paraId="7E2B602A">
                  <w:pPr>
                    <w:adjustRightInd w:val="0"/>
                    <w:jc w:val="center"/>
                    <w:rPr>
                      <w:bCs/>
                      <w:szCs w:val="21"/>
                      <w:u w:val="single"/>
                      <w:lang w:eastAsia="en-US" w:bidi="ar"/>
                    </w:rPr>
                  </w:pPr>
                  <w:r>
                    <w:rPr>
                      <w:kern w:val="0"/>
                      <w:szCs w:val="21"/>
                      <w:u w:val="single"/>
                      <w:lang w:bidi="ar"/>
                    </w:rPr>
                    <w:t>50</w:t>
                  </w:r>
                </w:p>
              </w:tc>
              <w:tc>
                <w:tcPr>
                  <w:tcW w:w="1699" w:type="dxa"/>
                  <w:tcBorders>
                    <w:top w:val="single" w:color="auto" w:sz="4" w:space="0"/>
                    <w:left w:val="single" w:color="auto" w:sz="4" w:space="0"/>
                    <w:bottom w:val="single" w:color="auto" w:sz="4" w:space="0"/>
                    <w:right w:val="single" w:color="auto" w:sz="12" w:space="0"/>
                  </w:tcBorders>
                  <w:vAlign w:val="center"/>
                </w:tcPr>
                <w:p w14:paraId="5B844293">
                  <w:pPr>
                    <w:widowControl/>
                    <w:jc w:val="center"/>
                    <w:textAlignment w:val="center"/>
                    <w:rPr>
                      <w:color w:val="000000"/>
                      <w:szCs w:val="21"/>
                      <w:u w:val="single"/>
                    </w:rPr>
                  </w:pPr>
                  <w:r>
                    <w:rPr>
                      <w:color w:val="000000"/>
                      <w:kern w:val="0"/>
                      <w:szCs w:val="21"/>
                      <w:lang w:bidi="ar"/>
                    </w:rPr>
                    <w:t xml:space="preserve">0.096 </w:t>
                  </w:r>
                </w:p>
              </w:tc>
            </w:tr>
            <w:tr w14:paraId="662AB2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restart"/>
                  <w:tcBorders>
                    <w:left w:val="single" w:color="auto" w:sz="12" w:space="0"/>
                    <w:right w:val="single" w:color="auto" w:sz="4" w:space="0"/>
                  </w:tcBorders>
                  <w:vAlign w:val="center"/>
                </w:tcPr>
                <w:p w14:paraId="03906160">
                  <w:pPr>
                    <w:adjustRightInd w:val="0"/>
                    <w:jc w:val="center"/>
                    <w:rPr>
                      <w:bCs/>
                      <w:szCs w:val="21"/>
                      <w:u w:val="single"/>
                      <w:lang w:bidi="ar"/>
                    </w:rPr>
                  </w:pPr>
                  <w:r>
                    <w:rPr>
                      <w:bCs/>
                      <w:szCs w:val="21"/>
                      <w:u w:val="single"/>
                      <w:lang w:bidi="ar"/>
                    </w:rPr>
                    <w:t>锅炉废水</w:t>
                  </w:r>
                </w:p>
              </w:tc>
              <w:tc>
                <w:tcPr>
                  <w:tcW w:w="999" w:type="pct"/>
                  <w:tcBorders>
                    <w:top w:val="single" w:color="auto" w:sz="4" w:space="0"/>
                    <w:left w:val="single" w:color="auto" w:sz="4" w:space="0"/>
                    <w:bottom w:val="single" w:color="auto" w:sz="4" w:space="0"/>
                    <w:right w:val="single" w:color="auto" w:sz="4" w:space="0"/>
                  </w:tcBorders>
                  <w:vAlign w:val="center"/>
                </w:tcPr>
                <w:p w14:paraId="54690AF4">
                  <w:pPr>
                    <w:widowControl/>
                    <w:jc w:val="center"/>
                    <w:textAlignment w:val="center"/>
                    <w:rPr>
                      <w:kern w:val="0"/>
                      <w:szCs w:val="21"/>
                      <w:u w:val="single"/>
                      <w:lang w:bidi="ar"/>
                    </w:rPr>
                  </w:pPr>
                  <w:r>
                    <w:rPr>
                      <w:kern w:val="0"/>
                      <w:szCs w:val="21"/>
                      <w:u w:val="single"/>
                      <w:lang w:bidi="ar"/>
                    </w:rPr>
                    <w:t>pH</w:t>
                  </w:r>
                </w:p>
              </w:tc>
              <w:tc>
                <w:tcPr>
                  <w:tcW w:w="1000" w:type="pct"/>
                  <w:vMerge w:val="restart"/>
                  <w:tcBorders>
                    <w:left w:val="single" w:color="auto" w:sz="4" w:space="0"/>
                    <w:right w:val="single" w:color="auto" w:sz="4" w:space="0"/>
                  </w:tcBorders>
                  <w:vAlign w:val="center"/>
                </w:tcPr>
                <w:p w14:paraId="10CE5972">
                  <w:pPr>
                    <w:adjustRightInd w:val="0"/>
                    <w:jc w:val="center"/>
                    <w:rPr>
                      <w:bCs/>
                      <w:szCs w:val="21"/>
                      <w:u w:val="single"/>
                      <w:lang w:bidi="ar"/>
                    </w:rPr>
                  </w:pPr>
                  <w:r>
                    <w:rPr>
                      <w:bCs/>
                      <w:szCs w:val="21"/>
                      <w:u w:val="single"/>
                      <w:lang w:bidi="ar"/>
                    </w:rPr>
                    <w:t>3888</w:t>
                  </w:r>
                </w:p>
              </w:tc>
              <w:tc>
                <w:tcPr>
                  <w:tcW w:w="1000" w:type="pct"/>
                  <w:tcBorders>
                    <w:top w:val="single" w:color="auto" w:sz="4" w:space="0"/>
                    <w:left w:val="single" w:color="auto" w:sz="4" w:space="0"/>
                    <w:bottom w:val="single" w:color="auto" w:sz="4" w:space="0"/>
                    <w:right w:val="single" w:color="auto" w:sz="4" w:space="0"/>
                  </w:tcBorders>
                  <w:vAlign w:val="center"/>
                </w:tcPr>
                <w:p w14:paraId="280C6D3E">
                  <w:pPr>
                    <w:adjustRightInd w:val="0"/>
                    <w:jc w:val="center"/>
                    <w:rPr>
                      <w:kern w:val="0"/>
                      <w:szCs w:val="21"/>
                      <w:u w:val="single"/>
                      <w:lang w:bidi="ar"/>
                    </w:rPr>
                  </w:pPr>
                  <w:r>
                    <w:rPr>
                      <w:kern w:val="0"/>
                      <w:szCs w:val="21"/>
                      <w:u w:val="single"/>
                      <w:lang w:bidi="ar"/>
                    </w:rPr>
                    <w:t>6-9</w:t>
                  </w:r>
                </w:p>
              </w:tc>
              <w:tc>
                <w:tcPr>
                  <w:tcW w:w="1000" w:type="pct"/>
                  <w:tcBorders>
                    <w:top w:val="single" w:color="auto" w:sz="4" w:space="0"/>
                    <w:left w:val="single" w:color="auto" w:sz="4" w:space="0"/>
                    <w:bottom w:val="single" w:color="auto" w:sz="4" w:space="0"/>
                    <w:right w:val="single" w:color="auto" w:sz="12" w:space="0"/>
                  </w:tcBorders>
                  <w:vAlign w:val="center"/>
                </w:tcPr>
                <w:p w14:paraId="3EB8AA74">
                  <w:pPr>
                    <w:jc w:val="center"/>
                    <w:rPr>
                      <w:szCs w:val="21"/>
                      <w:u w:val="single"/>
                    </w:rPr>
                  </w:pPr>
                  <w:r>
                    <w:rPr>
                      <w:szCs w:val="21"/>
                      <w:u w:val="single"/>
                    </w:rPr>
                    <w:t>/</w:t>
                  </w:r>
                </w:p>
              </w:tc>
            </w:tr>
            <w:tr w14:paraId="71D2EA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tcBorders>
                    <w:left w:val="single" w:color="auto" w:sz="12" w:space="0"/>
                    <w:right w:val="single" w:color="auto" w:sz="4" w:space="0"/>
                  </w:tcBorders>
                  <w:vAlign w:val="center"/>
                </w:tcPr>
                <w:p w14:paraId="5883DC91">
                  <w:pPr>
                    <w:adjustRightInd w:val="0"/>
                    <w:jc w:val="center"/>
                    <w:rPr>
                      <w:bCs/>
                      <w:szCs w:val="21"/>
                      <w:u w:val="single"/>
                      <w:lang w:eastAsia="en-US" w:bidi="ar"/>
                    </w:rPr>
                  </w:pPr>
                </w:p>
              </w:tc>
              <w:tc>
                <w:tcPr>
                  <w:tcW w:w="999" w:type="pct"/>
                  <w:tcBorders>
                    <w:top w:val="single" w:color="auto" w:sz="4" w:space="0"/>
                    <w:left w:val="single" w:color="auto" w:sz="4" w:space="0"/>
                    <w:bottom w:val="single" w:color="auto" w:sz="4" w:space="0"/>
                    <w:right w:val="single" w:color="auto" w:sz="4" w:space="0"/>
                  </w:tcBorders>
                  <w:vAlign w:val="center"/>
                </w:tcPr>
                <w:p w14:paraId="24E276DF">
                  <w:pPr>
                    <w:adjustRightInd w:val="0"/>
                    <w:jc w:val="center"/>
                    <w:rPr>
                      <w:bCs/>
                      <w:szCs w:val="21"/>
                      <w:u w:val="single"/>
                      <w:lang w:eastAsia="en-US" w:bidi="ar"/>
                    </w:rPr>
                  </w:pPr>
                  <w:r>
                    <w:rPr>
                      <w:kern w:val="0"/>
                      <w:szCs w:val="21"/>
                      <w:u w:val="single"/>
                      <w:lang w:bidi="ar"/>
                    </w:rPr>
                    <w:t>COD</w:t>
                  </w:r>
                </w:p>
              </w:tc>
              <w:tc>
                <w:tcPr>
                  <w:tcW w:w="1000" w:type="pct"/>
                  <w:vMerge w:val="continue"/>
                  <w:tcBorders>
                    <w:left w:val="single" w:color="auto" w:sz="4" w:space="0"/>
                    <w:bottom w:val="single" w:color="auto" w:sz="4" w:space="0"/>
                    <w:right w:val="single" w:color="auto" w:sz="4" w:space="0"/>
                  </w:tcBorders>
                  <w:vAlign w:val="center"/>
                </w:tcPr>
                <w:p w14:paraId="4FDA469F">
                  <w:pPr>
                    <w:adjustRightInd w:val="0"/>
                    <w:jc w:val="center"/>
                    <w:rPr>
                      <w:bCs/>
                      <w:szCs w:val="21"/>
                      <w:u w:val="single"/>
                      <w:lang w:eastAsia="en-US" w:bidi="ar"/>
                    </w:rPr>
                  </w:pPr>
                </w:p>
              </w:tc>
              <w:tc>
                <w:tcPr>
                  <w:tcW w:w="1000" w:type="pct"/>
                  <w:tcBorders>
                    <w:top w:val="single" w:color="auto" w:sz="4" w:space="0"/>
                    <w:left w:val="single" w:color="auto" w:sz="4" w:space="0"/>
                    <w:bottom w:val="single" w:color="auto" w:sz="4" w:space="0"/>
                    <w:right w:val="single" w:color="auto" w:sz="4" w:space="0"/>
                  </w:tcBorders>
                  <w:vAlign w:val="center"/>
                </w:tcPr>
                <w:p w14:paraId="4593C5F2">
                  <w:pPr>
                    <w:adjustRightInd w:val="0"/>
                    <w:jc w:val="center"/>
                    <w:rPr>
                      <w:kern w:val="0"/>
                      <w:szCs w:val="21"/>
                      <w:u w:val="single"/>
                      <w:lang w:bidi="ar"/>
                    </w:rPr>
                  </w:pPr>
                  <w:r>
                    <w:rPr>
                      <w:kern w:val="0"/>
                      <w:szCs w:val="21"/>
                      <w:u w:val="single"/>
                      <w:lang w:bidi="ar"/>
                    </w:rPr>
                    <w:t>27.78</w:t>
                  </w:r>
                </w:p>
              </w:tc>
              <w:tc>
                <w:tcPr>
                  <w:tcW w:w="1000" w:type="pct"/>
                  <w:tcBorders>
                    <w:top w:val="single" w:color="auto" w:sz="4" w:space="0"/>
                    <w:left w:val="single" w:color="auto" w:sz="4" w:space="0"/>
                    <w:bottom w:val="single" w:color="auto" w:sz="4" w:space="0"/>
                    <w:right w:val="single" w:color="auto" w:sz="12" w:space="0"/>
                  </w:tcBorders>
                  <w:vAlign w:val="center"/>
                </w:tcPr>
                <w:p w14:paraId="6A549672">
                  <w:pPr>
                    <w:jc w:val="center"/>
                    <w:rPr>
                      <w:szCs w:val="21"/>
                      <w:u w:val="single"/>
                    </w:rPr>
                  </w:pPr>
                  <w:r>
                    <w:rPr>
                      <w:szCs w:val="21"/>
                      <w:u w:val="single"/>
                    </w:rPr>
                    <w:t>0.108</w:t>
                  </w:r>
                </w:p>
              </w:tc>
            </w:tr>
            <w:tr w14:paraId="634C2B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restart"/>
                  <w:tcBorders>
                    <w:top w:val="single" w:color="auto" w:sz="4" w:space="0"/>
                    <w:left w:val="single" w:color="auto" w:sz="12" w:space="0"/>
                    <w:right w:val="single" w:color="auto" w:sz="4" w:space="0"/>
                  </w:tcBorders>
                  <w:vAlign w:val="center"/>
                </w:tcPr>
                <w:p w14:paraId="1117D322">
                  <w:pPr>
                    <w:adjustRightInd w:val="0"/>
                    <w:jc w:val="center"/>
                    <w:rPr>
                      <w:bCs/>
                      <w:szCs w:val="21"/>
                      <w:u w:val="single"/>
                      <w:lang w:eastAsia="en-US"/>
                    </w:rPr>
                  </w:pPr>
                  <w:r>
                    <w:rPr>
                      <w:bCs/>
                      <w:szCs w:val="21"/>
                      <w:u w:val="single"/>
                      <w:lang w:eastAsia="en-US" w:bidi="ar"/>
                    </w:rPr>
                    <w:t>肉制品预处理废水</w:t>
                  </w:r>
                </w:p>
              </w:tc>
              <w:tc>
                <w:tcPr>
                  <w:tcW w:w="999" w:type="pct"/>
                  <w:tcBorders>
                    <w:top w:val="single" w:color="auto" w:sz="4" w:space="0"/>
                    <w:left w:val="single" w:color="auto" w:sz="4" w:space="0"/>
                    <w:bottom w:val="single" w:color="auto" w:sz="4" w:space="0"/>
                    <w:right w:val="single" w:color="auto" w:sz="4" w:space="0"/>
                  </w:tcBorders>
                  <w:vAlign w:val="center"/>
                </w:tcPr>
                <w:p w14:paraId="0215F3E7">
                  <w:pPr>
                    <w:adjustRightInd w:val="0"/>
                    <w:jc w:val="center"/>
                    <w:rPr>
                      <w:bCs/>
                      <w:szCs w:val="21"/>
                      <w:u w:val="single"/>
                      <w:lang w:eastAsia="en-US"/>
                    </w:rPr>
                  </w:pPr>
                  <w:r>
                    <w:rPr>
                      <w:bCs/>
                      <w:szCs w:val="21"/>
                      <w:u w:val="single"/>
                      <w:lang w:eastAsia="en-US" w:bidi="ar"/>
                    </w:rPr>
                    <w:t>pH</w:t>
                  </w:r>
                </w:p>
              </w:tc>
              <w:tc>
                <w:tcPr>
                  <w:tcW w:w="1000" w:type="pct"/>
                  <w:vMerge w:val="restart"/>
                  <w:tcBorders>
                    <w:top w:val="single" w:color="auto" w:sz="4" w:space="0"/>
                    <w:left w:val="single" w:color="auto" w:sz="4" w:space="0"/>
                    <w:right w:val="single" w:color="auto" w:sz="4" w:space="0"/>
                  </w:tcBorders>
                  <w:vAlign w:val="center"/>
                </w:tcPr>
                <w:p w14:paraId="719056E7">
                  <w:pPr>
                    <w:adjustRightInd w:val="0"/>
                    <w:jc w:val="center"/>
                    <w:rPr>
                      <w:bCs/>
                      <w:szCs w:val="21"/>
                      <w:u w:val="single"/>
                    </w:rPr>
                  </w:pPr>
                  <w:r>
                    <w:rPr>
                      <w:rFonts w:hint="eastAsia"/>
                      <w:bCs/>
                      <w:szCs w:val="21"/>
                      <w:u w:val="single"/>
                      <w:lang w:bidi="ar"/>
                    </w:rPr>
                    <w:t>38400</w:t>
                  </w:r>
                </w:p>
              </w:tc>
              <w:tc>
                <w:tcPr>
                  <w:tcW w:w="1000" w:type="pct"/>
                  <w:tcBorders>
                    <w:top w:val="single" w:color="auto" w:sz="4" w:space="0"/>
                    <w:left w:val="single" w:color="auto" w:sz="4" w:space="0"/>
                    <w:bottom w:val="single" w:color="auto" w:sz="4" w:space="0"/>
                    <w:right w:val="single" w:color="auto" w:sz="4" w:space="0"/>
                  </w:tcBorders>
                  <w:vAlign w:val="center"/>
                </w:tcPr>
                <w:p w14:paraId="255345D9">
                  <w:pPr>
                    <w:adjustRightInd w:val="0"/>
                    <w:jc w:val="center"/>
                    <w:rPr>
                      <w:bCs/>
                      <w:szCs w:val="21"/>
                      <w:u w:val="single"/>
                      <w:lang w:eastAsia="en-US"/>
                    </w:rPr>
                  </w:pPr>
                  <w:r>
                    <w:rPr>
                      <w:kern w:val="0"/>
                      <w:szCs w:val="21"/>
                      <w:u w:val="single"/>
                      <w:lang w:bidi="ar"/>
                    </w:rPr>
                    <w:t>6-9</w:t>
                  </w:r>
                </w:p>
              </w:tc>
              <w:tc>
                <w:tcPr>
                  <w:tcW w:w="1000" w:type="pct"/>
                  <w:tcBorders>
                    <w:top w:val="single" w:color="auto" w:sz="4" w:space="0"/>
                    <w:left w:val="single" w:color="auto" w:sz="4" w:space="0"/>
                    <w:bottom w:val="single" w:color="auto" w:sz="4" w:space="0"/>
                    <w:right w:val="single" w:color="auto" w:sz="12" w:space="0"/>
                  </w:tcBorders>
                  <w:vAlign w:val="center"/>
                </w:tcPr>
                <w:p w14:paraId="4806EE24">
                  <w:pPr>
                    <w:jc w:val="center"/>
                    <w:rPr>
                      <w:bCs/>
                      <w:szCs w:val="21"/>
                      <w:u w:val="single"/>
                      <w:lang w:eastAsia="en-US"/>
                    </w:rPr>
                  </w:pPr>
                  <w:r>
                    <w:rPr>
                      <w:bCs/>
                      <w:szCs w:val="21"/>
                      <w:u w:val="single"/>
                      <w:lang w:eastAsia="en-US" w:bidi="ar"/>
                    </w:rPr>
                    <w:t>/</w:t>
                  </w:r>
                </w:p>
              </w:tc>
            </w:tr>
            <w:tr w14:paraId="4F5ACE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tcBorders>
                    <w:left w:val="single" w:color="auto" w:sz="12" w:space="0"/>
                    <w:right w:val="single" w:color="auto" w:sz="4" w:space="0"/>
                  </w:tcBorders>
                  <w:vAlign w:val="center"/>
                </w:tcPr>
                <w:p w14:paraId="1CB10260">
                  <w:pPr>
                    <w:jc w:val="center"/>
                    <w:rPr>
                      <w:snapToGrid w:val="0"/>
                      <w:szCs w:val="21"/>
                      <w:u w:val="single"/>
                      <w:lang w:eastAsia="en-US"/>
                    </w:rPr>
                  </w:pPr>
                </w:p>
              </w:tc>
              <w:tc>
                <w:tcPr>
                  <w:tcW w:w="999" w:type="pct"/>
                  <w:tcBorders>
                    <w:top w:val="single" w:color="auto" w:sz="4" w:space="0"/>
                    <w:left w:val="single" w:color="auto" w:sz="4" w:space="0"/>
                    <w:bottom w:val="single" w:color="auto" w:sz="4" w:space="0"/>
                    <w:right w:val="single" w:color="auto" w:sz="4" w:space="0"/>
                  </w:tcBorders>
                  <w:vAlign w:val="center"/>
                </w:tcPr>
                <w:p w14:paraId="4D0EF90C">
                  <w:pPr>
                    <w:widowControl/>
                    <w:jc w:val="center"/>
                    <w:textAlignment w:val="center"/>
                    <w:rPr>
                      <w:bCs/>
                      <w:szCs w:val="21"/>
                      <w:u w:val="single"/>
                      <w:lang w:eastAsia="en-US"/>
                    </w:rPr>
                  </w:pPr>
                  <w:r>
                    <w:rPr>
                      <w:kern w:val="0"/>
                      <w:szCs w:val="21"/>
                      <w:u w:val="single"/>
                      <w:lang w:eastAsia="en-US" w:bidi="ar"/>
                    </w:rPr>
                    <w:t>COD</w:t>
                  </w:r>
                </w:p>
              </w:tc>
              <w:tc>
                <w:tcPr>
                  <w:tcW w:w="1000" w:type="pct"/>
                  <w:vMerge w:val="continue"/>
                  <w:tcBorders>
                    <w:left w:val="single" w:color="auto" w:sz="4" w:space="0"/>
                    <w:right w:val="single" w:color="auto" w:sz="4" w:space="0"/>
                  </w:tcBorders>
                  <w:vAlign w:val="center"/>
                </w:tcPr>
                <w:p w14:paraId="11517783">
                  <w:pPr>
                    <w:jc w:val="center"/>
                    <w:rPr>
                      <w:snapToGrid w:val="0"/>
                      <w:szCs w:val="21"/>
                      <w:u w:val="single"/>
                      <w:lang w:eastAsia="en-US"/>
                    </w:rPr>
                  </w:pPr>
                </w:p>
              </w:tc>
              <w:tc>
                <w:tcPr>
                  <w:tcW w:w="1000" w:type="pct"/>
                  <w:tcBorders>
                    <w:top w:val="single" w:color="auto" w:sz="4" w:space="0"/>
                    <w:left w:val="single" w:color="auto" w:sz="4" w:space="0"/>
                    <w:bottom w:val="single" w:color="auto" w:sz="4" w:space="0"/>
                    <w:right w:val="single" w:color="auto" w:sz="4" w:space="0"/>
                  </w:tcBorders>
                  <w:vAlign w:val="center"/>
                </w:tcPr>
                <w:p w14:paraId="636AD09A">
                  <w:pPr>
                    <w:widowControl/>
                    <w:jc w:val="center"/>
                    <w:textAlignment w:val="center"/>
                    <w:rPr>
                      <w:color w:val="000000"/>
                      <w:kern w:val="0"/>
                      <w:sz w:val="22"/>
                      <w:u w:val="single"/>
                    </w:rPr>
                  </w:pPr>
                  <w:r>
                    <w:rPr>
                      <w:color w:val="000000"/>
                      <w:kern w:val="0"/>
                      <w:sz w:val="22"/>
                      <w:u w:val="single"/>
                      <w:lang w:bidi="ar"/>
                    </w:rPr>
                    <w:t xml:space="preserve">5906.25 </w:t>
                  </w:r>
                </w:p>
              </w:tc>
              <w:tc>
                <w:tcPr>
                  <w:tcW w:w="1000" w:type="pct"/>
                  <w:tcBorders>
                    <w:top w:val="single" w:color="auto" w:sz="4" w:space="0"/>
                    <w:left w:val="single" w:color="auto" w:sz="4" w:space="0"/>
                    <w:bottom w:val="single" w:color="auto" w:sz="4" w:space="0"/>
                    <w:right w:val="single" w:color="auto" w:sz="12" w:space="0"/>
                  </w:tcBorders>
                  <w:vAlign w:val="center"/>
                </w:tcPr>
                <w:p w14:paraId="4FC7DE77">
                  <w:pPr>
                    <w:widowControl/>
                    <w:jc w:val="center"/>
                    <w:textAlignment w:val="center"/>
                    <w:rPr>
                      <w:color w:val="000000"/>
                      <w:kern w:val="0"/>
                      <w:sz w:val="22"/>
                      <w:u w:val="single"/>
                    </w:rPr>
                  </w:pPr>
                  <w:r>
                    <w:rPr>
                      <w:color w:val="000000"/>
                      <w:kern w:val="0"/>
                      <w:sz w:val="22"/>
                      <w:u w:val="single"/>
                      <w:lang w:bidi="ar"/>
                    </w:rPr>
                    <w:t>226.8</w:t>
                  </w:r>
                </w:p>
              </w:tc>
            </w:tr>
            <w:tr w14:paraId="7D8F3B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tcBorders>
                    <w:left w:val="single" w:color="auto" w:sz="12" w:space="0"/>
                    <w:right w:val="single" w:color="auto" w:sz="4" w:space="0"/>
                  </w:tcBorders>
                  <w:vAlign w:val="center"/>
                </w:tcPr>
                <w:p w14:paraId="10BAAFD4">
                  <w:pPr>
                    <w:jc w:val="center"/>
                    <w:rPr>
                      <w:snapToGrid w:val="0"/>
                      <w:szCs w:val="21"/>
                      <w:u w:val="single"/>
                      <w:lang w:eastAsia="en-US"/>
                    </w:rPr>
                  </w:pPr>
                </w:p>
              </w:tc>
              <w:tc>
                <w:tcPr>
                  <w:tcW w:w="999" w:type="pct"/>
                  <w:tcBorders>
                    <w:top w:val="single" w:color="auto" w:sz="4" w:space="0"/>
                    <w:left w:val="single" w:color="auto" w:sz="4" w:space="0"/>
                    <w:bottom w:val="single" w:color="auto" w:sz="4" w:space="0"/>
                    <w:right w:val="single" w:color="auto" w:sz="4" w:space="0"/>
                  </w:tcBorders>
                  <w:vAlign w:val="center"/>
                </w:tcPr>
                <w:p w14:paraId="58087BF3">
                  <w:pPr>
                    <w:widowControl/>
                    <w:jc w:val="center"/>
                    <w:textAlignment w:val="center"/>
                    <w:rPr>
                      <w:bCs/>
                      <w:szCs w:val="21"/>
                      <w:u w:val="single"/>
                      <w:lang w:eastAsia="en-US"/>
                    </w:rPr>
                  </w:pPr>
                  <w:r>
                    <w:rPr>
                      <w:kern w:val="0"/>
                      <w:szCs w:val="21"/>
                      <w:u w:val="single"/>
                      <w:lang w:eastAsia="en-US" w:bidi="ar"/>
                    </w:rPr>
                    <w:t>氨氮</w:t>
                  </w:r>
                </w:p>
              </w:tc>
              <w:tc>
                <w:tcPr>
                  <w:tcW w:w="1000" w:type="pct"/>
                  <w:vMerge w:val="continue"/>
                  <w:tcBorders>
                    <w:left w:val="single" w:color="auto" w:sz="4" w:space="0"/>
                    <w:right w:val="single" w:color="auto" w:sz="4" w:space="0"/>
                  </w:tcBorders>
                  <w:vAlign w:val="center"/>
                </w:tcPr>
                <w:p w14:paraId="4E516D02">
                  <w:pPr>
                    <w:jc w:val="center"/>
                    <w:rPr>
                      <w:snapToGrid w:val="0"/>
                      <w:szCs w:val="21"/>
                      <w:u w:val="single"/>
                      <w:lang w:eastAsia="en-US"/>
                    </w:rPr>
                  </w:pPr>
                </w:p>
              </w:tc>
              <w:tc>
                <w:tcPr>
                  <w:tcW w:w="1000" w:type="pct"/>
                  <w:tcBorders>
                    <w:top w:val="single" w:color="auto" w:sz="4" w:space="0"/>
                    <w:left w:val="single" w:color="auto" w:sz="4" w:space="0"/>
                    <w:bottom w:val="single" w:color="auto" w:sz="4" w:space="0"/>
                    <w:right w:val="single" w:color="auto" w:sz="4" w:space="0"/>
                  </w:tcBorders>
                  <w:vAlign w:val="center"/>
                </w:tcPr>
                <w:p w14:paraId="5C3FD25F">
                  <w:pPr>
                    <w:widowControl/>
                    <w:jc w:val="center"/>
                    <w:textAlignment w:val="center"/>
                    <w:rPr>
                      <w:color w:val="000000"/>
                      <w:sz w:val="22"/>
                      <w:u w:val="single"/>
                    </w:rPr>
                  </w:pPr>
                  <w:r>
                    <w:rPr>
                      <w:color w:val="000000"/>
                      <w:kern w:val="0"/>
                      <w:sz w:val="22"/>
                      <w:u w:val="single"/>
                      <w:lang w:bidi="ar"/>
                    </w:rPr>
                    <w:t xml:space="preserve">75.94 </w:t>
                  </w:r>
                </w:p>
              </w:tc>
              <w:tc>
                <w:tcPr>
                  <w:tcW w:w="1000" w:type="pct"/>
                  <w:tcBorders>
                    <w:top w:val="single" w:color="auto" w:sz="4" w:space="0"/>
                    <w:left w:val="single" w:color="auto" w:sz="4" w:space="0"/>
                    <w:bottom w:val="single" w:color="auto" w:sz="4" w:space="0"/>
                    <w:right w:val="single" w:color="auto" w:sz="12" w:space="0"/>
                  </w:tcBorders>
                  <w:vAlign w:val="center"/>
                </w:tcPr>
                <w:p w14:paraId="7DA96F32">
                  <w:pPr>
                    <w:widowControl/>
                    <w:jc w:val="center"/>
                    <w:textAlignment w:val="center"/>
                    <w:rPr>
                      <w:color w:val="000000"/>
                      <w:sz w:val="22"/>
                      <w:u w:val="single"/>
                    </w:rPr>
                  </w:pPr>
                  <w:r>
                    <w:rPr>
                      <w:color w:val="000000"/>
                      <w:kern w:val="0"/>
                      <w:sz w:val="22"/>
                      <w:u w:val="single"/>
                      <w:lang w:bidi="ar"/>
                    </w:rPr>
                    <w:t>2.916</w:t>
                  </w:r>
                </w:p>
              </w:tc>
            </w:tr>
            <w:tr w14:paraId="422B1F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tcBorders>
                    <w:left w:val="single" w:color="auto" w:sz="12" w:space="0"/>
                    <w:right w:val="single" w:color="auto" w:sz="4" w:space="0"/>
                  </w:tcBorders>
                  <w:vAlign w:val="center"/>
                </w:tcPr>
                <w:p w14:paraId="73D9060B">
                  <w:pPr>
                    <w:jc w:val="center"/>
                    <w:rPr>
                      <w:snapToGrid w:val="0"/>
                      <w:szCs w:val="21"/>
                      <w:u w:val="single"/>
                      <w:lang w:eastAsia="en-US"/>
                    </w:rPr>
                  </w:pPr>
                </w:p>
              </w:tc>
              <w:tc>
                <w:tcPr>
                  <w:tcW w:w="999" w:type="pct"/>
                  <w:tcBorders>
                    <w:top w:val="single" w:color="auto" w:sz="4" w:space="0"/>
                    <w:left w:val="single" w:color="auto" w:sz="4" w:space="0"/>
                    <w:bottom w:val="single" w:color="auto" w:sz="4" w:space="0"/>
                    <w:right w:val="single" w:color="auto" w:sz="4" w:space="0"/>
                  </w:tcBorders>
                  <w:vAlign w:val="center"/>
                </w:tcPr>
                <w:p w14:paraId="6433B457">
                  <w:pPr>
                    <w:widowControl/>
                    <w:jc w:val="center"/>
                    <w:textAlignment w:val="center"/>
                    <w:rPr>
                      <w:bCs/>
                      <w:szCs w:val="21"/>
                      <w:u w:val="single"/>
                      <w:lang w:eastAsia="en-US"/>
                    </w:rPr>
                  </w:pPr>
                  <w:r>
                    <w:rPr>
                      <w:kern w:val="0"/>
                      <w:szCs w:val="21"/>
                      <w:u w:val="single"/>
                      <w:lang w:eastAsia="en-US" w:bidi="ar"/>
                    </w:rPr>
                    <w:t>总氮</w:t>
                  </w:r>
                </w:p>
              </w:tc>
              <w:tc>
                <w:tcPr>
                  <w:tcW w:w="1000" w:type="pct"/>
                  <w:vMerge w:val="continue"/>
                  <w:tcBorders>
                    <w:left w:val="single" w:color="auto" w:sz="4" w:space="0"/>
                    <w:right w:val="single" w:color="auto" w:sz="4" w:space="0"/>
                  </w:tcBorders>
                  <w:vAlign w:val="center"/>
                </w:tcPr>
                <w:p w14:paraId="40557495">
                  <w:pPr>
                    <w:jc w:val="center"/>
                    <w:rPr>
                      <w:snapToGrid w:val="0"/>
                      <w:szCs w:val="21"/>
                      <w:u w:val="single"/>
                      <w:lang w:eastAsia="en-US"/>
                    </w:rPr>
                  </w:pPr>
                </w:p>
              </w:tc>
              <w:tc>
                <w:tcPr>
                  <w:tcW w:w="1000" w:type="pct"/>
                  <w:tcBorders>
                    <w:top w:val="single" w:color="auto" w:sz="4" w:space="0"/>
                    <w:left w:val="single" w:color="auto" w:sz="4" w:space="0"/>
                    <w:bottom w:val="single" w:color="auto" w:sz="4" w:space="0"/>
                    <w:right w:val="single" w:color="auto" w:sz="4" w:space="0"/>
                  </w:tcBorders>
                  <w:vAlign w:val="center"/>
                </w:tcPr>
                <w:p w14:paraId="0DC5A6EF">
                  <w:pPr>
                    <w:widowControl/>
                    <w:jc w:val="center"/>
                    <w:textAlignment w:val="center"/>
                    <w:rPr>
                      <w:color w:val="000000"/>
                      <w:sz w:val="22"/>
                      <w:u w:val="single"/>
                    </w:rPr>
                  </w:pPr>
                  <w:r>
                    <w:rPr>
                      <w:color w:val="000000"/>
                      <w:kern w:val="0"/>
                      <w:sz w:val="22"/>
                      <w:u w:val="single"/>
                      <w:lang w:bidi="ar"/>
                    </w:rPr>
                    <w:t xml:space="preserve">291.88 </w:t>
                  </w:r>
                </w:p>
              </w:tc>
              <w:tc>
                <w:tcPr>
                  <w:tcW w:w="1000" w:type="pct"/>
                  <w:tcBorders>
                    <w:top w:val="single" w:color="auto" w:sz="4" w:space="0"/>
                    <w:left w:val="single" w:color="auto" w:sz="4" w:space="0"/>
                    <w:bottom w:val="single" w:color="auto" w:sz="4" w:space="0"/>
                    <w:right w:val="single" w:color="auto" w:sz="12" w:space="0"/>
                  </w:tcBorders>
                  <w:vAlign w:val="center"/>
                </w:tcPr>
                <w:p w14:paraId="01765D74">
                  <w:pPr>
                    <w:widowControl/>
                    <w:jc w:val="center"/>
                    <w:textAlignment w:val="center"/>
                    <w:rPr>
                      <w:color w:val="000000"/>
                      <w:sz w:val="22"/>
                      <w:u w:val="single"/>
                    </w:rPr>
                  </w:pPr>
                  <w:r>
                    <w:rPr>
                      <w:color w:val="000000"/>
                      <w:kern w:val="0"/>
                      <w:sz w:val="22"/>
                      <w:u w:val="single"/>
                      <w:lang w:bidi="ar"/>
                    </w:rPr>
                    <w:t>11.208</w:t>
                  </w:r>
                </w:p>
              </w:tc>
            </w:tr>
            <w:tr w14:paraId="5DBA59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tcBorders>
                    <w:left w:val="single" w:color="auto" w:sz="12" w:space="0"/>
                    <w:right w:val="single" w:color="auto" w:sz="4" w:space="0"/>
                  </w:tcBorders>
                  <w:vAlign w:val="center"/>
                </w:tcPr>
                <w:p w14:paraId="30F822B2">
                  <w:pPr>
                    <w:jc w:val="center"/>
                    <w:rPr>
                      <w:snapToGrid w:val="0"/>
                      <w:szCs w:val="21"/>
                      <w:u w:val="single"/>
                      <w:lang w:eastAsia="en-US"/>
                    </w:rPr>
                  </w:pPr>
                </w:p>
              </w:tc>
              <w:tc>
                <w:tcPr>
                  <w:tcW w:w="999" w:type="pct"/>
                  <w:tcBorders>
                    <w:top w:val="single" w:color="auto" w:sz="4" w:space="0"/>
                    <w:left w:val="single" w:color="auto" w:sz="4" w:space="0"/>
                    <w:bottom w:val="single" w:color="auto" w:sz="4" w:space="0"/>
                    <w:right w:val="single" w:color="auto" w:sz="4" w:space="0"/>
                  </w:tcBorders>
                  <w:vAlign w:val="center"/>
                </w:tcPr>
                <w:p w14:paraId="720C9F07">
                  <w:pPr>
                    <w:widowControl/>
                    <w:jc w:val="center"/>
                    <w:textAlignment w:val="center"/>
                    <w:rPr>
                      <w:bCs/>
                      <w:szCs w:val="21"/>
                      <w:u w:val="single"/>
                      <w:lang w:eastAsia="en-US"/>
                    </w:rPr>
                  </w:pPr>
                  <w:r>
                    <w:rPr>
                      <w:kern w:val="0"/>
                      <w:szCs w:val="21"/>
                      <w:u w:val="single"/>
                      <w:lang w:eastAsia="en-US" w:bidi="ar"/>
                    </w:rPr>
                    <w:t>总磷</w:t>
                  </w:r>
                </w:p>
              </w:tc>
              <w:tc>
                <w:tcPr>
                  <w:tcW w:w="1000" w:type="pct"/>
                  <w:vMerge w:val="continue"/>
                  <w:tcBorders>
                    <w:left w:val="single" w:color="auto" w:sz="4" w:space="0"/>
                    <w:right w:val="single" w:color="auto" w:sz="4" w:space="0"/>
                  </w:tcBorders>
                  <w:vAlign w:val="center"/>
                </w:tcPr>
                <w:p w14:paraId="6ABF9162">
                  <w:pPr>
                    <w:jc w:val="center"/>
                    <w:rPr>
                      <w:snapToGrid w:val="0"/>
                      <w:szCs w:val="21"/>
                      <w:u w:val="single"/>
                      <w:lang w:eastAsia="en-US"/>
                    </w:rPr>
                  </w:pPr>
                </w:p>
              </w:tc>
              <w:tc>
                <w:tcPr>
                  <w:tcW w:w="1000" w:type="pct"/>
                  <w:tcBorders>
                    <w:top w:val="single" w:color="auto" w:sz="4" w:space="0"/>
                    <w:left w:val="single" w:color="auto" w:sz="4" w:space="0"/>
                    <w:bottom w:val="single" w:color="auto" w:sz="4" w:space="0"/>
                    <w:right w:val="single" w:color="auto" w:sz="4" w:space="0"/>
                  </w:tcBorders>
                  <w:vAlign w:val="center"/>
                </w:tcPr>
                <w:p w14:paraId="2353B7E3">
                  <w:pPr>
                    <w:widowControl/>
                    <w:jc w:val="center"/>
                    <w:textAlignment w:val="center"/>
                    <w:rPr>
                      <w:color w:val="000000"/>
                      <w:sz w:val="22"/>
                      <w:u w:val="single"/>
                    </w:rPr>
                  </w:pPr>
                  <w:r>
                    <w:rPr>
                      <w:color w:val="000000"/>
                      <w:kern w:val="0"/>
                      <w:sz w:val="22"/>
                      <w:u w:val="single"/>
                      <w:lang w:bidi="ar"/>
                    </w:rPr>
                    <w:t xml:space="preserve">95.94 </w:t>
                  </w:r>
                </w:p>
              </w:tc>
              <w:tc>
                <w:tcPr>
                  <w:tcW w:w="1000" w:type="pct"/>
                  <w:tcBorders>
                    <w:top w:val="single" w:color="auto" w:sz="4" w:space="0"/>
                    <w:left w:val="single" w:color="auto" w:sz="4" w:space="0"/>
                    <w:bottom w:val="single" w:color="auto" w:sz="4" w:space="0"/>
                    <w:right w:val="single" w:color="auto" w:sz="12" w:space="0"/>
                  </w:tcBorders>
                  <w:vAlign w:val="center"/>
                </w:tcPr>
                <w:p w14:paraId="49DCAE5B">
                  <w:pPr>
                    <w:widowControl/>
                    <w:jc w:val="center"/>
                    <w:textAlignment w:val="center"/>
                    <w:rPr>
                      <w:color w:val="000000"/>
                      <w:sz w:val="22"/>
                      <w:u w:val="single"/>
                    </w:rPr>
                  </w:pPr>
                  <w:r>
                    <w:rPr>
                      <w:color w:val="000000"/>
                      <w:kern w:val="0"/>
                      <w:sz w:val="22"/>
                      <w:u w:val="single"/>
                      <w:lang w:bidi="ar"/>
                    </w:rPr>
                    <w:t>3.684</w:t>
                  </w:r>
                </w:p>
              </w:tc>
            </w:tr>
            <w:tr w14:paraId="44D545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tcBorders>
                    <w:left w:val="single" w:color="auto" w:sz="12" w:space="0"/>
                    <w:right w:val="single" w:color="auto" w:sz="4" w:space="0"/>
                  </w:tcBorders>
                  <w:vAlign w:val="center"/>
                </w:tcPr>
                <w:p w14:paraId="04F5E886">
                  <w:pPr>
                    <w:jc w:val="center"/>
                    <w:rPr>
                      <w:snapToGrid w:val="0"/>
                      <w:szCs w:val="21"/>
                      <w:u w:val="single"/>
                      <w:lang w:eastAsia="en-US"/>
                    </w:rPr>
                  </w:pPr>
                </w:p>
              </w:tc>
              <w:tc>
                <w:tcPr>
                  <w:tcW w:w="999" w:type="pct"/>
                  <w:tcBorders>
                    <w:top w:val="single" w:color="auto" w:sz="4" w:space="0"/>
                    <w:left w:val="single" w:color="auto" w:sz="4" w:space="0"/>
                    <w:bottom w:val="single" w:color="auto" w:sz="4" w:space="0"/>
                    <w:right w:val="single" w:color="auto" w:sz="4" w:space="0"/>
                  </w:tcBorders>
                  <w:vAlign w:val="center"/>
                </w:tcPr>
                <w:p w14:paraId="147807CB">
                  <w:pPr>
                    <w:widowControl/>
                    <w:jc w:val="center"/>
                    <w:textAlignment w:val="center"/>
                    <w:rPr>
                      <w:kern w:val="0"/>
                      <w:szCs w:val="21"/>
                      <w:u w:val="single"/>
                      <w:lang w:eastAsia="en-US" w:bidi="ar"/>
                    </w:rPr>
                  </w:pPr>
                  <w:r>
                    <w:rPr>
                      <w:kern w:val="0"/>
                      <w:szCs w:val="21"/>
                      <w:u w:val="single"/>
                      <w:lang w:eastAsia="en-US" w:bidi="ar"/>
                    </w:rPr>
                    <w:t>SS</w:t>
                  </w:r>
                </w:p>
              </w:tc>
              <w:tc>
                <w:tcPr>
                  <w:tcW w:w="1000" w:type="pct"/>
                  <w:vMerge w:val="continue"/>
                  <w:tcBorders>
                    <w:left w:val="single" w:color="auto" w:sz="4" w:space="0"/>
                    <w:right w:val="single" w:color="auto" w:sz="4" w:space="0"/>
                  </w:tcBorders>
                  <w:vAlign w:val="center"/>
                </w:tcPr>
                <w:p w14:paraId="260D2334">
                  <w:pPr>
                    <w:jc w:val="center"/>
                    <w:rPr>
                      <w:snapToGrid w:val="0"/>
                      <w:szCs w:val="21"/>
                      <w:u w:val="single"/>
                      <w:lang w:eastAsia="en-US"/>
                    </w:rPr>
                  </w:pPr>
                </w:p>
              </w:tc>
              <w:tc>
                <w:tcPr>
                  <w:tcW w:w="1000" w:type="pct"/>
                  <w:tcBorders>
                    <w:top w:val="single" w:color="auto" w:sz="4" w:space="0"/>
                    <w:left w:val="single" w:color="auto" w:sz="4" w:space="0"/>
                    <w:bottom w:val="single" w:color="auto" w:sz="4" w:space="0"/>
                    <w:right w:val="single" w:color="auto" w:sz="4" w:space="0"/>
                  </w:tcBorders>
                  <w:vAlign w:val="center"/>
                </w:tcPr>
                <w:p w14:paraId="73B91AAA">
                  <w:pPr>
                    <w:widowControl/>
                    <w:jc w:val="center"/>
                    <w:textAlignment w:val="center"/>
                    <w:rPr>
                      <w:bCs/>
                      <w:szCs w:val="21"/>
                      <w:u w:val="single"/>
                      <w:lang w:bidi="ar"/>
                    </w:rPr>
                  </w:pPr>
                  <w:r>
                    <w:rPr>
                      <w:kern w:val="0"/>
                      <w:sz w:val="22"/>
                      <w:u w:val="single"/>
                      <w:lang w:bidi="ar"/>
                    </w:rPr>
                    <w:t>800</w:t>
                  </w:r>
                </w:p>
              </w:tc>
              <w:tc>
                <w:tcPr>
                  <w:tcW w:w="1000" w:type="pct"/>
                  <w:tcBorders>
                    <w:top w:val="single" w:color="auto" w:sz="4" w:space="0"/>
                    <w:left w:val="single" w:color="auto" w:sz="4" w:space="0"/>
                    <w:bottom w:val="single" w:color="auto" w:sz="4" w:space="0"/>
                    <w:right w:val="single" w:color="auto" w:sz="12" w:space="0"/>
                  </w:tcBorders>
                  <w:vAlign w:val="center"/>
                </w:tcPr>
                <w:p w14:paraId="04E18B59">
                  <w:pPr>
                    <w:widowControl/>
                    <w:jc w:val="center"/>
                    <w:textAlignment w:val="center"/>
                    <w:rPr>
                      <w:color w:val="000000"/>
                      <w:sz w:val="22"/>
                      <w:u w:val="single"/>
                    </w:rPr>
                  </w:pPr>
                  <w:r>
                    <w:rPr>
                      <w:color w:val="000000"/>
                      <w:kern w:val="0"/>
                      <w:sz w:val="22"/>
                      <w:u w:val="single"/>
                      <w:lang w:bidi="ar"/>
                    </w:rPr>
                    <w:t xml:space="preserve">30.720 </w:t>
                  </w:r>
                </w:p>
              </w:tc>
            </w:tr>
            <w:tr w14:paraId="4871C2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tcBorders>
                    <w:left w:val="single" w:color="auto" w:sz="12" w:space="0"/>
                    <w:right w:val="single" w:color="auto" w:sz="4" w:space="0"/>
                  </w:tcBorders>
                  <w:vAlign w:val="center"/>
                </w:tcPr>
                <w:p w14:paraId="3ABC25AE">
                  <w:pPr>
                    <w:jc w:val="center"/>
                    <w:rPr>
                      <w:snapToGrid w:val="0"/>
                      <w:szCs w:val="21"/>
                      <w:u w:val="single"/>
                      <w:lang w:eastAsia="en-US"/>
                    </w:rPr>
                  </w:pPr>
                </w:p>
              </w:tc>
              <w:tc>
                <w:tcPr>
                  <w:tcW w:w="999" w:type="pct"/>
                  <w:tcBorders>
                    <w:top w:val="single" w:color="auto" w:sz="4" w:space="0"/>
                    <w:left w:val="single" w:color="auto" w:sz="4" w:space="0"/>
                    <w:bottom w:val="single" w:color="auto" w:sz="4" w:space="0"/>
                    <w:right w:val="single" w:color="auto" w:sz="4" w:space="0"/>
                  </w:tcBorders>
                  <w:vAlign w:val="center"/>
                </w:tcPr>
                <w:p w14:paraId="67F8CC66">
                  <w:pPr>
                    <w:widowControl/>
                    <w:jc w:val="center"/>
                    <w:textAlignment w:val="center"/>
                    <w:rPr>
                      <w:kern w:val="0"/>
                      <w:szCs w:val="21"/>
                      <w:u w:val="single"/>
                      <w:lang w:eastAsia="en-US" w:bidi="ar"/>
                    </w:rPr>
                  </w:pPr>
                  <w:r>
                    <w:rPr>
                      <w:kern w:val="0"/>
                      <w:szCs w:val="21"/>
                      <w:u w:val="single"/>
                      <w:lang w:eastAsia="en-US" w:bidi="ar"/>
                    </w:rPr>
                    <w:t>BOD</w:t>
                  </w:r>
                </w:p>
              </w:tc>
              <w:tc>
                <w:tcPr>
                  <w:tcW w:w="1000" w:type="pct"/>
                  <w:vMerge w:val="continue"/>
                  <w:tcBorders>
                    <w:left w:val="single" w:color="auto" w:sz="4" w:space="0"/>
                    <w:right w:val="single" w:color="auto" w:sz="4" w:space="0"/>
                  </w:tcBorders>
                  <w:vAlign w:val="center"/>
                </w:tcPr>
                <w:p w14:paraId="38B42573">
                  <w:pPr>
                    <w:jc w:val="center"/>
                    <w:rPr>
                      <w:snapToGrid w:val="0"/>
                      <w:szCs w:val="21"/>
                      <w:u w:val="single"/>
                      <w:lang w:eastAsia="en-US"/>
                    </w:rPr>
                  </w:pPr>
                </w:p>
              </w:tc>
              <w:tc>
                <w:tcPr>
                  <w:tcW w:w="1000" w:type="pct"/>
                  <w:tcBorders>
                    <w:top w:val="single" w:color="auto" w:sz="4" w:space="0"/>
                    <w:left w:val="single" w:color="auto" w:sz="4" w:space="0"/>
                    <w:bottom w:val="single" w:color="auto" w:sz="4" w:space="0"/>
                    <w:right w:val="single" w:color="auto" w:sz="4" w:space="0"/>
                  </w:tcBorders>
                  <w:vAlign w:val="center"/>
                </w:tcPr>
                <w:p w14:paraId="186E2050">
                  <w:pPr>
                    <w:widowControl/>
                    <w:jc w:val="center"/>
                    <w:textAlignment w:val="center"/>
                    <w:rPr>
                      <w:bCs/>
                      <w:szCs w:val="21"/>
                      <w:u w:val="single"/>
                      <w:lang w:bidi="ar"/>
                    </w:rPr>
                  </w:pPr>
                  <w:r>
                    <w:rPr>
                      <w:kern w:val="0"/>
                      <w:sz w:val="22"/>
                      <w:u w:val="single"/>
                      <w:lang w:bidi="ar"/>
                    </w:rPr>
                    <w:t>3000</w:t>
                  </w:r>
                </w:p>
              </w:tc>
              <w:tc>
                <w:tcPr>
                  <w:tcW w:w="1000" w:type="pct"/>
                  <w:tcBorders>
                    <w:top w:val="single" w:color="auto" w:sz="4" w:space="0"/>
                    <w:left w:val="single" w:color="auto" w:sz="4" w:space="0"/>
                    <w:bottom w:val="single" w:color="auto" w:sz="4" w:space="0"/>
                    <w:right w:val="single" w:color="auto" w:sz="12" w:space="0"/>
                  </w:tcBorders>
                  <w:vAlign w:val="center"/>
                </w:tcPr>
                <w:p w14:paraId="2249A9F5">
                  <w:pPr>
                    <w:widowControl/>
                    <w:jc w:val="center"/>
                    <w:textAlignment w:val="center"/>
                    <w:rPr>
                      <w:color w:val="000000"/>
                      <w:sz w:val="22"/>
                      <w:u w:val="single"/>
                    </w:rPr>
                  </w:pPr>
                  <w:r>
                    <w:rPr>
                      <w:color w:val="000000"/>
                      <w:kern w:val="0"/>
                      <w:sz w:val="22"/>
                      <w:u w:val="single"/>
                      <w:lang w:bidi="ar"/>
                    </w:rPr>
                    <w:t xml:space="preserve">115.200 </w:t>
                  </w:r>
                </w:p>
              </w:tc>
            </w:tr>
            <w:tr w14:paraId="2D7AD2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tcBorders>
                    <w:left w:val="single" w:color="auto" w:sz="12" w:space="0"/>
                    <w:right w:val="single" w:color="auto" w:sz="4" w:space="0"/>
                  </w:tcBorders>
                  <w:vAlign w:val="center"/>
                </w:tcPr>
                <w:p w14:paraId="3464A576">
                  <w:pPr>
                    <w:jc w:val="center"/>
                    <w:rPr>
                      <w:snapToGrid w:val="0"/>
                      <w:szCs w:val="21"/>
                      <w:u w:val="single"/>
                      <w:lang w:eastAsia="en-US"/>
                    </w:rPr>
                  </w:pPr>
                </w:p>
              </w:tc>
              <w:tc>
                <w:tcPr>
                  <w:tcW w:w="999" w:type="pct"/>
                  <w:tcBorders>
                    <w:top w:val="single" w:color="auto" w:sz="4" w:space="0"/>
                    <w:left w:val="single" w:color="auto" w:sz="4" w:space="0"/>
                    <w:bottom w:val="single" w:color="auto" w:sz="4" w:space="0"/>
                    <w:right w:val="single" w:color="auto" w:sz="4" w:space="0"/>
                  </w:tcBorders>
                  <w:vAlign w:val="center"/>
                </w:tcPr>
                <w:p w14:paraId="0B405494">
                  <w:pPr>
                    <w:widowControl/>
                    <w:jc w:val="center"/>
                    <w:textAlignment w:val="center"/>
                    <w:rPr>
                      <w:kern w:val="0"/>
                      <w:szCs w:val="21"/>
                      <w:u w:val="single"/>
                      <w:lang w:eastAsia="en-US" w:bidi="ar"/>
                    </w:rPr>
                  </w:pPr>
                  <w:r>
                    <w:rPr>
                      <w:kern w:val="0"/>
                      <w:szCs w:val="21"/>
                      <w:u w:val="single"/>
                      <w:lang w:eastAsia="en-US" w:bidi="ar"/>
                    </w:rPr>
                    <w:t>动植物油</w:t>
                  </w:r>
                </w:p>
              </w:tc>
              <w:tc>
                <w:tcPr>
                  <w:tcW w:w="1000" w:type="pct"/>
                  <w:vMerge w:val="continue"/>
                  <w:tcBorders>
                    <w:left w:val="single" w:color="auto" w:sz="4" w:space="0"/>
                    <w:right w:val="single" w:color="auto" w:sz="4" w:space="0"/>
                  </w:tcBorders>
                  <w:vAlign w:val="center"/>
                </w:tcPr>
                <w:p w14:paraId="78C70794">
                  <w:pPr>
                    <w:jc w:val="center"/>
                    <w:rPr>
                      <w:snapToGrid w:val="0"/>
                      <w:szCs w:val="21"/>
                      <w:u w:val="single"/>
                      <w:lang w:eastAsia="en-US"/>
                    </w:rPr>
                  </w:pPr>
                </w:p>
              </w:tc>
              <w:tc>
                <w:tcPr>
                  <w:tcW w:w="1000" w:type="pct"/>
                  <w:tcBorders>
                    <w:top w:val="single" w:color="auto" w:sz="4" w:space="0"/>
                    <w:left w:val="single" w:color="auto" w:sz="4" w:space="0"/>
                    <w:bottom w:val="single" w:color="auto" w:sz="4" w:space="0"/>
                    <w:right w:val="single" w:color="auto" w:sz="4" w:space="0"/>
                  </w:tcBorders>
                  <w:vAlign w:val="center"/>
                </w:tcPr>
                <w:p w14:paraId="50C799A6">
                  <w:pPr>
                    <w:widowControl/>
                    <w:jc w:val="center"/>
                    <w:textAlignment w:val="center"/>
                    <w:rPr>
                      <w:bCs/>
                      <w:szCs w:val="21"/>
                      <w:u w:val="single"/>
                      <w:lang w:bidi="ar"/>
                    </w:rPr>
                  </w:pPr>
                  <w:r>
                    <w:rPr>
                      <w:kern w:val="0"/>
                      <w:sz w:val="22"/>
                      <w:u w:val="single"/>
                      <w:lang w:bidi="ar"/>
                    </w:rPr>
                    <w:t>500</w:t>
                  </w:r>
                </w:p>
              </w:tc>
              <w:tc>
                <w:tcPr>
                  <w:tcW w:w="1000" w:type="pct"/>
                  <w:tcBorders>
                    <w:top w:val="single" w:color="auto" w:sz="4" w:space="0"/>
                    <w:left w:val="single" w:color="auto" w:sz="4" w:space="0"/>
                    <w:bottom w:val="single" w:color="auto" w:sz="4" w:space="0"/>
                    <w:right w:val="single" w:color="auto" w:sz="12" w:space="0"/>
                  </w:tcBorders>
                  <w:vAlign w:val="center"/>
                </w:tcPr>
                <w:p w14:paraId="7755D06E">
                  <w:pPr>
                    <w:widowControl/>
                    <w:jc w:val="center"/>
                    <w:textAlignment w:val="center"/>
                    <w:rPr>
                      <w:color w:val="000000"/>
                      <w:sz w:val="22"/>
                      <w:u w:val="single"/>
                    </w:rPr>
                  </w:pPr>
                  <w:r>
                    <w:rPr>
                      <w:color w:val="000000"/>
                      <w:kern w:val="0"/>
                      <w:sz w:val="22"/>
                      <w:u w:val="single"/>
                      <w:lang w:bidi="ar"/>
                    </w:rPr>
                    <w:t xml:space="preserve">19.200 </w:t>
                  </w:r>
                </w:p>
              </w:tc>
            </w:tr>
            <w:tr w14:paraId="216C17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tcBorders>
                    <w:left w:val="single" w:color="auto" w:sz="12" w:space="0"/>
                    <w:bottom w:val="single" w:color="auto" w:sz="4" w:space="0"/>
                    <w:right w:val="single" w:color="auto" w:sz="4" w:space="0"/>
                  </w:tcBorders>
                  <w:vAlign w:val="center"/>
                </w:tcPr>
                <w:p w14:paraId="19CE7AC5">
                  <w:pPr>
                    <w:jc w:val="center"/>
                    <w:rPr>
                      <w:snapToGrid w:val="0"/>
                      <w:szCs w:val="21"/>
                      <w:u w:val="single"/>
                      <w:lang w:eastAsia="en-US"/>
                    </w:rPr>
                  </w:pPr>
                </w:p>
              </w:tc>
              <w:tc>
                <w:tcPr>
                  <w:tcW w:w="999" w:type="pct"/>
                  <w:tcBorders>
                    <w:top w:val="single" w:color="auto" w:sz="4" w:space="0"/>
                    <w:left w:val="single" w:color="auto" w:sz="4" w:space="0"/>
                    <w:bottom w:val="single" w:color="auto" w:sz="4" w:space="0"/>
                    <w:right w:val="single" w:color="auto" w:sz="4" w:space="0"/>
                  </w:tcBorders>
                  <w:vAlign w:val="center"/>
                </w:tcPr>
                <w:p w14:paraId="2309BB4A">
                  <w:pPr>
                    <w:widowControl/>
                    <w:jc w:val="center"/>
                    <w:textAlignment w:val="center"/>
                    <w:rPr>
                      <w:kern w:val="0"/>
                      <w:szCs w:val="21"/>
                      <w:u w:val="single"/>
                      <w:lang w:bidi="ar"/>
                    </w:rPr>
                  </w:pPr>
                  <w:r>
                    <w:rPr>
                      <w:kern w:val="0"/>
                      <w:szCs w:val="21"/>
                      <w:u w:val="single"/>
                      <w:lang w:bidi="ar"/>
                    </w:rPr>
                    <w:t>氯化物</w:t>
                  </w:r>
                </w:p>
              </w:tc>
              <w:tc>
                <w:tcPr>
                  <w:tcW w:w="1000" w:type="pct"/>
                  <w:vMerge w:val="continue"/>
                  <w:tcBorders>
                    <w:left w:val="single" w:color="auto" w:sz="4" w:space="0"/>
                    <w:bottom w:val="single" w:color="auto" w:sz="4" w:space="0"/>
                    <w:right w:val="single" w:color="auto" w:sz="4" w:space="0"/>
                  </w:tcBorders>
                  <w:vAlign w:val="center"/>
                </w:tcPr>
                <w:p w14:paraId="26CF5540">
                  <w:pPr>
                    <w:jc w:val="center"/>
                    <w:rPr>
                      <w:snapToGrid w:val="0"/>
                      <w:szCs w:val="21"/>
                      <w:u w:val="single"/>
                      <w:lang w:eastAsia="en-US"/>
                    </w:rPr>
                  </w:pPr>
                </w:p>
              </w:tc>
              <w:tc>
                <w:tcPr>
                  <w:tcW w:w="1000" w:type="pct"/>
                  <w:tcBorders>
                    <w:top w:val="single" w:color="auto" w:sz="4" w:space="0"/>
                    <w:left w:val="single" w:color="auto" w:sz="4" w:space="0"/>
                    <w:bottom w:val="single" w:color="auto" w:sz="4" w:space="0"/>
                    <w:right w:val="single" w:color="auto" w:sz="4" w:space="0"/>
                  </w:tcBorders>
                  <w:vAlign w:val="center"/>
                </w:tcPr>
                <w:p w14:paraId="7058846A">
                  <w:pPr>
                    <w:widowControl/>
                    <w:jc w:val="center"/>
                    <w:textAlignment w:val="center"/>
                    <w:rPr>
                      <w:kern w:val="0"/>
                      <w:szCs w:val="21"/>
                      <w:u w:val="single"/>
                      <w:lang w:bidi="ar"/>
                    </w:rPr>
                  </w:pPr>
                  <w:r>
                    <w:rPr>
                      <w:color w:val="000000"/>
                      <w:kern w:val="0"/>
                      <w:sz w:val="22"/>
                      <w:u w:val="single"/>
                      <w:lang w:bidi="ar"/>
                    </w:rPr>
                    <w:t>1200</w:t>
                  </w:r>
                </w:p>
              </w:tc>
              <w:tc>
                <w:tcPr>
                  <w:tcW w:w="1000" w:type="pct"/>
                  <w:tcBorders>
                    <w:top w:val="single" w:color="auto" w:sz="4" w:space="0"/>
                    <w:left w:val="single" w:color="auto" w:sz="4" w:space="0"/>
                    <w:bottom w:val="single" w:color="auto" w:sz="4" w:space="0"/>
                    <w:right w:val="single" w:color="auto" w:sz="12" w:space="0"/>
                  </w:tcBorders>
                  <w:vAlign w:val="center"/>
                </w:tcPr>
                <w:p w14:paraId="680084F9">
                  <w:pPr>
                    <w:widowControl/>
                    <w:jc w:val="center"/>
                    <w:textAlignment w:val="center"/>
                    <w:rPr>
                      <w:color w:val="000000"/>
                      <w:sz w:val="22"/>
                      <w:u w:val="single"/>
                    </w:rPr>
                  </w:pPr>
                  <w:r>
                    <w:rPr>
                      <w:color w:val="000000"/>
                      <w:kern w:val="0"/>
                      <w:sz w:val="22"/>
                      <w:u w:val="single"/>
                      <w:lang w:bidi="ar"/>
                    </w:rPr>
                    <w:t>46.08</w:t>
                  </w:r>
                </w:p>
              </w:tc>
            </w:tr>
            <w:tr w14:paraId="51E9F4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restart"/>
                  <w:tcBorders>
                    <w:top w:val="single" w:color="auto" w:sz="4" w:space="0"/>
                    <w:left w:val="single" w:color="auto" w:sz="12" w:space="0"/>
                    <w:bottom w:val="single" w:color="auto" w:sz="4" w:space="0"/>
                    <w:right w:val="single" w:color="auto" w:sz="4" w:space="0"/>
                  </w:tcBorders>
                  <w:vAlign w:val="center"/>
                </w:tcPr>
                <w:p w14:paraId="3417B291">
                  <w:pPr>
                    <w:jc w:val="center"/>
                    <w:rPr>
                      <w:szCs w:val="21"/>
                      <w:u w:val="single"/>
                    </w:rPr>
                  </w:pPr>
                  <w:r>
                    <w:rPr>
                      <w:szCs w:val="21"/>
                      <w:u w:val="single"/>
                      <w:lang w:bidi="ar"/>
                    </w:rPr>
                    <w:t>非即食性生制调理品预处理废水</w:t>
                  </w:r>
                </w:p>
              </w:tc>
              <w:tc>
                <w:tcPr>
                  <w:tcW w:w="999" w:type="pct"/>
                  <w:tcBorders>
                    <w:top w:val="single" w:color="auto" w:sz="4" w:space="0"/>
                    <w:left w:val="single" w:color="auto" w:sz="4" w:space="0"/>
                    <w:bottom w:val="single" w:color="auto" w:sz="4" w:space="0"/>
                    <w:right w:val="single" w:color="auto" w:sz="4" w:space="0"/>
                  </w:tcBorders>
                  <w:vAlign w:val="center"/>
                </w:tcPr>
                <w:p w14:paraId="1C86F6DD">
                  <w:pPr>
                    <w:adjustRightInd w:val="0"/>
                    <w:jc w:val="center"/>
                    <w:rPr>
                      <w:bCs/>
                      <w:szCs w:val="21"/>
                      <w:u w:val="single"/>
                      <w:lang w:eastAsia="en-US"/>
                    </w:rPr>
                  </w:pPr>
                  <w:r>
                    <w:rPr>
                      <w:bCs/>
                      <w:szCs w:val="21"/>
                      <w:u w:val="single"/>
                      <w:lang w:eastAsia="en-US" w:bidi="ar"/>
                    </w:rPr>
                    <w:t>pH</w:t>
                  </w:r>
                </w:p>
              </w:tc>
              <w:tc>
                <w:tcPr>
                  <w:tcW w:w="1000" w:type="pct"/>
                  <w:vMerge w:val="restart"/>
                  <w:tcBorders>
                    <w:top w:val="single" w:color="auto" w:sz="4" w:space="0"/>
                    <w:left w:val="single" w:color="auto" w:sz="4" w:space="0"/>
                    <w:bottom w:val="single" w:color="auto" w:sz="4" w:space="0"/>
                    <w:right w:val="single" w:color="auto" w:sz="4" w:space="0"/>
                  </w:tcBorders>
                  <w:vAlign w:val="center"/>
                </w:tcPr>
                <w:p w14:paraId="0EF18D30">
                  <w:pPr>
                    <w:jc w:val="center"/>
                    <w:rPr>
                      <w:szCs w:val="21"/>
                      <w:u w:val="single"/>
                    </w:rPr>
                  </w:pPr>
                  <w:r>
                    <w:rPr>
                      <w:rFonts w:hint="eastAsia"/>
                      <w:szCs w:val="21"/>
                      <w:u w:val="single"/>
                      <w:lang w:bidi="ar"/>
                    </w:rPr>
                    <w:t>6475</w:t>
                  </w:r>
                </w:p>
              </w:tc>
              <w:tc>
                <w:tcPr>
                  <w:tcW w:w="1000" w:type="pct"/>
                  <w:tcBorders>
                    <w:top w:val="single" w:color="auto" w:sz="4" w:space="0"/>
                    <w:left w:val="single" w:color="auto" w:sz="4" w:space="0"/>
                    <w:bottom w:val="single" w:color="auto" w:sz="4" w:space="0"/>
                    <w:right w:val="single" w:color="auto" w:sz="4" w:space="0"/>
                  </w:tcBorders>
                  <w:vAlign w:val="center"/>
                </w:tcPr>
                <w:p w14:paraId="3955676E">
                  <w:pPr>
                    <w:adjustRightInd w:val="0"/>
                    <w:jc w:val="center"/>
                    <w:rPr>
                      <w:bCs/>
                      <w:szCs w:val="21"/>
                      <w:u w:val="single"/>
                      <w:lang w:eastAsia="en-US" w:bidi="ar"/>
                    </w:rPr>
                  </w:pPr>
                  <w:r>
                    <w:rPr>
                      <w:bCs/>
                      <w:szCs w:val="21"/>
                      <w:u w:val="single"/>
                      <w:lang w:eastAsia="en-US" w:bidi="ar"/>
                    </w:rPr>
                    <w:t>6-9</w:t>
                  </w:r>
                </w:p>
              </w:tc>
              <w:tc>
                <w:tcPr>
                  <w:tcW w:w="1000" w:type="pct"/>
                  <w:tcBorders>
                    <w:top w:val="single" w:color="auto" w:sz="4" w:space="0"/>
                    <w:left w:val="single" w:color="auto" w:sz="4" w:space="0"/>
                    <w:bottom w:val="single" w:color="auto" w:sz="4" w:space="0"/>
                    <w:right w:val="single" w:color="auto" w:sz="12" w:space="0"/>
                  </w:tcBorders>
                  <w:vAlign w:val="center"/>
                </w:tcPr>
                <w:p w14:paraId="73900475">
                  <w:pPr>
                    <w:adjustRightInd w:val="0"/>
                    <w:jc w:val="center"/>
                    <w:rPr>
                      <w:bCs/>
                      <w:szCs w:val="21"/>
                      <w:u w:val="single"/>
                      <w:lang w:eastAsia="en-US" w:bidi="ar"/>
                    </w:rPr>
                  </w:pPr>
                  <w:r>
                    <w:rPr>
                      <w:bCs/>
                      <w:szCs w:val="21"/>
                      <w:u w:val="single"/>
                      <w:lang w:eastAsia="en-US" w:bidi="ar"/>
                    </w:rPr>
                    <w:t>/</w:t>
                  </w:r>
                </w:p>
              </w:tc>
            </w:tr>
            <w:tr w14:paraId="45B4E8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tcBorders>
                    <w:top w:val="single" w:color="auto" w:sz="4" w:space="0"/>
                    <w:left w:val="single" w:color="auto" w:sz="12" w:space="0"/>
                    <w:bottom w:val="single" w:color="auto" w:sz="4" w:space="0"/>
                    <w:right w:val="single" w:color="auto" w:sz="4" w:space="0"/>
                  </w:tcBorders>
                  <w:vAlign w:val="center"/>
                </w:tcPr>
                <w:p w14:paraId="39235DD7">
                  <w:pPr>
                    <w:jc w:val="center"/>
                    <w:rPr>
                      <w:snapToGrid w:val="0"/>
                      <w:szCs w:val="21"/>
                      <w:u w:val="single"/>
                      <w:lang w:eastAsia="en-US"/>
                    </w:rPr>
                  </w:pPr>
                </w:p>
              </w:tc>
              <w:tc>
                <w:tcPr>
                  <w:tcW w:w="999" w:type="pct"/>
                  <w:tcBorders>
                    <w:top w:val="single" w:color="auto" w:sz="4" w:space="0"/>
                    <w:left w:val="single" w:color="auto" w:sz="4" w:space="0"/>
                    <w:bottom w:val="single" w:color="auto" w:sz="4" w:space="0"/>
                    <w:right w:val="single" w:color="auto" w:sz="4" w:space="0"/>
                  </w:tcBorders>
                  <w:vAlign w:val="center"/>
                </w:tcPr>
                <w:p w14:paraId="3E780FEF">
                  <w:pPr>
                    <w:widowControl/>
                    <w:jc w:val="center"/>
                    <w:textAlignment w:val="center"/>
                    <w:rPr>
                      <w:bCs/>
                      <w:szCs w:val="21"/>
                      <w:u w:val="single"/>
                      <w:lang w:eastAsia="en-US"/>
                    </w:rPr>
                  </w:pPr>
                  <w:r>
                    <w:rPr>
                      <w:kern w:val="0"/>
                      <w:szCs w:val="21"/>
                      <w:u w:val="single"/>
                      <w:lang w:eastAsia="en-US" w:bidi="ar"/>
                    </w:rPr>
                    <w:t>COD</w:t>
                  </w:r>
                </w:p>
              </w:tc>
              <w:tc>
                <w:tcPr>
                  <w:tcW w:w="1000" w:type="pct"/>
                  <w:vMerge w:val="continue"/>
                  <w:tcBorders>
                    <w:top w:val="single" w:color="auto" w:sz="4" w:space="0"/>
                    <w:left w:val="single" w:color="auto" w:sz="4" w:space="0"/>
                    <w:bottom w:val="single" w:color="auto" w:sz="4" w:space="0"/>
                    <w:right w:val="single" w:color="auto" w:sz="4" w:space="0"/>
                  </w:tcBorders>
                  <w:vAlign w:val="center"/>
                </w:tcPr>
                <w:p w14:paraId="7E80D13D">
                  <w:pPr>
                    <w:jc w:val="center"/>
                    <w:rPr>
                      <w:snapToGrid w:val="0"/>
                      <w:szCs w:val="21"/>
                      <w:u w:val="single"/>
                      <w:lang w:eastAsia="en-US"/>
                    </w:rPr>
                  </w:pPr>
                </w:p>
              </w:tc>
              <w:tc>
                <w:tcPr>
                  <w:tcW w:w="1000" w:type="pct"/>
                  <w:tcBorders>
                    <w:top w:val="single" w:color="auto" w:sz="4" w:space="0"/>
                    <w:left w:val="single" w:color="auto" w:sz="4" w:space="0"/>
                    <w:bottom w:val="single" w:color="auto" w:sz="4" w:space="0"/>
                    <w:right w:val="single" w:color="auto" w:sz="4" w:space="0"/>
                  </w:tcBorders>
                  <w:vAlign w:val="center"/>
                </w:tcPr>
                <w:p w14:paraId="5977BF6B">
                  <w:pPr>
                    <w:widowControl/>
                    <w:jc w:val="center"/>
                    <w:rPr>
                      <w:color w:val="000000"/>
                      <w:kern w:val="0"/>
                      <w:sz w:val="22"/>
                      <w:u w:val="single"/>
                    </w:rPr>
                  </w:pPr>
                  <w:r>
                    <w:rPr>
                      <w:color w:val="000000"/>
                      <w:sz w:val="22"/>
                      <w:u w:val="single"/>
                    </w:rPr>
                    <w:t>3000</w:t>
                  </w:r>
                </w:p>
              </w:tc>
              <w:tc>
                <w:tcPr>
                  <w:tcW w:w="1000" w:type="pct"/>
                  <w:tcBorders>
                    <w:top w:val="single" w:color="auto" w:sz="4" w:space="0"/>
                    <w:left w:val="single" w:color="auto" w:sz="4" w:space="0"/>
                    <w:bottom w:val="single" w:color="auto" w:sz="4" w:space="0"/>
                    <w:right w:val="single" w:color="auto" w:sz="12" w:space="0"/>
                  </w:tcBorders>
                  <w:vAlign w:val="center"/>
                </w:tcPr>
                <w:p w14:paraId="3BA2B67F">
                  <w:pPr>
                    <w:widowControl/>
                    <w:jc w:val="center"/>
                    <w:textAlignment w:val="center"/>
                    <w:rPr>
                      <w:color w:val="000000"/>
                      <w:kern w:val="0"/>
                      <w:sz w:val="22"/>
                      <w:u w:val="single"/>
                    </w:rPr>
                  </w:pPr>
                  <w:r>
                    <w:rPr>
                      <w:color w:val="000000"/>
                      <w:kern w:val="0"/>
                      <w:sz w:val="22"/>
                      <w:u w:val="single"/>
                      <w:lang w:bidi="ar"/>
                    </w:rPr>
                    <w:t>19.425</w:t>
                  </w:r>
                </w:p>
              </w:tc>
            </w:tr>
            <w:tr w14:paraId="7F2D8C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tcBorders>
                    <w:top w:val="single" w:color="auto" w:sz="4" w:space="0"/>
                    <w:left w:val="single" w:color="auto" w:sz="12" w:space="0"/>
                    <w:bottom w:val="single" w:color="auto" w:sz="4" w:space="0"/>
                    <w:right w:val="single" w:color="auto" w:sz="4" w:space="0"/>
                  </w:tcBorders>
                  <w:vAlign w:val="center"/>
                </w:tcPr>
                <w:p w14:paraId="2CDF0DD6">
                  <w:pPr>
                    <w:jc w:val="center"/>
                    <w:rPr>
                      <w:snapToGrid w:val="0"/>
                      <w:szCs w:val="21"/>
                      <w:u w:val="single"/>
                      <w:lang w:eastAsia="en-US"/>
                    </w:rPr>
                  </w:pPr>
                </w:p>
              </w:tc>
              <w:tc>
                <w:tcPr>
                  <w:tcW w:w="999" w:type="pct"/>
                  <w:tcBorders>
                    <w:top w:val="single" w:color="auto" w:sz="4" w:space="0"/>
                    <w:left w:val="single" w:color="auto" w:sz="4" w:space="0"/>
                    <w:bottom w:val="single" w:color="auto" w:sz="4" w:space="0"/>
                    <w:right w:val="single" w:color="auto" w:sz="4" w:space="0"/>
                  </w:tcBorders>
                  <w:vAlign w:val="center"/>
                </w:tcPr>
                <w:p w14:paraId="3ACA3448">
                  <w:pPr>
                    <w:widowControl/>
                    <w:jc w:val="center"/>
                    <w:textAlignment w:val="center"/>
                    <w:rPr>
                      <w:bCs/>
                      <w:szCs w:val="21"/>
                      <w:u w:val="single"/>
                      <w:lang w:eastAsia="en-US"/>
                    </w:rPr>
                  </w:pPr>
                  <w:r>
                    <w:rPr>
                      <w:kern w:val="0"/>
                      <w:szCs w:val="21"/>
                      <w:u w:val="single"/>
                      <w:lang w:eastAsia="en-US" w:bidi="ar"/>
                    </w:rPr>
                    <w:t>氨氮</w:t>
                  </w:r>
                </w:p>
              </w:tc>
              <w:tc>
                <w:tcPr>
                  <w:tcW w:w="1000" w:type="pct"/>
                  <w:vMerge w:val="continue"/>
                  <w:tcBorders>
                    <w:top w:val="single" w:color="auto" w:sz="4" w:space="0"/>
                    <w:left w:val="single" w:color="auto" w:sz="4" w:space="0"/>
                    <w:bottom w:val="single" w:color="auto" w:sz="4" w:space="0"/>
                    <w:right w:val="single" w:color="auto" w:sz="4" w:space="0"/>
                  </w:tcBorders>
                  <w:vAlign w:val="center"/>
                </w:tcPr>
                <w:p w14:paraId="11D2842C">
                  <w:pPr>
                    <w:jc w:val="center"/>
                    <w:rPr>
                      <w:snapToGrid w:val="0"/>
                      <w:szCs w:val="21"/>
                      <w:u w:val="single"/>
                      <w:lang w:eastAsia="en-US"/>
                    </w:rPr>
                  </w:pPr>
                </w:p>
              </w:tc>
              <w:tc>
                <w:tcPr>
                  <w:tcW w:w="1000" w:type="pct"/>
                  <w:tcBorders>
                    <w:top w:val="single" w:color="auto" w:sz="4" w:space="0"/>
                    <w:left w:val="single" w:color="auto" w:sz="4" w:space="0"/>
                    <w:bottom w:val="single" w:color="auto" w:sz="4" w:space="0"/>
                    <w:right w:val="single" w:color="auto" w:sz="4" w:space="0"/>
                  </w:tcBorders>
                  <w:vAlign w:val="center"/>
                </w:tcPr>
                <w:p w14:paraId="67D55DB8">
                  <w:pPr>
                    <w:jc w:val="center"/>
                    <w:rPr>
                      <w:color w:val="000000"/>
                      <w:sz w:val="22"/>
                      <w:u w:val="single"/>
                    </w:rPr>
                  </w:pPr>
                  <w:r>
                    <w:rPr>
                      <w:color w:val="000000"/>
                      <w:sz w:val="22"/>
                      <w:u w:val="single"/>
                    </w:rPr>
                    <w:t>60</w:t>
                  </w:r>
                </w:p>
              </w:tc>
              <w:tc>
                <w:tcPr>
                  <w:tcW w:w="1000" w:type="pct"/>
                  <w:tcBorders>
                    <w:top w:val="single" w:color="auto" w:sz="4" w:space="0"/>
                    <w:left w:val="single" w:color="auto" w:sz="4" w:space="0"/>
                    <w:bottom w:val="single" w:color="auto" w:sz="4" w:space="0"/>
                    <w:right w:val="single" w:color="auto" w:sz="12" w:space="0"/>
                  </w:tcBorders>
                  <w:vAlign w:val="center"/>
                </w:tcPr>
                <w:p w14:paraId="1369DE2F">
                  <w:pPr>
                    <w:widowControl/>
                    <w:jc w:val="center"/>
                    <w:textAlignment w:val="center"/>
                    <w:rPr>
                      <w:color w:val="000000"/>
                      <w:sz w:val="22"/>
                      <w:u w:val="single"/>
                    </w:rPr>
                  </w:pPr>
                  <w:r>
                    <w:rPr>
                      <w:color w:val="000000"/>
                      <w:kern w:val="0"/>
                      <w:sz w:val="22"/>
                      <w:u w:val="single"/>
                      <w:lang w:bidi="ar"/>
                    </w:rPr>
                    <w:t>0.3885</w:t>
                  </w:r>
                </w:p>
              </w:tc>
            </w:tr>
            <w:tr w14:paraId="2F624C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tcBorders>
                    <w:top w:val="single" w:color="auto" w:sz="4" w:space="0"/>
                    <w:left w:val="single" w:color="auto" w:sz="12" w:space="0"/>
                    <w:bottom w:val="single" w:color="auto" w:sz="4" w:space="0"/>
                    <w:right w:val="single" w:color="auto" w:sz="4" w:space="0"/>
                  </w:tcBorders>
                  <w:vAlign w:val="center"/>
                </w:tcPr>
                <w:p w14:paraId="30D08781">
                  <w:pPr>
                    <w:jc w:val="center"/>
                    <w:rPr>
                      <w:snapToGrid w:val="0"/>
                      <w:szCs w:val="21"/>
                      <w:u w:val="single"/>
                      <w:lang w:eastAsia="en-US"/>
                    </w:rPr>
                  </w:pPr>
                </w:p>
              </w:tc>
              <w:tc>
                <w:tcPr>
                  <w:tcW w:w="999" w:type="pct"/>
                  <w:tcBorders>
                    <w:top w:val="single" w:color="auto" w:sz="4" w:space="0"/>
                    <w:left w:val="single" w:color="auto" w:sz="4" w:space="0"/>
                    <w:bottom w:val="single" w:color="auto" w:sz="4" w:space="0"/>
                    <w:right w:val="single" w:color="auto" w:sz="4" w:space="0"/>
                  </w:tcBorders>
                  <w:vAlign w:val="center"/>
                </w:tcPr>
                <w:p w14:paraId="1A74D4B7">
                  <w:pPr>
                    <w:widowControl/>
                    <w:jc w:val="center"/>
                    <w:textAlignment w:val="center"/>
                    <w:rPr>
                      <w:bCs/>
                      <w:szCs w:val="21"/>
                      <w:u w:val="single"/>
                      <w:lang w:eastAsia="en-US"/>
                    </w:rPr>
                  </w:pPr>
                  <w:r>
                    <w:rPr>
                      <w:kern w:val="0"/>
                      <w:szCs w:val="21"/>
                      <w:u w:val="single"/>
                      <w:lang w:eastAsia="en-US" w:bidi="ar"/>
                    </w:rPr>
                    <w:t>总氮</w:t>
                  </w:r>
                </w:p>
              </w:tc>
              <w:tc>
                <w:tcPr>
                  <w:tcW w:w="1000" w:type="pct"/>
                  <w:vMerge w:val="continue"/>
                  <w:tcBorders>
                    <w:top w:val="single" w:color="auto" w:sz="4" w:space="0"/>
                    <w:left w:val="single" w:color="auto" w:sz="4" w:space="0"/>
                    <w:bottom w:val="single" w:color="auto" w:sz="4" w:space="0"/>
                    <w:right w:val="single" w:color="auto" w:sz="4" w:space="0"/>
                  </w:tcBorders>
                  <w:vAlign w:val="center"/>
                </w:tcPr>
                <w:p w14:paraId="223650D0">
                  <w:pPr>
                    <w:jc w:val="center"/>
                    <w:rPr>
                      <w:snapToGrid w:val="0"/>
                      <w:szCs w:val="21"/>
                      <w:u w:val="single"/>
                      <w:lang w:eastAsia="en-US"/>
                    </w:rPr>
                  </w:pPr>
                </w:p>
              </w:tc>
              <w:tc>
                <w:tcPr>
                  <w:tcW w:w="1000" w:type="pct"/>
                  <w:tcBorders>
                    <w:top w:val="single" w:color="auto" w:sz="4" w:space="0"/>
                    <w:left w:val="single" w:color="auto" w:sz="4" w:space="0"/>
                    <w:bottom w:val="single" w:color="auto" w:sz="4" w:space="0"/>
                    <w:right w:val="single" w:color="auto" w:sz="4" w:space="0"/>
                  </w:tcBorders>
                  <w:vAlign w:val="center"/>
                </w:tcPr>
                <w:p w14:paraId="6B3598F0">
                  <w:pPr>
                    <w:jc w:val="center"/>
                    <w:rPr>
                      <w:color w:val="000000"/>
                      <w:sz w:val="22"/>
                      <w:u w:val="single"/>
                    </w:rPr>
                  </w:pPr>
                  <w:r>
                    <w:rPr>
                      <w:color w:val="000000"/>
                      <w:sz w:val="22"/>
                      <w:u w:val="single"/>
                    </w:rPr>
                    <w:t>90</w:t>
                  </w:r>
                </w:p>
              </w:tc>
              <w:tc>
                <w:tcPr>
                  <w:tcW w:w="1000" w:type="pct"/>
                  <w:tcBorders>
                    <w:top w:val="single" w:color="auto" w:sz="4" w:space="0"/>
                    <w:left w:val="single" w:color="auto" w:sz="4" w:space="0"/>
                    <w:bottom w:val="single" w:color="auto" w:sz="4" w:space="0"/>
                    <w:right w:val="single" w:color="auto" w:sz="12" w:space="0"/>
                  </w:tcBorders>
                  <w:vAlign w:val="center"/>
                </w:tcPr>
                <w:p w14:paraId="2CC97E2A">
                  <w:pPr>
                    <w:widowControl/>
                    <w:jc w:val="center"/>
                    <w:textAlignment w:val="center"/>
                    <w:rPr>
                      <w:color w:val="000000"/>
                      <w:sz w:val="22"/>
                      <w:u w:val="single"/>
                    </w:rPr>
                  </w:pPr>
                  <w:r>
                    <w:rPr>
                      <w:color w:val="000000"/>
                      <w:kern w:val="0"/>
                      <w:sz w:val="22"/>
                      <w:u w:val="single"/>
                      <w:lang w:bidi="ar"/>
                    </w:rPr>
                    <w:t>0.58275</w:t>
                  </w:r>
                </w:p>
              </w:tc>
            </w:tr>
            <w:tr w14:paraId="3077DB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tcBorders>
                    <w:top w:val="single" w:color="auto" w:sz="4" w:space="0"/>
                    <w:left w:val="single" w:color="auto" w:sz="12" w:space="0"/>
                    <w:bottom w:val="single" w:color="auto" w:sz="4" w:space="0"/>
                    <w:right w:val="single" w:color="auto" w:sz="4" w:space="0"/>
                  </w:tcBorders>
                  <w:vAlign w:val="center"/>
                </w:tcPr>
                <w:p w14:paraId="72EE9B0E">
                  <w:pPr>
                    <w:jc w:val="center"/>
                    <w:rPr>
                      <w:snapToGrid w:val="0"/>
                      <w:szCs w:val="21"/>
                      <w:u w:val="single"/>
                      <w:lang w:eastAsia="en-US"/>
                    </w:rPr>
                  </w:pPr>
                </w:p>
              </w:tc>
              <w:tc>
                <w:tcPr>
                  <w:tcW w:w="999" w:type="pct"/>
                  <w:tcBorders>
                    <w:top w:val="single" w:color="auto" w:sz="4" w:space="0"/>
                    <w:left w:val="single" w:color="auto" w:sz="4" w:space="0"/>
                    <w:bottom w:val="single" w:color="auto" w:sz="4" w:space="0"/>
                    <w:right w:val="single" w:color="auto" w:sz="4" w:space="0"/>
                  </w:tcBorders>
                  <w:vAlign w:val="center"/>
                </w:tcPr>
                <w:p w14:paraId="77A8531D">
                  <w:pPr>
                    <w:widowControl/>
                    <w:jc w:val="center"/>
                    <w:textAlignment w:val="center"/>
                    <w:rPr>
                      <w:bCs/>
                      <w:szCs w:val="21"/>
                      <w:u w:val="single"/>
                      <w:lang w:eastAsia="en-US"/>
                    </w:rPr>
                  </w:pPr>
                  <w:r>
                    <w:rPr>
                      <w:kern w:val="0"/>
                      <w:szCs w:val="21"/>
                      <w:u w:val="single"/>
                      <w:lang w:eastAsia="en-US" w:bidi="ar"/>
                    </w:rPr>
                    <w:t>总磷</w:t>
                  </w:r>
                </w:p>
              </w:tc>
              <w:tc>
                <w:tcPr>
                  <w:tcW w:w="1000" w:type="pct"/>
                  <w:vMerge w:val="continue"/>
                  <w:tcBorders>
                    <w:top w:val="single" w:color="auto" w:sz="4" w:space="0"/>
                    <w:left w:val="single" w:color="auto" w:sz="4" w:space="0"/>
                    <w:bottom w:val="single" w:color="auto" w:sz="4" w:space="0"/>
                    <w:right w:val="single" w:color="auto" w:sz="4" w:space="0"/>
                  </w:tcBorders>
                  <w:vAlign w:val="center"/>
                </w:tcPr>
                <w:p w14:paraId="20F99007">
                  <w:pPr>
                    <w:jc w:val="center"/>
                    <w:rPr>
                      <w:snapToGrid w:val="0"/>
                      <w:szCs w:val="21"/>
                      <w:u w:val="single"/>
                      <w:lang w:eastAsia="en-US"/>
                    </w:rPr>
                  </w:pPr>
                </w:p>
              </w:tc>
              <w:tc>
                <w:tcPr>
                  <w:tcW w:w="1000" w:type="pct"/>
                  <w:tcBorders>
                    <w:top w:val="single" w:color="auto" w:sz="4" w:space="0"/>
                    <w:left w:val="single" w:color="auto" w:sz="4" w:space="0"/>
                    <w:bottom w:val="single" w:color="auto" w:sz="4" w:space="0"/>
                    <w:right w:val="single" w:color="auto" w:sz="4" w:space="0"/>
                  </w:tcBorders>
                  <w:vAlign w:val="center"/>
                </w:tcPr>
                <w:p w14:paraId="2F9E7E02">
                  <w:pPr>
                    <w:jc w:val="center"/>
                    <w:rPr>
                      <w:color w:val="000000"/>
                      <w:sz w:val="22"/>
                      <w:u w:val="single"/>
                    </w:rPr>
                  </w:pPr>
                  <w:r>
                    <w:rPr>
                      <w:color w:val="000000"/>
                      <w:sz w:val="22"/>
                      <w:u w:val="single"/>
                    </w:rPr>
                    <w:t>30</w:t>
                  </w:r>
                </w:p>
              </w:tc>
              <w:tc>
                <w:tcPr>
                  <w:tcW w:w="1000" w:type="pct"/>
                  <w:tcBorders>
                    <w:top w:val="single" w:color="auto" w:sz="4" w:space="0"/>
                    <w:left w:val="single" w:color="auto" w:sz="4" w:space="0"/>
                    <w:bottom w:val="single" w:color="auto" w:sz="4" w:space="0"/>
                    <w:right w:val="single" w:color="auto" w:sz="12" w:space="0"/>
                  </w:tcBorders>
                  <w:vAlign w:val="center"/>
                </w:tcPr>
                <w:p w14:paraId="6B4125AA">
                  <w:pPr>
                    <w:widowControl/>
                    <w:jc w:val="center"/>
                    <w:textAlignment w:val="center"/>
                    <w:rPr>
                      <w:color w:val="000000"/>
                      <w:sz w:val="22"/>
                      <w:u w:val="single"/>
                    </w:rPr>
                  </w:pPr>
                  <w:r>
                    <w:rPr>
                      <w:color w:val="000000"/>
                      <w:kern w:val="0"/>
                      <w:sz w:val="22"/>
                      <w:u w:val="single"/>
                      <w:lang w:bidi="ar"/>
                    </w:rPr>
                    <w:t>0.19425</w:t>
                  </w:r>
                </w:p>
              </w:tc>
            </w:tr>
            <w:tr w14:paraId="6263D2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tcBorders>
                    <w:top w:val="single" w:color="auto" w:sz="4" w:space="0"/>
                    <w:left w:val="single" w:color="auto" w:sz="12" w:space="0"/>
                    <w:bottom w:val="single" w:color="auto" w:sz="4" w:space="0"/>
                    <w:right w:val="single" w:color="auto" w:sz="4" w:space="0"/>
                  </w:tcBorders>
                  <w:vAlign w:val="center"/>
                </w:tcPr>
                <w:p w14:paraId="48C370A2">
                  <w:pPr>
                    <w:jc w:val="center"/>
                    <w:rPr>
                      <w:snapToGrid w:val="0"/>
                      <w:szCs w:val="21"/>
                      <w:u w:val="single"/>
                      <w:lang w:eastAsia="en-US"/>
                    </w:rPr>
                  </w:pPr>
                </w:p>
              </w:tc>
              <w:tc>
                <w:tcPr>
                  <w:tcW w:w="999" w:type="pct"/>
                  <w:tcBorders>
                    <w:top w:val="single" w:color="auto" w:sz="4" w:space="0"/>
                    <w:left w:val="single" w:color="auto" w:sz="4" w:space="0"/>
                    <w:bottom w:val="single" w:color="auto" w:sz="4" w:space="0"/>
                    <w:right w:val="single" w:color="auto" w:sz="4" w:space="0"/>
                  </w:tcBorders>
                  <w:vAlign w:val="center"/>
                </w:tcPr>
                <w:p w14:paraId="563CEE11">
                  <w:pPr>
                    <w:widowControl/>
                    <w:jc w:val="center"/>
                    <w:textAlignment w:val="center"/>
                    <w:rPr>
                      <w:kern w:val="0"/>
                      <w:szCs w:val="21"/>
                      <w:u w:val="single"/>
                      <w:lang w:eastAsia="en-US" w:bidi="ar"/>
                    </w:rPr>
                  </w:pPr>
                  <w:r>
                    <w:rPr>
                      <w:kern w:val="0"/>
                      <w:szCs w:val="21"/>
                      <w:u w:val="single"/>
                      <w:lang w:eastAsia="en-US" w:bidi="ar"/>
                    </w:rPr>
                    <w:t>SS</w:t>
                  </w:r>
                </w:p>
              </w:tc>
              <w:tc>
                <w:tcPr>
                  <w:tcW w:w="1000" w:type="pct"/>
                  <w:vMerge w:val="continue"/>
                  <w:tcBorders>
                    <w:top w:val="single" w:color="auto" w:sz="4" w:space="0"/>
                    <w:left w:val="single" w:color="auto" w:sz="4" w:space="0"/>
                    <w:bottom w:val="single" w:color="auto" w:sz="4" w:space="0"/>
                    <w:right w:val="single" w:color="auto" w:sz="4" w:space="0"/>
                  </w:tcBorders>
                  <w:vAlign w:val="center"/>
                </w:tcPr>
                <w:p w14:paraId="4B0780B8">
                  <w:pPr>
                    <w:jc w:val="center"/>
                    <w:rPr>
                      <w:snapToGrid w:val="0"/>
                      <w:szCs w:val="21"/>
                      <w:u w:val="single"/>
                      <w:lang w:eastAsia="en-US"/>
                    </w:rPr>
                  </w:pPr>
                </w:p>
              </w:tc>
              <w:tc>
                <w:tcPr>
                  <w:tcW w:w="1000" w:type="pct"/>
                  <w:tcBorders>
                    <w:top w:val="single" w:color="auto" w:sz="4" w:space="0"/>
                    <w:left w:val="single" w:color="auto" w:sz="4" w:space="0"/>
                    <w:bottom w:val="single" w:color="auto" w:sz="4" w:space="0"/>
                    <w:right w:val="single" w:color="auto" w:sz="4" w:space="0"/>
                  </w:tcBorders>
                  <w:vAlign w:val="center"/>
                </w:tcPr>
                <w:p w14:paraId="5F30E819">
                  <w:pPr>
                    <w:jc w:val="center"/>
                    <w:rPr>
                      <w:color w:val="000000"/>
                      <w:sz w:val="22"/>
                      <w:u w:val="single"/>
                    </w:rPr>
                  </w:pPr>
                  <w:r>
                    <w:rPr>
                      <w:color w:val="000000"/>
                      <w:sz w:val="22"/>
                      <w:u w:val="single"/>
                    </w:rPr>
                    <w:t>500</w:t>
                  </w:r>
                </w:p>
              </w:tc>
              <w:tc>
                <w:tcPr>
                  <w:tcW w:w="1000" w:type="pct"/>
                  <w:tcBorders>
                    <w:top w:val="single" w:color="auto" w:sz="4" w:space="0"/>
                    <w:left w:val="single" w:color="auto" w:sz="4" w:space="0"/>
                    <w:bottom w:val="single" w:color="auto" w:sz="4" w:space="0"/>
                    <w:right w:val="single" w:color="auto" w:sz="12" w:space="0"/>
                  </w:tcBorders>
                  <w:vAlign w:val="center"/>
                </w:tcPr>
                <w:p w14:paraId="3459D244">
                  <w:pPr>
                    <w:widowControl/>
                    <w:jc w:val="center"/>
                    <w:textAlignment w:val="center"/>
                    <w:rPr>
                      <w:color w:val="000000"/>
                      <w:sz w:val="22"/>
                      <w:u w:val="single"/>
                    </w:rPr>
                  </w:pPr>
                  <w:r>
                    <w:rPr>
                      <w:color w:val="000000"/>
                      <w:kern w:val="0"/>
                      <w:sz w:val="22"/>
                      <w:u w:val="single"/>
                      <w:lang w:bidi="ar"/>
                    </w:rPr>
                    <w:t>3.2375</w:t>
                  </w:r>
                </w:p>
              </w:tc>
            </w:tr>
            <w:tr w14:paraId="500201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tcBorders>
                    <w:top w:val="single" w:color="auto" w:sz="4" w:space="0"/>
                    <w:left w:val="single" w:color="auto" w:sz="12" w:space="0"/>
                    <w:bottom w:val="single" w:color="auto" w:sz="4" w:space="0"/>
                    <w:right w:val="single" w:color="auto" w:sz="4" w:space="0"/>
                  </w:tcBorders>
                  <w:vAlign w:val="center"/>
                </w:tcPr>
                <w:p w14:paraId="5DA1BC1F">
                  <w:pPr>
                    <w:jc w:val="center"/>
                    <w:rPr>
                      <w:snapToGrid w:val="0"/>
                      <w:szCs w:val="21"/>
                      <w:u w:val="single"/>
                      <w:lang w:eastAsia="en-US"/>
                    </w:rPr>
                  </w:pPr>
                </w:p>
              </w:tc>
              <w:tc>
                <w:tcPr>
                  <w:tcW w:w="999" w:type="pct"/>
                  <w:tcBorders>
                    <w:top w:val="single" w:color="auto" w:sz="4" w:space="0"/>
                    <w:left w:val="single" w:color="auto" w:sz="4" w:space="0"/>
                    <w:bottom w:val="single" w:color="auto" w:sz="4" w:space="0"/>
                    <w:right w:val="single" w:color="auto" w:sz="4" w:space="0"/>
                  </w:tcBorders>
                  <w:vAlign w:val="center"/>
                </w:tcPr>
                <w:p w14:paraId="05EBD0FD">
                  <w:pPr>
                    <w:widowControl/>
                    <w:jc w:val="center"/>
                    <w:textAlignment w:val="center"/>
                    <w:rPr>
                      <w:kern w:val="0"/>
                      <w:szCs w:val="21"/>
                      <w:u w:val="single"/>
                      <w:lang w:eastAsia="en-US" w:bidi="ar"/>
                    </w:rPr>
                  </w:pPr>
                  <w:r>
                    <w:rPr>
                      <w:kern w:val="0"/>
                      <w:szCs w:val="21"/>
                      <w:u w:val="single"/>
                      <w:lang w:eastAsia="en-US" w:bidi="ar"/>
                    </w:rPr>
                    <w:t>BOD</w:t>
                  </w:r>
                </w:p>
              </w:tc>
              <w:tc>
                <w:tcPr>
                  <w:tcW w:w="1000" w:type="pct"/>
                  <w:vMerge w:val="continue"/>
                  <w:tcBorders>
                    <w:top w:val="single" w:color="auto" w:sz="4" w:space="0"/>
                    <w:left w:val="single" w:color="auto" w:sz="4" w:space="0"/>
                    <w:bottom w:val="single" w:color="auto" w:sz="4" w:space="0"/>
                    <w:right w:val="single" w:color="auto" w:sz="4" w:space="0"/>
                  </w:tcBorders>
                  <w:vAlign w:val="center"/>
                </w:tcPr>
                <w:p w14:paraId="7AD8D395">
                  <w:pPr>
                    <w:jc w:val="center"/>
                    <w:rPr>
                      <w:snapToGrid w:val="0"/>
                      <w:szCs w:val="21"/>
                      <w:u w:val="single"/>
                      <w:lang w:eastAsia="en-US"/>
                    </w:rPr>
                  </w:pPr>
                </w:p>
              </w:tc>
              <w:tc>
                <w:tcPr>
                  <w:tcW w:w="1000" w:type="pct"/>
                  <w:tcBorders>
                    <w:top w:val="single" w:color="auto" w:sz="4" w:space="0"/>
                    <w:left w:val="single" w:color="auto" w:sz="4" w:space="0"/>
                    <w:bottom w:val="single" w:color="auto" w:sz="4" w:space="0"/>
                    <w:right w:val="single" w:color="auto" w:sz="4" w:space="0"/>
                  </w:tcBorders>
                  <w:vAlign w:val="center"/>
                </w:tcPr>
                <w:p w14:paraId="4B70A403">
                  <w:pPr>
                    <w:jc w:val="center"/>
                    <w:rPr>
                      <w:color w:val="000000"/>
                      <w:sz w:val="22"/>
                      <w:u w:val="single"/>
                    </w:rPr>
                  </w:pPr>
                  <w:r>
                    <w:rPr>
                      <w:color w:val="000000"/>
                      <w:sz w:val="22"/>
                      <w:u w:val="single"/>
                    </w:rPr>
                    <w:t>1800</w:t>
                  </w:r>
                </w:p>
              </w:tc>
              <w:tc>
                <w:tcPr>
                  <w:tcW w:w="1000" w:type="pct"/>
                  <w:tcBorders>
                    <w:top w:val="single" w:color="auto" w:sz="4" w:space="0"/>
                    <w:left w:val="single" w:color="auto" w:sz="4" w:space="0"/>
                    <w:bottom w:val="single" w:color="auto" w:sz="4" w:space="0"/>
                    <w:right w:val="single" w:color="auto" w:sz="12" w:space="0"/>
                  </w:tcBorders>
                  <w:vAlign w:val="center"/>
                </w:tcPr>
                <w:p w14:paraId="1AC92141">
                  <w:pPr>
                    <w:widowControl/>
                    <w:jc w:val="center"/>
                    <w:textAlignment w:val="center"/>
                    <w:rPr>
                      <w:color w:val="000000"/>
                      <w:sz w:val="22"/>
                      <w:u w:val="single"/>
                    </w:rPr>
                  </w:pPr>
                  <w:r>
                    <w:rPr>
                      <w:color w:val="000000"/>
                      <w:kern w:val="0"/>
                      <w:sz w:val="22"/>
                      <w:u w:val="single"/>
                      <w:lang w:bidi="ar"/>
                    </w:rPr>
                    <w:t>11.655</w:t>
                  </w:r>
                </w:p>
              </w:tc>
            </w:tr>
            <w:tr w14:paraId="2CBA52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tcBorders>
                    <w:top w:val="single" w:color="auto" w:sz="4" w:space="0"/>
                    <w:left w:val="single" w:color="auto" w:sz="12" w:space="0"/>
                    <w:bottom w:val="single" w:color="auto" w:sz="4" w:space="0"/>
                    <w:right w:val="single" w:color="auto" w:sz="4" w:space="0"/>
                  </w:tcBorders>
                  <w:vAlign w:val="center"/>
                </w:tcPr>
                <w:p w14:paraId="6D234F19">
                  <w:pPr>
                    <w:jc w:val="center"/>
                    <w:rPr>
                      <w:snapToGrid w:val="0"/>
                      <w:szCs w:val="21"/>
                      <w:u w:val="single"/>
                      <w:lang w:eastAsia="en-US"/>
                    </w:rPr>
                  </w:pPr>
                </w:p>
              </w:tc>
              <w:tc>
                <w:tcPr>
                  <w:tcW w:w="999" w:type="pct"/>
                  <w:tcBorders>
                    <w:top w:val="single" w:color="auto" w:sz="4" w:space="0"/>
                    <w:left w:val="single" w:color="auto" w:sz="4" w:space="0"/>
                    <w:bottom w:val="single" w:color="auto" w:sz="4" w:space="0"/>
                    <w:right w:val="single" w:color="auto" w:sz="4" w:space="0"/>
                  </w:tcBorders>
                  <w:vAlign w:val="center"/>
                </w:tcPr>
                <w:p w14:paraId="42ACD4CE">
                  <w:pPr>
                    <w:widowControl/>
                    <w:jc w:val="center"/>
                    <w:textAlignment w:val="center"/>
                    <w:rPr>
                      <w:kern w:val="0"/>
                      <w:szCs w:val="21"/>
                      <w:u w:val="single"/>
                      <w:lang w:eastAsia="en-US" w:bidi="ar"/>
                    </w:rPr>
                  </w:pPr>
                  <w:r>
                    <w:rPr>
                      <w:kern w:val="0"/>
                      <w:szCs w:val="21"/>
                      <w:u w:val="single"/>
                      <w:lang w:eastAsia="en-US" w:bidi="ar"/>
                    </w:rPr>
                    <w:t>动植物油</w:t>
                  </w:r>
                </w:p>
              </w:tc>
              <w:tc>
                <w:tcPr>
                  <w:tcW w:w="1000" w:type="pct"/>
                  <w:vMerge w:val="continue"/>
                  <w:tcBorders>
                    <w:top w:val="single" w:color="auto" w:sz="4" w:space="0"/>
                    <w:left w:val="single" w:color="auto" w:sz="4" w:space="0"/>
                    <w:bottom w:val="single" w:color="auto" w:sz="4" w:space="0"/>
                    <w:right w:val="single" w:color="auto" w:sz="4" w:space="0"/>
                  </w:tcBorders>
                  <w:vAlign w:val="center"/>
                </w:tcPr>
                <w:p w14:paraId="36C8D4C8">
                  <w:pPr>
                    <w:jc w:val="center"/>
                    <w:rPr>
                      <w:snapToGrid w:val="0"/>
                      <w:szCs w:val="21"/>
                      <w:u w:val="single"/>
                      <w:lang w:eastAsia="en-US"/>
                    </w:rPr>
                  </w:pPr>
                </w:p>
              </w:tc>
              <w:tc>
                <w:tcPr>
                  <w:tcW w:w="1000" w:type="pct"/>
                  <w:tcBorders>
                    <w:top w:val="single" w:color="auto" w:sz="4" w:space="0"/>
                    <w:left w:val="single" w:color="auto" w:sz="4" w:space="0"/>
                    <w:bottom w:val="single" w:color="auto" w:sz="4" w:space="0"/>
                    <w:right w:val="single" w:color="auto" w:sz="4" w:space="0"/>
                  </w:tcBorders>
                  <w:vAlign w:val="center"/>
                </w:tcPr>
                <w:p w14:paraId="232B1639">
                  <w:pPr>
                    <w:jc w:val="center"/>
                    <w:rPr>
                      <w:color w:val="000000"/>
                      <w:sz w:val="22"/>
                      <w:u w:val="single"/>
                    </w:rPr>
                  </w:pPr>
                  <w:r>
                    <w:rPr>
                      <w:color w:val="000000"/>
                      <w:sz w:val="22"/>
                      <w:u w:val="single"/>
                    </w:rPr>
                    <w:t>300</w:t>
                  </w:r>
                </w:p>
              </w:tc>
              <w:tc>
                <w:tcPr>
                  <w:tcW w:w="1000" w:type="pct"/>
                  <w:tcBorders>
                    <w:top w:val="single" w:color="auto" w:sz="4" w:space="0"/>
                    <w:left w:val="single" w:color="auto" w:sz="4" w:space="0"/>
                    <w:bottom w:val="single" w:color="auto" w:sz="4" w:space="0"/>
                    <w:right w:val="single" w:color="auto" w:sz="12" w:space="0"/>
                  </w:tcBorders>
                  <w:vAlign w:val="center"/>
                </w:tcPr>
                <w:p w14:paraId="3A7877A9">
                  <w:pPr>
                    <w:widowControl/>
                    <w:jc w:val="center"/>
                    <w:textAlignment w:val="center"/>
                    <w:rPr>
                      <w:color w:val="000000"/>
                      <w:sz w:val="22"/>
                      <w:u w:val="single"/>
                    </w:rPr>
                  </w:pPr>
                  <w:r>
                    <w:rPr>
                      <w:color w:val="000000"/>
                      <w:kern w:val="0"/>
                      <w:sz w:val="22"/>
                      <w:u w:val="single"/>
                      <w:lang w:bidi="ar"/>
                    </w:rPr>
                    <w:t>1.9425</w:t>
                  </w:r>
                </w:p>
              </w:tc>
            </w:tr>
            <w:tr w14:paraId="5DD691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restart"/>
                  <w:tcBorders>
                    <w:top w:val="single" w:color="auto" w:sz="4" w:space="0"/>
                    <w:left w:val="single" w:color="auto" w:sz="12" w:space="0"/>
                    <w:right w:val="single" w:color="auto" w:sz="4" w:space="0"/>
                  </w:tcBorders>
                  <w:vAlign w:val="center"/>
                </w:tcPr>
                <w:p w14:paraId="116CC783">
                  <w:pPr>
                    <w:adjustRightInd w:val="0"/>
                    <w:jc w:val="center"/>
                    <w:rPr>
                      <w:bCs/>
                      <w:szCs w:val="21"/>
                      <w:u w:val="single"/>
                      <w:lang w:eastAsia="en-US" w:bidi="ar"/>
                    </w:rPr>
                  </w:pPr>
                  <w:r>
                    <w:rPr>
                      <w:bCs/>
                      <w:szCs w:val="21"/>
                      <w:u w:val="single"/>
                      <w:lang w:bidi="ar"/>
                    </w:rPr>
                    <w:t>黄豆浸泡</w:t>
                  </w:r>
                  <w:r>
                    <w:rPr>
                      <w:bCs/>
                      <w:szCs w:val="21"/>
                      <w:u w:val="single"/>
                      <w:lang w:eastAsia="en-US" w:bidi="ar"/>
                    </w:rPr>
                    <w:t>废水</w:t>
                  </w:r>
                </w:p>
              </w:tc>
              <w:tc>
                <w:tcPr>
                  <w:tcW w:w="999" w:type="pct"/>
                  <w:tcBorders>
                    <w:top w:val="single" w:color="auto" w:sz="4" w:space="0"/>
                    <w:left w:val="single" w:color="auto" w:sz="4" w:space="0"/>
                    <w:bottom w:val="single" w:color="auto" w:sz="4" w:space="0"/>
                    <w:right w:val="single" w:color="auto" w:sz="4" w:space="0"/>
                  </w:tcBorders>
                  <w:vAlign w:val="center"/>
                </w:tcPr>
                <w:p w14:paraId="275CD4B4">
                  <w:pPr>
                    <w:adjustRightInd w:val="0"/>
                    <w:jc w:val="center"/>
                    <w:rPr>
                      <w:bCs/>
                      <w:szCs w:val="21"/>
                      <w:u w:val="single"/>
                      <w:lang w:eastAsia="en-US"/>
                    </w:rPr>
                  </w:pPr>
                  <w:r>
                    <w:rPr>
                      <w:bCs/>
                      <w:szCs w:val="21"/>
                      <w:u w:val="single"/>
                      <w:lang w:eastAsia="en-US" w:bidi="ar"/>
                    </w:rPr>
                    <w:t>pH</w:t>
                  </w:r>
                </w:p>
              </w:tc>
              <w:tc>
                <w:tcPr>
                  <w:tcW w:w="1000" w:type="pct"/>
                  <w:vMerge w:val="restart"/>
                  <w:tcBorders>
                    <w:top w:val="single" w:color="auto" w:sz="4" w:space="0"/>
                    <w:left w:val="single" w:color="auto" w:sz="4" w:space="0"/>
                    <w:bottom w:val="single" w:color="auto" w:sz="4" w:space="0"/>
                    <w:right w:val="single" w:color="auto" w:sz="4" w:space="0"/>
                  </w:tcBorders>
                  <w:vAlign w:val="center"/>
                </w:tcPr>
                <w:p w14:paraId="47191C1C">
                  <w:pPr>
                    <w:adjustRightInd w:val="0"/>
                    <w:jc w:val="center"/>
                    <w:rPr>
                      <w:bCs/>
                      <w:szCs w:val="21"/>
                      <w:u w:val="single"/>
                      <w:lang w:bidi="ar"/>
                    </w:rPr>
                  </w:pPr>
                  <w:r>
                    <w:rPr>
                      <w:rFonts w:hint="eastAsia"/>
                      <w:bCs/>
                      <w:szCs w:val="21"/>
                      <w:u w:val="single"/>
                      <w:lang w:bidi="ar"/>
                    </w:rPr>
                    <w:t>270</w:t>
                  </w:r>
                </w:p>
              </w:tc>
              <w:tc>
                <w:tcPr>
                  <w:tcW w:w="1000" w:type="pct"/>
                  <w:tcBorders>
                    <w:top w:val="single" w:color="auto" w:sz="4" w:space="0"/>
                    <w:left w:val="single" w:color="auto" w:sz="4" w:space="0"/>
                    <w:bottom w:val="single" w:color="auto" w:sz="4" w:space="0"/>
                    <w:right w:val="single" w:color="auto" w:sz="4" w:space="0"/>
                  </w:tcBorders>
                  <w:vAlign w:val="center"/>
                </w:tcPr>
                <w:p w14:paraId="0CB3470D">
                  <w:pPr>
                    <w:widowControl/>
                    <w:jc w:val="center"/>
                    <w:textAlignment w:val="center"/>
                    <w:rPr>
                      <w:kern w:val="0"/>
                      <w:szCs w:val="21"/>
                      <w:u w:val="single"/>
                      <w:lang w:eastAsia="en-US" w:bidi="ar"/>
                    </w:rPr>
                  </w:pPr>
                  <w:r>
                    <w:rPr>
                      <w:kern w:val="0"/>
                      <w:szCs w:val="21"/>
                      <w:u w:val="single"/>
                      <w:lang w:eastAsia="en-US" w:bidi="ar"/>
                    </w:rPr>
                    <w:t>6-9</w:t>
                  </w:r>
                </w:p>
              </w:tc>
              <w:tc>
                <w:tcPr>
                  <w:tcW w:w="1000" w:type="pct"/>
                  <w:tcBorders>
                    <w:top w:val="single" w:color="auto" w:sz="4" w:space="0"/>
                    <w:left w:val="single" w:color="auto" w:sz="4" w:space="0"/>
                    <w:bottom w:val="single" w:color="auto" w:sz="4" w:space="0"/>
                    <w:right w:val="single" w:color="auto" w:sz="12" w:space="0"/>
                  </w:tcBorders>
                  <w:vAlign w:val="center"/>
                </w:tcPr>
                <w:p w14:paraId="6113E956">
                  <w:pPr>
                    <w:widowControl/>
                    <w:jc w:val="center"/>
                    <w:textAlignment w:val="center"/>
                    <w:rPr>
                      <w:kern w:val="0"/>
                      <w:szCs w:val="21"/>
                      <w:u w:val="single"/>
                      <w:lang w:eastAsia="en-US" w:bidi="ar"/>
                    </w:rPr>
                  </w:pPr>
                  <w:r>
                    <w:rPr>
                      <w:kern w:val="0"/>
                      <w:szCs w:val="21"/>
                      <w:u w:val="single"/>
                      <w:lang w:eastAsia="en-US" w:bidi="ar"/>
                    </w:rPr>
                    <w:t>/</w:t>
                  </w:r>
                </w:p>
              </w:tc>
            </w:tr>
            <w:tr w14:paraId="42EAA2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tcBorders>
                    <w:left w:val="single" w:color="auto" w:sz="12" w:space="0"/>
                    <w:right w:val="single" w:color="auto" w:sz="4" w:space="0"/>
                  </w:tcBorders>
                  <w:vAlign w:val="center"/>
                </w:tcPr>
                <w:p w14:paraId="4D8937EC">
                  <w:pPr>
                    <w:jc w:val="center"/>
                    <w:rPr>
                      <w:snapToGrid w:val="0"/>
                      <w:szCs w:val="21"/>
                      <w:u w:val="single"/>
                      <w:lang w:eastAsia="en-US"/>
                    </w:rPr>
                  </w:pPr>
                </w:p>
              </w:tc>
              <w:tc>
                <w:tcPr>
                  <w:tcW w:w="999" w:type="pct"/>
                  <w:tcBorders>
                    <w:top w:val="single" w:color="auto" w:sz="4" w:space="0"/>
                    <w:left w:val="single" w:color="auto" w:sz="4" w:space="0"/>
                    <w:bottom w:val="single" w:color="auto" w:sz="4" w:space="0"/>
                    <w:right w:val="single" w:color="auto" w:sz="4" w:space="0"/>
                  </w:tcBorders>
                  <w:vAlign w:val="center"/>
                </w:tcPr>
                <w:p w14:paraId="4BBCAAA0">
                  <w:pPr>
                    <w:widowControl/>
                    <w:jc w:val="center"/>
                    <w:textAlignment w:val="center"/>
                    <w:rPr>
                      <w:bCs/>
                      <w:szCs w:val="21"/>
                      <w:u w:val="single"/>
                      <w:lang w:eastAsia="en-US"/>
                    </w:rPr>
                  </w:pPr>
                  <w:r>
                    <w:rPr>
                      <w:kern w:val="0"/>
                      <w:szCs w:val="21"/>
                      <w:u w:val="single"/>
                      <w:lang w:eastAsia="en-US" w:bidi="ar"/>
                    </w:rPr>
                    <w:t>COD</w:t>
                  </w:r>
                </w:p>
              </w:tc>
              <w:tc>
                <w:tcPr>
                  <w:tcW w:w="1000" w:type="pct"/>
                  <w:vMerge w:val="continue"/>
                  <w:tcBorders>
                    <w:top w:val="single" w:color="auto" w:sz="4" w:space="0"/>
                    <w:left w:val="single" w:color="auto" w:sz="4" w:space="0"/>
                    <w:bottom w:val="single" w:color="auto" w:sz="4" w:space="0"/>
                    <w:right w:val="single" w:color="auto" w:sz="4" w:space="0"/>
                  </w:tcBorders>
                  <w:vAlign w:val="center"/>
                </w:tcPr>
                <w:p w14:paraId="6C07E83A">
                  <w:pPr>
                    <w:jc w:val="center"/>
                    <w:rPr>
                      <w:snapToGrid w:val="0"/>
                      <w:szCs w:val="21"/>
                      <w:u w:val="single"/>
                      <w:lang w:eastAsia="en-US"/>
                    </w:rPr>
                  </w:pPr>
                </w:p>
              </w:tc>
              <w:tc>
                <w:tcPr>
                  <w:tcW w:w="1000" w:type="pct"/>
                  <w:tcBorders>
                    <w:top w:val="single" w:color="auto" w:sz="4" w:space="0"/>
                    <w:left w:val="single" w:color="auto" w:sz="4" w:space="0"/>
                    <w:bottom w:val="single" w:color="auto" w:sz="4" w:space="0"/>
                    <w:right w:val="single" w:color="auto" w:sz="4" w:space="0"/>
                  </w:tcBorders>
                  <w:vAlign w:val="center"/>
                </w:tcPr>
                <w:p w14:paraId="2A8DC77C">
                  <w:pPr>
                    <w:widowControl/>
                    <w:jc w:val="center"/>
                    <w:rPr>
                      <w:color w:val="000000"/>
                      <w:kern w:val="0"/>
                      <w:sz w:val="22"/>
                      <w:u w:val="single"/>
                    </w:rPr>
                  </w:pPr>
                  <w:r>
                    <w:rPr>
                      <w:color w:val="000000"/>
                      <w:sz w:val="22"/>
                      <w:u w:val="single"/>
                    </w:rPr>
                    <w:t>2000</w:t>
                  </w:r>
                </w:p>
              </w:tc>
              <w:tc>
                <w:tcPr>
                  <w:tcW w:w="1000" w:type="pct"/>
                  <w:tcBorders>
                    <w:top w:val="single" w:color="auto" w:sz="4" w:space="0"/>
                    <w:left w:val="single" w:color="auto" w:sz="4" w:space="0"/>
                    <w:bottom w:val="single" w:color="auto" w:sz="4" w:space="0"/>
                    <w:right w:val="single" w:color="auto" w:sz="12" w:space="0"/>
                  </w:tcBorders>
                  <w:vAlign w:val="center"/>
                </w:tcPr>
                <w:p w14:paraId="303D3236">
                  <w:pPr>
                    <w:widowControl/>
                    <w:jc w:val="center"/>
                    <w:textAlignment w:val="center"/>
                    <w:rPr>
                      <w:color w:val="000000"/>
                      <w:kern w:val="0"/>
                      <w:sz w:val="22"/>
                      <w:u w:val="single"/>
                    </w:rPr>
                  </w:pPr>
                  <w:r>
                    <w:rPr>
                      <w:color w:val="000000"/>
                      <w:kern w:val="0"/>
                      <w:sz w:val="22"/>
                      <w:u w:val="single"/>
                      <w:lang w:bidi="ar"/>
                    </w:rPr>
                    <w:t>0.54</w:t>
                  </w:r>
                </w:p>
              </w:tc>
            </w:tr>
            <w:tr w14:paraId="7FBAE5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tcBorders>
                    <w:left w:val="single" w:color="auto" w:sz="12" w:space="0"/>
                    <w:right w:val="single" w:color="auto" w:sz="4" w:space="0"/>
                  </w:tcBorders>
                  <w:vAlign w:val="center"/>
                </w:tcPr>
                <w:p w14:paraId="5C801F6C">
                  <w:pPr>
                    <w:jc w:val="center"/>
                    <w:rPr>
                      <w:snapToGrid w:val="0"/>
                      <w:szCs w:val="21"/>
                      <w:u w:val="single"/>
                      <w:lang w:eastAsia="en-US"/>
                    </w:rPr>
                  </w:pPr>
                </w:p>
              </w:tc>
              <w:tc>
                <w:tcPr>
                  <w:tcW w:w="999" w:type="pct"/>
                  <w:tcBorders>
                    <w:top w:val="single" w:color="auto" w:sz="4" w:space="0"/>
                    <w:left w:val="single" w:color="auto" w:sz="4" w:space="0"/>
                    <w:bottom w:val="single" w:color="auto" w:sz="4" w:space="0"/>
                    <w:right w:val="single" w:color="auto" w:sz="4" w:space="0"/>
                  </w:tcBorders>
                  <w:vAlign w:val="center"/>
                </w:tcPr>
                <w:p w14:paraId="21498067">
                  <w:pPr>
                    <w:widowControl/>
                    <w:jc w:val="center"/>
                    <w:textAlignment w:val="center"/>
                    <w:rPr>
                      <w:bCs/>
                      <w:szCs w:val="21"/>
                      <w:u w:val="single"/>
                      <w:lang w:eastAsia="en-US"/>
                    </w:rPr>
                  </w:pPr>
                  <w:r>
                    <w:rPr>
                      <w:kern w:val="0"/>
                      <w:szCs w:val="21"/>
                      <w:u w:val="single"/>
                      <w:lang w:eastAsia="en-US" w:bidi="ar"/>
                    </w:rPr>
                    <w:t>氨氮</w:t>
                  </w:r>
                </w:p>
              </w:tc>
              <w:tc>
                <w:tcPr>
                  <w:tcW w:w="1000" w:type="pct"/>
                  <w:vMerge w:val="continue"/>
                  <w:tcBorders>
                    <w:top w:val="single" w:color="auto" w:sz="4" w:space="0"/>
                    <w:left w:val="single" w:color="auto" w:sz="4" w:space="0"/>
                    <w:bottom w:val="single" w:color="auto" w:sz="4" w:space="0"/>
                    <w:right w:val="single" w:color="auto" w:sz="4" w:space="0"/>
                  </w:tcBorders>
                  <w:vAlign w:val="center"/>
                </w:tcPr>
                <w:p w14:paraId="43F11898">
                  <w:pPr>
                    <w:jc w:val="center"/>
                    <w:rPr>
                      <w:snapToGrid w:val="0"/>
                      <w:szCs w:val="21"/>
                      <w:u w:val="single"/>
                      <w:lang w:eastAsia="en-US"/>
                    </w:rPr>
                  </w:pPr>
                </w:p>
              </w:tc>
              <w:tc>
                <w:tcPr>
                  <w:tcW w:w="1000" w:type="pct"/>
                  <w:tcBorders>
                    <w:top w:val="single" w:color="auto" w:sz="4" w:space="0"/>
                    <w:left w:val="single" w:color="auto" w:sz="4" w:space="0"/>
                    <w:bottom w:val="single" w:color="auto" w:sz="4" w:space="0"/>
                    <w:right w:val="single" w:color="auto" w:sz="4" w:space="0"/>
                  </w:tcBorders>
                  <w:vAlign w:val="center"/>
                </w:tcPr>
                <w:p w14:paraId="7E3426C1">
                  <w:pPr>
                    <w:jc w:val="center"/>
                    <w:rPr>
                      <w:color w:val="000000"/>
                      <w:sz w:val="22"/>
                      <w:u w:val="single"/>
                    </w:rPr>
                  </w:pPr>
                  <w:r>
                    <w:rPr>
                      <w:color w:val="000000"/>
                      <w:sz w:val="22"/>
                      <w:u w:val="single"/>
                    </w:rPr>
                    <w:t>50</w:t>
                  </w:r>
                </w:p>
              </w:tc>
              <w:tc>
                <w:tcPr>
                  <w:tcW w:w="1000" w:type="pct"/>
                  <w:tcBorders>
                    <w:top w:val="single" w:color="auto" w:sz="4" w:space="0"/>
                    <w:left w:val="single" w:color="auto" w:sz="4" w:space="0"/>
                    <w:bottom w:val="single" w:color="auto" w:sz="4" w:space="0"/>
                    <w:right w:val="single" w:color="auto" w:sz="12" w:space="0"/>
                  </w:tcBorders>
                  <w:vAlign w:val="center"/>
                </w:tcPr>
                <w:p w14:paraId="601B0AA2">
                  <w:pPr>
                    <w:widowControl/>
                    <w:jc w:val="center"/>
                    <w:textAlignment w:val="center"/>
                    <w:rPr>
                      <w:color w:val="000000"/>
                      <w:sz w:val="22"/>
                      <w:u w:val="single"/>
                    </w:rPr>
                  </w:pPr>
                  <w:r>
                    <w:rPr>
                      <w:color w:val="000000"/>
                      <w:kern w:val="0"/>
                      <w:sz w:val="22"/>
                      <w:u w:val="single"/>
                      <w:lang w:bidi="ar"/>
                    </w:rPr>
                    <w:t>0.0135</w:t>
                  </w:r>
                </w:p>
              </w:tc>
            </w:tr>
            <w:tr w14:paraId="37835E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tcBorders>
                    <w:left w:val="single" w:color="auto" w:sz="12" w:space="0"/>
                    <w:right w:val="single" w:color="auto" w:sz="4" w:space="0"/>
                  </w:tcBorders>
                  <w:vAlign w:val="center"/>
                </w:tcPr>
                <w:p w14:paraId="5D0786C4">
                  <w:pPr>
                    <w:jc w:val="center"/>
                    <w:rPr>
                      <w:snapToGrid w:val="0"/>
                      <w:szCs w:val="21"/>
                      <w:u w:val="single"/>
                      <w:lang w:eastAsia="en-US"/>
                    </w:rPr>
                  </w:pPr>
                </w:p>
              </w:tc>
              <w:tc>
                <w:tcPr>
                  <w:tcW w:w="999" w:type="pct"/>
                  <w:tcBorders>
                    <w:top w:val="single" w:color="auto" w:sz="4" w:space="0"/>
                    <w:left w:val="single" w:color="auto" w:sz="4" w:space="0"/>
                    <w:bottom w:val="single" w:color="auto" w:sz="4" w:space="0"/>
                    <w:right w:val="single" w:color="auto" w:sz="4" w:space="0"/>
                  </w:tcBorders>
                  <w:vAlign w:val="center"/>
                </w:tcPr>
                <w:p w14:paraId="1D971298">
                  <w:pPr>
                    <w:widowControl/>
                    <w:jc w:val="center"/>
                    <w:textAlignment w:val="center"/>
                    <w:rPr>
                      <w:bCs/>
                      <w:szCs w:val="21"/>
                      <w:u w:val="single"/>
                      <w:lang w:eastAsia="en-US"/>
                    </w:rPr>
                  </w:pPr>
                  <w:r>
                    <w:rPr>
                      <w:kern w:val="0"/>
                      <w:szCs w:val="21"/>
                      <w:u w:val="single"/>
                      <w:lang w:eastAsia="en-US" w:bidi="ar"/>
                    </w:rPr>
                    <w:t>总氮</w:t>
                  </w:r>
                </w:p>
              </w:tc>
              <w:tc>
                <w:tcPr>
                  <w:tcW w:w="1000" w:type="pct"/>
                  <w:vMerge w:val="continue"/>
                  <w:tcBorders>
                    <w:top w:val="single" w:color="auto" w:sz="4" w:space="0"/>
                    <w:left w:val="single" w:color="auto" w:sz="4" w:space="0"/>
                    <w:bottom w:val="single" w:color="auto" w:sz="4" w:space="0"/>
                    <w:right w:val="single" w:color="auto" w:sz="4" w:space="0"/>
                  </w:tcBorders>
                  <w:vAlign w:val="center"/>
                </w:tcPr>
                <w:p w14:paraId="7F795982">
                  <w:pPr>
                    <w:jc w:val="center"/>
                    <w:rPr>
                      <w:snapToGrid w:val="0"/>
                      <w:szCs w:val="21"/>
                      <w:u w:val="single"/>
                      <w:lang w:eastAsia="en-US"/>
                    </w:rPr>
                  </w:pPr>
                </w:p>
              </w:tc>
              <w:tc>
                <w:tcPr>
                  <w:tcW w:w="1000" w:type="pct"/>
                  <w:tcBorders>
                    <w:top w:val="single" w:color="auto" w:sz="4" w:space="0"/>
                    <w:left w:val="single" w:color="auto" w:sz="4" w:space="0"/>
                    <w:bottom w:val="single" w:color="auto" w:sz="4" w:space="0"/>
                    <w:right w:val="single" w:color="auto" w:sz="4" w:space="0"/>
                  </w:tcBorders>
                  <w:vAlign w:val="center"/>
                </w:tcPr>
                <w:p w14:paraId="792A94A4">
                  <w:pPr>
                    <w:jc w:val="center"/>
                    <w:rPr>
                      <w:color w:val="000000"/>
                      <w:sz w:val="22"/>
                      <w:u w:val="single"/>
                    </w:rPr>
                  </w:pPr>
                  <w:r>
                    <w:rPr>
                      <w:color w:val="000000"/>
                      <w:sz w:val="22"/>
                      <w:u w:val="single"/>
                    </w:rPr>
                    <w:t>80</w:t>
                  </w:r>
                </w:p>
              </w:tc>
              <w:tc>
                <w:tcPr>
                  <w:tcW w:w="1000" w:type="pct"/>
                  <w:tcBorders>
                    <w:top w:val="single" w:color="auto" w:sz="4" w:space="0"/>
                    <w:left w:val="single" w:color="auto" w:sz="4" w:space="0"/>
                    <w:bottom w:val="single" w:color="auto" w:sz="4" w:space="0"/>
                    <w:right w:val="single" w:color="auto" w:sz="12" w:space="0"/>
                  </w:tcBorders>
                  <w:vAlign w:val="center"/>
                </w:tcPr>
                <w:p w14:paraId="724AD380">
                  <w:pPr>
                    <w:widowControl/>
                    <w:jc w:val="center"/>
                    <w:textAlignment w:val="center"/>
                    <w:rPr>
                      <w:color w:val="000000"/>
                      <w:sz w:val="22"/>
                      <w:u w:val="single"/>
                    </w:rPr>
                  </w:pPr>
                  <w:r>
                    <w:rPr>
                      <w:color w:val="000000"/>
                      <w:kern w:val="0"/>
                      <w:sz w:val="22"/>
                      <w:u w:val="single"/>
                      <w:lang w:bidi="ar"/>
                    </w:rPr>
                    <w:t>0.0216</w:t>
                  </w:r>
                </w:p>
              </w:tc>
            </w:tr>
            <w:tr w14:paraId="516B6B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tcBorders>
                    <w:left w:val="single" w:color="auto" w:sz="12" w:space="0"/>
                    <w:right w:val="single" w:color="auto" w:sz="4" w:space="0"/>
                  </w:tcBorders>
                  <w:vAlign w:val="center"/>
                </w:tcPr>
                <w:p w14:paraId="6983797B">
                  <w:pPr>
                    <w:jc w:val="center"/>
                    <w:rPr>
                      <w:snapToGrid w:val="0"/>
                      <w:szCs w:val="21"/>
                      <w:u w:val="single"/>
                      <w:lang w:eastAsia="en-US"/>
                    </w:rPr>
                  </w:pPr>
                </w:p>
              </w:tc>
              <w:tc>
                <w:tcPr>
                  <w:tcW w:w="999" w:type="pct"/>
                  <w:tcBorders>
                    <w:top w:val="single" w:color="auto" w:sz="4" w:space="0"/>
                    <w:left w:val="single" w:color="auto" w:sz="4" w:space="0"/>
                    <w:bottom w:val="single" w:color="auto" w:sz="4" w:space="0"/>
                    <w:right w:val="single" w:color="auto" w:sz="4" w:space="0"/>
                  </w:tcBorders>
                  <w:vAlign w:val="center"/>
                </w:tcPr>
                <w:p w14:paraId="28D49180">
                  <w:pPr>
                    <w:widowControl/>
                    <w:jc w:val="center"/>
                    <w:textAlignment w:val="center"/>
                    <w:rPr>
                      <w:bCs/>
                      <w:szCs w:val="21"/>
                      <w:u w:val="single"/>
                      <w:lang w:eastAsia="en-US"/>
                    </w:rPr>
                  </w:pPr>
                  <w:r>
                    <w:rPr>
                      <w:kern w:val="0"/>
                      <w:szCs w:val="21"/>
                      <w:u w:val="single"/>
                      <w:lang w:eastAsia="en-US" w:bidi="ar"/>
                    </w:rPr>
                    <w:t>总磷</w:t>
                  </w:r>
                </w:p>
              </w:tc>
              <w:tc>
                <w:tcPr>
                  <w:tcW w:w="1000" w:type="pct"/>
                  <w:vMerge w:val="continue"/>
                  <w:tcBorders>
                    <w:top w:val="single" w:color="auto" w:sz="4" w:space="0"/>
                    <w:left w:val="single" w:color="auto" w:sz="4" w:space="0"/>
                    <w:bottom w:val="single" w:color="auto" w:sz="4" w:space="0"/>
                    <w:right w:val="single" w:color="auto" w:sz="4" w:space="0"/>
                  </w:tcBorders>
                  <w:vAlign w:val="center"/>
                </w:tcPr>
                <w:p w14:paraId="3030A015">
                  <w:pPr>
                    <w:jc w:val="center"/>
                    <w:rPr>
                      <w:snapToGrid w:val="0"/>
                      <w:szCs w:val="21"/>
                      <w:u w:val="single"/>
                      <w:lang w:eastAsia="en-US"/>
                    </w:rPr>
                  </w:pPr>
                </w:p>
              </w:tc>
              <w:tc>
                <w:tcPr>
                  <w:tcW w:w="1000" w:type="pct"/>
                  <w:tcBorders>
                    <w:top w:val="single" w:color="auto" w:sz="4" w:space="0"/>
                    <w:left w:val="single" w:color="auto" w:sz="4" w:space="0"/>
                    <w:bottom w:val="single" w:color="auto" w:sz="4" w:space="0"/>
                    <w:right w:val="single" w:color="auto" w:sz="4" w:space="0"/>
                  </w:tcBorders>
                  <w:vAlign w:val="center"/>
                </w:tcPr>
                <w:p w14:paraId="12CA3EA9">
                  <w:pPr>
                    <w:jc w:val="center"/>
                    <w:rPr>
                      <w:color w:val="000000"/>
                      <w:sz w:val="22"/>
                      <w:u w:val="single"/>
                    </w:rPr>
                  </w:pPr>
                  <w:r>
                    <w:rPr>
                      <w:color w:val="000000"/>
                      <w:sz w:val="22"/>
                      <w:u w:val="single"/>
                    </w:rPr>
                    <w:t>20</w:t>
                  </w:r>
                </w:p>
              </w:tc>
              <w:tc>
                <w:tcPr>
                  <w:tcW w:w="1000" w:type="pct"/>
                  <w:tcBorders>
                    <w:top w:val="single" w:color="auto" w:sz="4" w:space="0"/>
                    <w:left w:val="single" w:color="auto" w:sz="4" w:space="0"/>
                    <w:bottom w:val="single" w:color="auto" w:sz="4" w:space="0"/>
                    <w:right w:val="single" w:color="auto" w:sz="12" w:space="0"/>
                  </w:tcBorders>
                  <w:vAlign w:val="center"/>
                </w:tcPr>
                <w:p w14:paraId="419DD820">
                  <w:pPr>
                    <w:widowControl/>
                    <w:jc w:val="center"/>
                    <w:textAlignment w:val="center"/>
                    <w:rPr>
                      <w:color w:val="000000"/>
                      <w:sz w:val="22"/>
                      <w:u w:val="single"/>
                    </w:rPr>
                  </w:pPr>
                  <w:r>
                    <w:rPr>
                      <w:color w:val="000000"/>
                      <w:kern w:val="0"/>
                      <w:sz w:val="22"/>
                      <w:u w:val="single"/>
                      <w:lang w:bidi="ar"/>
                    </w:rPr>
                    <w:t>0.0054</w:t>
                  </w:r>
                </w:p>
              </w:tc>
            </w:tr>
            <w:tr w14:paraId="125DE8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tcBorders>
                    <w:left w:val="single" w:color="auto" w:sz="12" w:space="0"/>
                    <w:right w:val="single" w:color="auto" w:sz="4" w:space="0"/>
                  </w:tcBorders>
                  <w:vAlign w:val="center"/>
                </w:tcPr>
                <w:p w14:paraId="57A9D086">
                  <w:pPr>
                    <w:jc w:val="center"/>
                    <w:rPr>
                      <w:snapToGrid w:val="0"/>
                      <w:szCs w:val="21"/>
                      <w:u w:val="single"/>
                      <w:lang w:eastAsia="en-US"/>
                    </w:rPr>
                  </w:pPr>
                </w:p>
              </w:tc>
              <w:tc>
                <w:tcPr>
                  <w:tcW w:w="999" w:type="pct"/>
                  <w:tcBorders>
                    <w:top w:val="single" w:color="auto" w:sz="4" w:space="0"/>
                    <w:left w:val="single" w:color="auto" w:sz="4" w:space="0"/>
                    <w:bottom w:val="single" w:color="auto" w:sz="4" w:space="0"/>
                    <w:right w:val="single" w:color="auto" w:sz="4" w:space="0"/>
                  </w:tcBorders>
                  <w:vAlign w:val="center"/>
                </w:tcPr>
                <w:p w14:paraId="4084937A">
                  <w:pPr>
                    <w:widowControl/>
                    <w:jc w:val="center"/>
                    <w:textAlignment w:val="center"/>
                    <w:rPr>
                      <w:kern w:val="0"/>
                      <w:szCs w:val="21"/>
                      <w:u w:val="single"/>
                      <w:lang w:eastAsia="en-US" w:bidi="ar"/>
                    </w:rPr>
                  </w:pPr>
                  <w:r>
                    <w:rPr>
                      <w:kern w:val="0"/>
                      <w:szCs w:val="21"/>
                      <w:u w:val="single"/>
                      <w:lang w:eastAsia="en-US" w:bidi="ar"/>
                    </w:rPr>
                    <w:t>SS</w:t>
                  </w:r>
                </w:p>
              </w:tc>
              <w:tc>
                <w:tcPr>
                  <w:tcW w:w="1000" w:type="pct"/>
                  <w:vMerge w:val="continue"/>
                  <w:tcBorders>
                    <w:top w:val="single" w:color="auto" w:sz="4" w:space="0"/>
                    <w:left w:val="single" w:color="auto" w:sz="4" w:space="0"/>
                    <w:bottom w:val="single" w:color="auto" w:sz="4" w:space="0"/>
                    <w:right w:val="single" w:color="auto" w:sz="4" w:space="0"/>
                  </w:tcBorders>
                  <w:vAlign w:val="center"/>
                </w:tcPr>
                <w:p w14:paraId="6AC3BAE2">
                  <w:pPr>
                    <w:jc w:val="center"/>
                    <w:rPr>
                      <w:snapToGrid w:val="0"/>
                      <w:szCs w:val="21"/>
                      <w:u w:val="single"/>
                      <w:lang w:eastAsia="en-US"/>
                    </w:rPr>
                  </w:pPr>
                </w:p>
              </w:tc>
              <w:tc>
                <w:tcPr>
                  <w:tcW w:w="1000" w:type="pct"/>
                  <w:tcBorders>
                    <w:top w:val="single" w:color="auto" w:sz="4" w:space="0"/>
                    <w:left w:val="single" w:color="auto" w:sz="4" w:space="0"/>
                    <w:bottom w:val="single" w:color="auto" w:sz="4" w:space="0"/>
                    <w:right w:val="single" w:color="auto" w:sz="4" w:space="0"/>
                  </w:tcBorders>
                  <w:vAlign w:val="center"/>
                </w:tcPr>
                <w:p w14:paraId="41072265">
                  <w:pPr>
                    <w:jc w:val="center"/>
                    <w:rPr>
                      <w:color w:val="000000"/>
                      <w:sz w:val="22"/>
                      <w:u w:val="single"/>
                    </w:rPr>
                  </w:pPr>
                  <w:r>
                    <w:rPr>
                      <w:color w:val="000000"/>
                      <w:sz w:val="22"/>
                      <w:u w:val="single"/>
                    </w:rPr>
                    <w:t>300</w:t>
                  </w:r>
                </w:p>
              </w:tc>
              <w:tc>
                <w:tcPr>
                  <w:tcW w:w="1000" w:type="pct"/>
                  <w:tcBorders>
                    <w:top w:val="single" w:color="auto" w:sz="4" w:space="0"/>
                    <w:left w:val="single" w:color="auto" w:sz="4" w:space="0"/>
                    <w:bottom w:val="single" w:color="auto" w:sz="4" w:space="0"/>
                    <w:right w:val="single" w:color="auto" w:sz="12" w:space="0"/>
                  </w:tcBorders>
                  <w:vAlign w:val="center"/>
                </w:tcPr>
                <w:p w14:paraId="2D60ECE6">
                  <w:pPr>
                    <w:widowControl/>
                    <w:jc w:val="center"/>
                    <w:textAlignment w:val="center"/>
                    <w:rPr>
                      <w:color w:val="000000"/>
                      <w:sz w:val="22"/>
                      <w:u w:val="single"/>
                    </w:rPr>
                  </w:pPr>
                  <w:r>
                    <w:rPr>
                      <w:color w:val="000000"/>
                      <w:kern w:val="0"/>
                      <w:sz w:val="22"/>
                      <w:u w:val="single"/>
                      <w:lang w:bidi="ar"/>
                    </w:rPr>
                    <w:t>0.081</w:t>
                  </w:r>
                </w:p>
              </w:tc>
            </w:tr>
            <w:tr w14:paraId="7CD33E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tcBorders>
                    <w:left w:val="single" w:color="auto" w:sz="12" w:space="0"/>
                    <w:right w:val="single" w:color="auto" w:sz="4" w:space="0"/>
                  </w:tcBorders>
                  <w:vAlign w:val="center"/>
                </w:tcPr>
                <w:p w14:paraId="4C60ABBE">
                  <w:pPr>
                    <w:jc w:val="center"/>
                    <w:rPr>
                      <w:snapToGrid w:val="0"/>
                      <w:szCs w:val="21"/>
                      <w:u w:val="single"/>
                      <w:lang w:eastAsia="en-US"/>
                    </w:rPr>
                  </w:pPr>
                </w:p>
              </w:tc>
              <w:tc>
                <w:tcPr>
                  <w:tcW w:w="999" w:type="pct"/>
                  <w:tcBorders>
                    <w:top w:val="single" w:color="auto" w:sz="4" w:space="0"/>
                    <w:left w:val="single" w:color="auto" w:sz="4" w:space="0"/>
                    <w:bottom w:val="single" w:color="auto" w:sz="4" w:space="0"/>
                    <w:right w:val="single" w:color="auto" w:sz="4" w:space="0"/>
                  </w:tcBorders>
                  <w:vAlign w:val="center"/>
                </w:tcPr>
                <w:p w14:paraId="0F2FD17F">
                  <w:pPr>
                    <w:widowControl/>
                    <w:jc w:val="center"/>
                    <w:textAlignment w:val="center"/>
                    <w:rPr>
                      <w:kern w:val="0"/>
                      <w:szCs w:val="21"/>
                      <w:u w:val="single"/>
                      <w:lang w:eastAsia="en-US" w:bidi="ar"/>
                    </w:rPr>
                  </w:pPr>
                  <w:r>
                    <w:rPr>
                      <w:kern w:val="0"/>
                      <w:szCs w:val="21"/>
                      <w:u w:val="single"/>
                      <w:lang w:eastAsia="en-US" w:bidi="ar"/>
                    </w:rPr>
                    <w:t>BOD</w:t>
                  </w:r>
                </w:p>
              </w:tc>
              <w:tc>
                <w:tcPr>
                  <w:tcW w:w="1000" w:type="pct"/>
                  <w:vMerge w:val="continue"/>
                  <w:tcBorders>
                    <w:top w:val="single" w:color="auto" w:sz="4" w:space="0"/>
                    <w:left w:val="single" w:color="auto" w:sz="4" w:space="0"/>
                    <w:bottom w:val="single" w:color="auto" w:sz="4" w:space="0"/>
                    <w:right w:val="single" w:color="auto" w:sz="4" w:space="0"/>
                  </w:tcBorders>
                  <w:vAlign w:val="center"/>
                </w:tcPr>
                <w:p w14:paraId="2594DE15">
                  <w:pPr>
                    <w:jc w:val="center"/>
                    <w:rPr>
                      <w:snapToGrid w:val="0"/>
                      <w:szCs w:val="21"/>
                      <w:u w:val="single"/>
                      <w:lang w:eastAsia="en-US"/>
                    </w:rPr>
                  </w:pPr>
                </w:p>
              </w:tc>
              <w:tc>
                <w:tcPr>
                  <w:tcW w:w="1000" w:type="pct"/>
                  <w:tcBorders>
                    <w:top w:val="single" w:color="auto" w:sz="4" w:space="0"/>
                    <w:left w:val="single" w:color="auto" w:sz="4" w:space="0"/>
                    <w:bottom w:val="single" w:color="auto" w:sz="4" w:space="0"/>
                    <w:right w:val="single" w:color="auto" w:sz="4" w:space="0"/>
                  </w:tcBorders>
                  <w:vAlign w:val="center"/>
                </w:tcPr>
                <w:p w14:paraId="723234D8">
                  <w:pPr>
                    <w:jc w:val="center"/>
                    <w:rPr>
                      <w:color w:val="000000"/>
                      <w:sz w:val="22"/>
                      <w:u w:val="single"/>
                    </w:rPr>
                  </w:pPr>
                  <w:r>
                    <w:rPr>
                      <w:color w:val="000000"/>
                      <w:sz w:val="22"/>
                      <w:u w:val="single"/>
                    </w:rPr>
                    <w:t>1200</w:t>
                  </w:r>
                </w:p>
              </w:tc>
              <w:tc>
                <w:tcPr>
                  <w:tcW w:w="1000" w:type="pct"/>
                  <w:tcBorders>
                    <w:top w:val="single" w:color="auto" w:sz="4" w:space="0"/>
                    <w:left w:val="single" w:color="auto" w:sz="4" w:space="0"/>
                    <w:bottom w:val="single" w:color="auto" w:sz="4" w:space="0"/>
                    <w:right w:val="single" w:color="auto" w:sz="12" w:space="0"/>
                  </w:tcBorders>
                  <w:vAlign w:val="center"/>
                </w:tcPr>
                <w:p w14:paraId="535A9979">
                  <w:pPr>
                    <w:widowControl/>
                    <w:jc w:val="center"/>
                    <w:textAlignment w:val="center"/>
                    <w:rPr>
                      <w:color w:val="000000"/>
                      <w:sz w:val="22"/>
                      <w:u w:val="single"/>
                    </w:rPr>
                  </w:pPr>
                  <w:r>
                    <w:rPr>
                      <w:color w:val="000000"/>
                      <w:kern w:val="0"/>
                      <w:sz w:val="22"/>
                      <w:u w:val="single"/>
                      <w:lang w:bidi="ar"/>
                    </w:rPr>
                    <w:t>0.324</w:t>
                  </w:r>
                </w:p>
              </w:tc>
            </w:tr>
            <w:tr w14:paraId="437BEB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tcBorders>
                    <w:left w:val="single" w:color="auto" w:sz="12" w:space="0"/>
                    <w:bottom w:val="single" w:color="auto" w:sz="4" w:space="0"/>
                    <w:right w:val="single" w:color="auto" w:sz="4" w:space="0"/>
                  </w:tcBorders>
                  <w:vAlign w:val="center"/>
                </w:tcPr>
                <w:p w14:paraId="50CAC114">
                  <w:pPr>
                    <w:jc w:val="center"/>
                    <w:rPr>
                      <w:snapToGrid w:val="0"/>
                      <w:szCs w:val="21"/>
                      <w:u w:val="single"/>
                      <w:lang w:eastAsia="en-US"/>
                    </w:rPr>
                  </w:pPr>
                </w:p>
              </w:tc>
              <w:tc>
                <w:tcPr>
                  <w:tcW w:w="999" w:type="pct"/>
                  <w:tcBorders>
                    <w:top w:val="single" w:color="auto" w:sz="4" w:space="0"/>
                    <w:left w:val="single" w:color="auto" w:sz="4" w:space="0"/>
                    <w:bottom w:val="single" w:color="auto" w:sz="4" w:space="0"/>
                    <w:right w:val="single" w:color="auto" w:sz="4" w:space="0"/>
                  </w:tcBorders>
                  <w:vAlign w:val="center"/>
                </w:tcPr>
                <w:p w14:paraId="5E02D0A7">
                  <w:pPr>
                    <w:widowControl/>
                    <w:jc w:val="center"/>
                    <w:textAlignment w:val="center"/>
                    <w:rPr>
                      <w:kern w:val="0"/>
                      <w:szCs w:val="21"/>
                      <w:u w:val="single"/>
                      <w:lang w:bidi="ar"/>
                    </w:rPr>
                  </w:pPr>
                  <w:r>
                    <w:rPr>
                      <w:rFonts w:hint="eastAsia"/>
                      <w:kern w:val="0"/>
                      <w:szCs w:val="21"/>
                      <w:u w:val="single"/>
                      <w:lang w:bidi="ar"/>
                    </w:rPr>
                    <w:t>氯化物</w:t>
                  </w:r>
                </w:p>
              </w:tc>
              <w:tc>
                <w:tcPr>
                  <w:tcW w:w="1000" w:type="pct"/>
                  <w:tcBorders>
                    <w:top w:val="single" w:color="auto" w:sz="4" w:space="0"/>
                    <w:left w:val="single" w:color="auto" w:sz="4" w:space="0"/>
                    <w:bottom w:val="single" w:color="auto" w:sz="4" w:space="0"/>
                    <w:right w:val="single" w:color="auto" w:sz="4" w:space="0"/>
                  </w:tcBorders>
                  <w:vAlign w:val="center"/>
                </w:tcPr>
                <w:p w14:paraId="3997D1A1">
                  <w:pPr>
                    <w:jc w:val="center"/>
                    <w:rPr>
                      <w:snapToGrid w:val="0"/>
                      <w:szCs w:val="21"/>
                      <w:u w:val="single"/>
                      <w:lang w:eastAsia="en-US"/>
                    </w:rPr>
                  </w:pPr>
                </w:p>
              </w:tc>
              <w:tc>
                <w:tcPr>
                  <w:tcW w:w="1000" w:type="pct"/>
                  <w:tcBorders>
                    <w:top w:val="single" w:color="auto" w:sz="4" w:space="0"/>
                    <w:left w:val="single" w:color="auto" w:sz="4" w:space="0"/>
                    <w:bottom w:val="single" w:color="auto" w:sz="4" w:space="0"/>
                    <w:right w:val="single" w:color="auto" w:sz="4" w:space="0"/>
                  </w:tcBorders>
                  <w:vAlign w:val="center"/>
                </w:tcPr>
                <w:p w14:paraId="08DA0A81">
                  <w:pPr>
                    <w:jc w:val="center"/>
                    <w:rPr>
                      <w:color w:val="000000"/>
                      <w:sz w:val="22"/>
                      <w:u w:val="single"/>
                    </w:rPr>
                  </w:pPr>
                  <w:r>
                    <w:rPr>
                      <w:rFonts w:hint="eastAsia"/>
                      <w:color w:val="000000"/>
                      <w:sz w:val="22"/>
                      <w:u w:val="single"/>
                    </w:rPr>
                    <w:t>500</w:t>
                  </w:r>
                </w:p>
              </w:tc>
              <w:tc>
                <w:tcPr>
                  <w:tcW w:w="1000" w:type="pct"/>
                  <w:tcBorders>
                    <w:top w:val="single" w:color="auto" w:sz="4" w:space="0"/>
                    <w:left w:val="single" w:color="auto" w:sz="4" w:space="0"/>
                    <w:bottom w:val="single" w:color="auto" w:sz="4" w:space="0"/>
                    <w:right w:val="single" w:color="auto" w:sz="12" w:space="0"/>
                  </w:tcBorders>
                  <w:vAlign w:val="center"/>
                </w:tcPr>
                <w:p w14:paraId="67AE0DFF">
                  <w:pPr>
                    <w:widowControl/>
                    <w:jc w:val="center"/>
                    <w:textAlignment w:val="center"/>
                    <w:rPr>
                      <w:color w:val="000000"/>
                      <w:kern w:val="0"/>
                      <w:sz w:val="22"/>
                      <w:u w:val="single"/>
                      <w:lang w:bidi="ar"/>
                    </w:rPr>
                  </w:pPr>
                  <w:r>
                    <w:rPr>
                      <w:rFonts w:hint="eastAsia"/>
                      <w:color w:val="000000"/>
                      <w:kern w:val="0"/>
                      <w:sz w:val="22"/>
                      <w:u w:val="single"/>
                      <w:lang w:bidi="ar"/>
                    </w:rPr>
                    <w:t>0.135</w:t>
                  </w:r>
                </w:p>
              </w:tc>
            </w:tr>
            <w:tr w14:paraId="2376E0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restart"/>
                  <w:tcBorders>
                    <w:top w:val="single" w:color="auto" w:sz="4" w:space="0"/>
                    <w:left w:val="single" w:color="auto" w:sz="12" w:space="0"/>
                    <w:right w:val="single" w:color="auto" w:sz="4" w:space="0"/>
                  </w:tcBorders>
                  <w:vAlign w:val="center"/>
                </w:tcPr>
                <w:p w14:paraId="65384A4E">
                  <w:pPr>
                    <w:jc w:val="center"/>
                    <w:rPr>
                      <w:snapToGrid w:val="0"/>
                      <w:szCs w:val="21"/>
                      <w:u w:val="single"/>
                    </w:rPr>
                  </w:pPr>
                  <w:r>
                    <w:rPr>
                      <w:rFonts w:hint="eastAsia"/>
                      <w:snapToGrid w:val="0"/>
                      <w:szCs w:val="21"/>
                      <w:u w:val="single"/>
                    </w:rPr>
                    <w:t>卤料原料清洗废水</w:t>
                  </w:r>
                </w:p>
              </w:tc>
              <w:tc>
                <w:tcPr>
                  <w:tcW w:w="999" w:type="pct"/>
                  <w:tcBorders>
                    <w:top w:val="single" w:color="auto" w:sz="4" w:space="0"/>
                    <w:left w:val="single" w:color="auto" w:sz="4" w:space="0"/>
                    <w:bottom w:val="single" w:color="auto" w:sz="4" w:space="0"/>
                    <w:right w:val="single" w:color="auto" w:sz="4" w:space="0"/>
                  </w:tcBorders>
                  <w:vAlign w:val="center"/>
                </w:tcPr>
                <w:p w14:paraId="22EE7E09">
                  <w:pPr>
                    <w:adjustRightInd w:val="0"/>
                    <w:jc w:val="center"/>
                    <w:rPr>
                      <w:kern w:val="0"/>
                      <w:szCs w:val="21"/>
                      <w:u w:val="single"/>
                      <w:lang w:eastAsia="en-US" w:bidi="ar"/>
                    </w:rPr>
                  </w:pPr>
                  <w:r>
                    <w:rPr>
                      <w:bCs/>
                      <w:szCs w:val="21"/>
                      <w:u w:val="single"/>
                      <w:lang w:eastAsia="en-US" w:bidi="ar"/>
                    </w:rPr>
                    <w:t>pH</w:t>
                  </w:r>
                </w:p>
              </w:tc>
              <w:tc>
                <w:tcPr>
                  <w:tcW w:w="1000" w:type="pct"/>
                  <w:vMerge w:val="restart"/>
                  <w:tcBorders>
                    <w:top w:val="single" w:color="auto" w:sz="4" w:space="0"/>
                    <w:left w:val="single" w:color="auto" w:sz="4" w:space="0"/>
                    <w:right w:val="single" w:color="auto" w:sz="4" w:space="0"/>
                  </w:tcBorders>
                  <w:vAlign w:val="center"/>
                </w:tcPr>
                <w:p w14:paraId="08404968">
                  <w:pPr>
                    <w:jc w:val="center"/>
                    <w:rPr>
                      <w:snapToGrid w:val="0"/>
                      <w:szCs w:val="21"/>
                      <w:u w:val="single"/>
                    </w:rPr>
                  </w:pPr>
                  <w:r>
                    <w:rPr>
                      <w:rFonts w:hint="eastAsia"/>
                      <w:snapToGrid w:val="0"/>
                      <w:szCs w:val="21"/>
                      <w:u w:val="single"/>
                    </w:rPr>
                    <w:t>35.1</w:t>
                  </w:r>
                </w:p>
              </w:tc>
              <w:tc>
                <w:tcPr>
                  <w:tcW w:w="1000" w:type="pct"/>
                  <w:tcBorders>
                    <w:top w:val="single" w:color="auto" w:sz="4" w:space="0"/>
                    <w:left w:val="single" w:color="auto" w:sz="4" w:space="0"/>
                    <w:bottom w:val="single" w:color="auto" w:sz="4" w:space="0"/>
                    <w:right w:val="single" w:color="auto" w:sz="4" w:space="0"/>
                  </w:tcBorders>
                  <w:vAlign w:val="center"/>
                </w:tcPr>
                <w:p w14:paraId="5511D667">
                  <w:pPr>
                    <w:jc w:val="center"/>
                    <w:rPr>
                      <w:color w:val="000000"/>
                      <w:sz w:val="22"/>
                      <w:u w:val="single"/>
                    </w:rPr>
                  </w:pPr>
                  <w:r>
                    <w:rPr>
                      <w:kern w:val="0"/>
                      <w:szCs w:val="21"/>
                      <w:u w:val="single"/>
                      <w:lang w:eastAsia="en-US" w:bidi="ar"/>
                    </w:rPr>
                    <w:t>6-9</w:t>
                  </w:r>
                </w:p>
              </w:tc>
              <w:tc>
                <w:tcPr>
                  <w:tcW w:w="1000" w:type="pct"/>
                  <w:tcBorders>
                    <w:top w:val="single" w:color="auto" w:sz="4" w:space="0"/>
                    <w:left w:val="single" w:color="auto" w:sz="4" w:space="0"/>
                    <w:bottom w:val="single" w:color="auto" w:sz="4" w:space="0"/>
                    <w:right w:val="single" w:color="auto" w:sz="12" w:space="0"/>
                  </w:tcBorders>
                  <w:vAlign w:val="center"/>
                </w:tcPr>
                <w:p w14:paraId="3FC5A9EF">
                  <w:pPr>
                    <w:widowControl/>
                    <w:jc w:val="center"/>
                    <w:textAlignment w:val="center"/>
                    <w:rPr>
                      <w:color w:val="000000"/>
                      <w:kern w:val="0"/>
                      <w:sz w:val="22"/>
                      <w:u w:val="single"/>
                      <w:lang w:bidi="ar"/>
                    </w:rPr>
                  </w:pPr>
                  <w:r>
                    <w:rPr>
                      <w:rFonts w:hint="eastAsia"/>
                      <w:color w:val="000000"/>
                      <w:kern w:val="0"/>
                      <w:sz w:val="22"/>
                      <w:u w:val="single"/>
                      <w:lang w:bidi="ar"/>
                    </w:rPr>
                    <w:t>/</w:t>
                  </w:r>
                </w:p>
              </w:tc>
            </w:tr>
            <w:tr w14:paraId="2DDA7F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tcBorders>
                    <w:left w:val="single" w:color="auto" w:sz="12" w:space="0"/>
                    <w:right w:val="single" w:color="auto" w:sz="4" w:space="0"/>
                  </w:tcBorders>
                  <w:vAlign w:val="center"/>
                </w:tcPr>
                <w:p w14:paraId="64F2EA02">
                  <w:pPr>
                    <w:jc w:val="center"/>
                    <w:rPr>
                      <w:snapToGrid w:val="0"/>
                      <w:szCs w:val="21"/>
                      <w:u w:val="single"/>
                      <w:lang w:eastAsia="en-US"/>
                    </w:rPr>
                  </w:pPr>
                </w:p>
              </w:tc>
              <w:tc>
                <w:tcPr>
                  <w:tcW w:w="999" w:type="pct"/>
                  <w:tcBorders>
                    <w:top w:val="single" w:color="auto" w:sz="4" w:space="0"/>
                    <w:left w:val="single" w:color="auto" w:sz="4" w:space="0"/>
                    <w:bottom w:val="single" w:color="auto" w:sz="4" w:space="0"/>
                    <w:right w:val="single" w:color="auto" w:sz="4" w:space="0"/>
                  </w:tcBorders>
                  <w:vAlign w:val="center"/>
                </w:tcPr>
                <w:p w14:paraId="4D081241">
                  <w:pPr>
                    <w:widowControl/>
                    <w:jc w:val="center"/>
                    <w:textAlignment w:val="center"/>
                    <w:rPr>
                      <w:kern w:val="0"/>
                      <w:szCs w:val="21"/>
                      <w:u w:val="single"/>
                      <w:lang w:eastAsia="en-US" w:bidi="ar"/>
                    </w:rPr>
                  </w:pPr>
                  <w:r>
                    <w:rPr>
                      <w:kern w:val="0"/>
                      <w:szCs w:val="21"/>
                      <w:u w:val="single"/>
                      <w:lang w:eastAsia="en-US" w:bidi="ar"/>
                    </w:rPr>
                    <w:t>COD</w:t>
                  </w:r>
                </w:p>
              </w:tc>
              <w:tc>
                <w:tcPr>
                  <w:tcW w:w="1000" w:type="pct"/>
                  <w:vMerge w:val="continue"/>
                  <w:tcBorders>
                    <w:left w:val="single" w:color="auto" w:sz="4" w:space="0"/>
                    <w:right w:val="single" w:color="auto" w:sz="4" w:space="0"/>
                  </w:tcBorders>
                  <w:vAlign w:val="center"/>
                </w:tcPr>
                <w:p w14:paraId="320A5285">
                  <w:pPr>
                    <w:jc w:val="center"/>
                    <w:rPr>
                      <w:snapToGrid w:val="0"/>
                      <w:szCs w:val="21"/>
                      <w:u w:val="single"/>
                      <w:lang w:eastAsia="en-US"/>
                    </w:rPr>
                  </w:pPr>
                </w:p>
              </w:tc>
              <w:tc>
                <w:tcPr>
                  <w:tcW w:w="1000" w:type="pct"/>
                  <w:tcBorders>
                    <w:top w:val="single" w:color="auto" w:sz="4" w:space="0"/>
                    <w:left w:val="single" w:color="auto" w:sz="4" w:space="0"/>
                    <w:bottom w:val="single" w:color="auto" w:sz="4" w:space="0"/>
                    <w:right w:val="single" w:color="auto" w:sz="4" w:space="0"/>
                  </w:tcBorders>
                  <w:vAlign w:val="center"/>
                </w:tcPr>
                <w:p w14:paraId="1D210D85">
                  <w:pPr>
                    <w:widowControl/>
                    <w:jc w:val="center"/>
                    <w:textAlignment w:val="center"/>
                    <w:rPr>
                      <w:color w:val="000000"/>
                      <w:sz w:val="22"/>
                      <w:u w:val="single"/>
                    </w:rPr>
                  </w:pPr>
                  <w:r>
                    <w:rPr>
                      <w:color w:val="000000"/>
                      <w:kern w:val="0"/>
                      <w:sz w:val="22"/>
                      <w:u w:val="single"/>
                      <w:lang w:bidi="ar"/>
                    </w:rPr>
                    <w:t>2000</w:t>
                  </w:r>
                </w:p>
              </w:tc>
              <w:tc>
                <w:tcPr>
                  <w:tcW w:w="1000" w:type="pct"/>
                  <w:tcBorders>
                    <w:top w:val="single" w:color="auto" w:sz="4" w:space="0"/>
                    <w:left w:val="single" w:color="auto" w:sz="4" w:space="0"/>
                    <w:bottom w:val="single" w:color="auto" w:sz="4" w:space="0"/>
                    <w:right w:val="single" w:color="auto" w:sz="12" w:space="0"/>
                  </w:tcBorders>
                  <w:vAlign w:val="center"/>
                </w:tcPr>
                <w:p w14:paraId="330379CB">
                  <w:pPr>
                    <w:widowControl/>
                    <w:jc w:val="center"/>
                    <w:textAlignment w:val="center"/>
                    <w:rPr>
                      <w:color w:val="000000"/>
                      <w:kern w:val="0"/>
                      <w:sz w:val="22"/>
                      <w:u w:val="single"/>
                      <w:lang w:bidi="ar"/>
                    </w:rPr>
                  </w:pPr>
                  <w:r>
                    <w:rPr>
                      <w:color w:val="000000"/>
                      <w:kern w:val="0"/>
                      <w:sz w:val="22"/>
                      <w:u w:val="single"/>
                      <w:lang w:bidi="ar"/>
                    </w:rPr>
                    <w:t>0.0702</w:t>
                  </w:r>
                </w:p>
              </w:tc>
            </w:tr>
            <w:tr w14:paraId="604E8C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tcBorders>
                    <w:left w:val="single" w:color="auto" w:sz="12" w:space="0"/>
                    <w:right w:val="single" w:color="auto" w:sz="4" w:space="0"/>
                  </w:tcBorders>
                  <w:vAlign w:val="center"/>
                </w:tcPr>
                <w:p w14:paraId="7131F880">
                  <w:pPr>
                    <w:jc w:val="center"/>
                    <w:rPr>
                      <w:snapToGrid w:val="0"/>
                      <w:szCs w:val="21"/>
                      <w:u w:val="single"/>
                      <w:lang w:eastAsia="en-US"/>
                    </w:rPr>
                  </w:pPr>
                </w:p>
              </w:tc>
              <w:tc>
                <w:tcPr>
                  <w:tcW w:w="999" w:type="pct"/>
                  <w:tcBorders>
                    <w:top w:val="single" w:color="auto" w:sz="4" w:space="0"/>
                    <w:left w:val="single" w:color="auto" w:sz="4" w:space="0"/>
                    <w:bottom w:val="single" w:color="auto" w:sz="4" w:space="0"/>
                    <w:right w:val="single" w:color="auto" w:sz="4" w:space="0"/>
                  </w:tcBorders>
                  <w:vAlign w:val="center"/>
                </w:tcPr>
                <w:p w14:paraId="1DB237A8">
                  <w:pPr>
                    <w:widowControl/>
                    <w:jc w:val="center"/>
                    <w:textAlignment w:val="center"/>
                    <w:rPr>
                      <w:kern w:val="0"/>
                      <w:szCs w:val="21"/>
                      <w:u w:val="single"/>
                      <w:lang w:eastAsia="en-US" w:bidi="ar"/>
                    </w:rPr>
                  </w:pPr>
                  <w:r>
                    <w:rPr>
                      <w:kern w:val="0"/>
                      <w:szCs w:val="21"/>
                      <w:u w:val="single"/>
                      <w:lang w:eastAsia="en-US" w:bidi="ar"/>
                    </w:rPr>
                    <w:t>氨氮</w:t>
                  </w:r>
                </w:p>
              </w:tc>
              <w:tc>
                <w:tcPr>
                  <w:tcW w:w="1000" w:type="pct"/>
                  <w:vMerge w:val="continue"/>
                  <w:tcBorders>
                    <w:left w:val="single" w:color="auto" w:sz="4" w:space="0"/>
                    <w:right w:val="single" w:color="auto" w:sz="4" w:space="0"/>
                  </w:tcBorders>
                  <w:vAlign w:val="center"/>
                </w:tcPr>
                <w:p w14:paraId="00BD99CE">
                  <w:pPr>
                    <w:jc w:val="center"/>
                    <w:rPr>
                      <w:snapToGrid w:val="0"/>
                      <w:szCs w:val="21"/>
                      <w:u w:val="single"/>
                      <w:lang w:eastAsia="en-US"/>
                    </w:rPr>
                  </w:pPr>
                </w:p>
              </w:tc>
              <w:tc>
                <w:tcPr>
                  <w:tcW w:w="1000" w:type="pct"/>
                  <w:tcBorders>
                    <w:top w:val="single" w:color="auto" w:sz="4" w:space="0"/>
                    <w:left w:val="single" w:color="auto" w:sz="4" w:space="0"/>
                    <w:bottom w:val="single" w:color="auto" w:sz="4" w:space="0"/>
                    <w:right w:val="single" w:color="auto" w:sz="4" w:space="0"/>
                  </w:tcBorders>
                  <w:vAlign w:val="center"/>
                </w:tcPr>
                <w:p w14:paraId="6D94B0CD">
                  <w:pPr>
                    <w:widowControl/>
                    <w:jc w:val="center"/>
                    <w:textAlignment w:val="center"/>
                    <w:rPr>
                      <w:color w:val="000000"/>
                      <w:sz w:val="22"/>
                      <w:u w:val="single"/>
                    </w:rPr>
                  </w:pPr>
                  <w:r>
                    <w:rPr>
                      <w:color w:val="000000"/>
                      <w:kern w:val="0"/>
                      <w:sz w:val="22"/>
                      <w:u w:val="single"/>
                      <w:lang w:bidi="ar"/>
                    </w:rPr>
                    <w:t>50</w:t>
                  </w:r>
                </w:p>
              </w:tc>
              <w:tc>
                <w:tcPr>
                  <w:tcW w:w="1000" w:type="pct"/>
                  <w:tcBorders>
                    <w:top w:val="single" w:color="auto" w:sz="4" w:space="0"/>
                    <w:left w:val="single" w:color="auto" w:sz="4" w:space="0"/>
                    <w:bottom w:val="single" w:color="auto" w:sz="4" w:space="0"/>
                    <w:right w:val="single" w:color="auto" w:sz="12" w:space="0"/>
                  </w:tcBorders>
                  <w:vAlign w:val="center"/>
                </w:tcPr>
                <w:p w14:paraId="16663974">
                  <w:pPr>
                    <w:widowControl/>
                    <w:jc w:val="center"/>
                    <w:textAlignment w:val="center"/>
                    <w:rPr>
                      <w:color w:val="000000"/>
                      <w:kern w:val="0"/>
                      <w:sz w:val="22"/>
                      <w:u w:val="single"/>
                      <w:lang w:bidi="ar"/>
                    </w:rPr>
                  </w:pPr>
                  <w:r>
                    <w:rPr>
                      <w:color w:val="000000"/>
                      <w:kern w:val="0"/>
                      <w:sz w:val="22"/>
                      <w:u w:val="single"/>
                      <w:lang w:bidi="ar"/>
                    </w:rPr>
                    <w:t>0.001755</w:t>
                  </w:r>
                </w:p>
              </w:tc>
            </w:tr>
            <w:tr w14:paraId="119769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tcBorders>
                    <w:left w:val="single" w:color="auto" w:sz="12" w:space="0"/>
                    <w:right w:val="single" w:color="auto" w:sz="4" w:space="0"/>
                  </w:tcBorders>
                  <w:vAlign w:val="center"/>
                </w:tcPr>
                <w:p w14:paraId="78FD62A9">
                  <w:pPr>
                    <w:jc w:val="center"/>
                    <w:rPr>
                      <w:snapToGrid w:val="0"/>
                      <w:szCs w:val="21"/>
                      <w:u w:val="single"/>
                      <w:lang w:eastAsia="en-US"/>
                    </w:rPr>
                  </w:pPr>
                </w:p>
              </w:tc>
              <w:tc>
                <w:tcPr>
                  <w:tcW w:w="999" w:type="pct"/>
                  <w:tcBorders>
                    <w:top w:val="single" w:color="auto" w:sz="4" w:space="0"/>
                    <w:left w:val="single" w:color="auto" w:sz="4" w:space="0"/>
                    <w:bottom w:val="single" w:color="auto" w:sz="4" w:space="0"/>
                    <w:right w:val="single" w:color="auto" w:sz="4" w:space="0"/>
                  </w:tcBorders>
                  <w:vAlign w:val="center"/>
                </w:tcPr>
                <w:p w14:paraId="24504F9A">
                  <w:pPr>
                    <w:widowControl/>
                    <w:jc w:val="center"/>
                    <w:textAlignment w:val="center"/>
                    <w:rPr>
                      <w:kern w:val="0"/>
                      <w:szCs w:val="21"/>
                      <w:u w:val="single"/>
                      <w:lang w:eastAsia="en-US" w:bidi="ar"/>
                    </w:rPr>
                  </w:pPr>
                  <w:r>
                    <w:rPr>
                      <w:kern w:val="0"/>
                      <w:szCs w:val="21"/>
                      <w:u w:val="single"/>
                      <w:lang w:eastAsia="en-US" w:bidi="ar"/>
                    </w:rPr>
                    <w:t>总氮</w:t>
                  </w:r>
                </w:p>
              </w:tc>
              <w:tc>
                <w:tcPr>
                  <w:tcW w:w="1000" w:type="pct"/>
                  <w:vMerge w:val="continue"/>
                  <w:tcBorders>
                    <w:left w:val="single" w:color="auto" w:sz="4" w:space="0"/>
                    <w:right w:val="single" w:color="auto" w:sz="4" w:space="0"/>
                  </w:tcBorders>
                  <w:vAlign w:val="center"/>
                </w:tcPr>
                <w:p w14:paraId="6D32C277">
                  <w:pPr>
                    <w:jc w:val="center"/>
                    <w:rPr>
                      <w:snapToGrid w:val="0"/>
                      <w:szCs w:val="21"/>
                      <w:u w:val="single"/>
                      <w:lang w:eastAsia="en-US"/>
                    </w:rPr>
                  </w:pPr>
                </w:p>
              </w:tc>
              <w:tc>
                <w:tcPr>
                  <w:tcW w:w="1000" w:type="pct"/>
                  <w:tcBorders>
                    <w:top w:val="single" w:color="auto" w:sz="4" w:space="0"/>
                    <w:left w:val="single" w:color="auto" w:sz="4" w:space="0"/>
                    <w:bottom w:val="single" w:color="auto" w:sz="4" w:space="0"/>
                    <w:right w:val="single" w:color="auto" w:sz="4" w:space="0"/>
                  </w:tcBorders>
                  <w:vAlign w:val="center"/>
                </w:tcPr>
                <w:p w14:paraId="465F559E">
                  <w:pPr>
                    <w:widowControl/>
                    <w:jc w:val="center"/>
                    <w:textAlignment w:val="center"/>
                    <w:rPr>
                      <w:color w:val="000000"/>
                      <w:sz w:val="22"/>
                      <w:u w:val="single"/>
                    </w:rPr>
                  </w:pPr>
                  <w:r>
                    <w:rPr>
                      <w:color w:val="000000"/>
                      <w:kern w:val="0"/>
                      <w:sz w:val="22"/>
                      <w:u w:val="single"/>
                      <w:lang w:bidi="ar"/>
                    </w:rPr>
                    <w:t>80</w:t>
                  </w:r>
                </w:p>
              </w:tc>
              <w:tc>
                <w:tcPr>
                  <w:tcW w:w="1000" w:type="pct"/>
                  <w:tcBorders>
                    <w:top w:val="single" w:color="auto" w:sz="4" w:space="0"/>
                    <w:left w:val="single" w:color="auto" w:sz="4" w:space="0"/>
                    <w:bottom w:val="single" w:color="auto" w:sz="4" w:space="0"/>
                    <w:right w:val="single" w:color="auto" w:sz="12" w:space="0"/>
                  </w:tcBorders>
                  <w:vAlign w:val="center"/>
                </w:tcPr>
                <w:p w14:paraId="76548403">
                  <w:pPr>
                    <w:widowControl/>
                    <w:jc w:val="center"/>
                    <w:textAlignment w:val="center"/>
                    <w:rPr>
                      <w:color w:val="000000"/>
                      <w:kern w:val="0"/>
                      <w:sz w:val="22"/>
                      <w:u w:val="single"/>
                      <w:lang w:bidi="ar"/>
                    </w:rPr>
                  </w:pPr>
                  <w:r>
                    <w:rPr>
                      <w:color w:val="000000"/>
                      <w:kern w:val="0"/>
                      <w:sz w:val="22"/>
                      <w:u w:val="single"/>
                      <w:lang w:bidi="ar"/>
                    </w:rPr>
                    <w:t>0.002808</w:t>
                  </w:r>
                </w:p>
              </w:tc>
            </w:tr>
            <w:tr w14:paraId="4CA9A3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tcBorders>
                    <w:left w:val="single" w:color="auto" w:sz="12" w:space="0"/>
                    <w:right w:val="single" w:color="auto" w:sz="4" w:space="0"/>
                  </w:tcBorders>
                  <w:vAlign w:val="center"/>
                </w:tcPr>
                <w:p w14:paraId="56F26FA1">
                  <w:pPr>
                    <w:jc w:val="center"/>
                    <w:rPr>
                      <w:snapToGrid w:val="0"/>
                      <w:szCs w:val="21"/>
                      <w:u w:val="single"/>
                      <w:lang w:eastAsia="en-US"/>
                    </w:rPr>
                  </w:pPr>
                </w:p>
              </w:tc>
              <w:tc>
                <w:tcPr>
                  <w:tcW w:w="999" w:type="pct"/>
                  <w:tcBorders>
                    <w:top w:val="single" w:color="auto" w:sz="4" w:space="0"/>
                    <w:left w:val="single" w:color="auto" w:sz="4" w:space="0"/>
                    <w:bottom w:val="single" w:color="auto" w:sz="4" w:space="0"/>
                    <w:right w:val="single" w:color="auto" w:sz="4" w:space="0"/>
                  </w:tcBorders>
                  <w:vAlign w:val="center"/>
                </w:tcPr>
                <w:p w14:paraId="116355F3">
                  <w:pPr>
                    <w:widowControl/>
                    <w:jc w:val="center"/>
                    <w:textAlignment w:val="center"/>
                    <w:rPr>
                      <w:kern w:val="0"/>
                      <w:szCs w:val="21"/>
                      <w:u w:val="single"/>
                      <w:lang w:eastAsia="en-US" w:bidi="ar"/>
                    </w:rPr>
                  </w:pPr>
                  <w:r>
                    <w:rPr>
                      <w:kern w:val="0"/>
                      <w:szCs w:val="21"/>
                      <w:u w:val="single"/>
                      <w:lang w:eastAsia="en-US" w:bidi="ar"/>
                    </w:rPr>
                    <w:t>总磷</w:t>
                  </w:r>
                </w:p>
              </w:tc>
              <w:tc>
                <w:tcPr>
                  <w:tcW w:w="1000" w:type="pct"/>
                  <w:vMerge w:val="continue"/>
                  <w:tcBorders>
                    <w:left w:val="single" w:color="auto" w:sz="4" w:space="0"/>
                    <w:right w:val="single" w:color="auto" w:sz="4" w:space="0"/>
                  </w:tcBorders>
                  <w:vAlign w:val="center"/>
                </w:tcPr>
                <w:p w14:paraId="4C7176AF">
                  <w:pPr>
                    <w:jc w:val="center"/>
                    <w:rPr>
                      <w:snapToGrid w:val="0"/>
                      <w:szCs w:val="21"/>
                      <w:u w:val="single"/>
                      <w:lang w:eastAsia="en-US"/>
                    </w:rPr>
                  </w:pPr>
                </w:p>
              </w:tc>
              <w:tc>
                <w:tcPr>
                  <w:tcW w:w="1000" w:type="pct"/>
                  <w:tcBorders>
                    <w:top w:val="single" w:color="auto" w:sz="4" w:space="0"/>
                    <w:left w:val="single" w:color="auto" w:sz="4" w:space="0"/>
                    <w:bottom w:val="single" w:color="auto" w:sz="4" w:space="0"/>
                    <w:right w:val="single" w:color="auto" w:sz="4" w:space="0"/>
                  </w:tcBorders>
                  <w:vAlign w:val="center"/>
                </w:tcPr>
                <w:p w14:paraId="31E85ADF">
                  <w:pPr>
                    <w:widowControl/>
                    <w:jc w:val="center"/>
                    <w:textAlignment w:val="center"/>
                    <w:rPr>
                      <w:color w:val="000000"/>
                      <w:sz w:val="22"/>
                      <w:u w:val="single"/>
                    </w:rPr>
                  </w:pPr>
                  <w:r>
                    <w:rPr>
                      <w:color w:val="000000"/>
                      <w:kern w:val="0"/>
                      <w:sz w:val="22"/>
                      <w:u w:val="single"/>
                      <w:lang w:bidi="ar"/>
                    </w:rPr>
                    <w:t>20</w:t>
                  </w:r>
                </w:p>
              </w:tc>
              <w:tc>
                <w:tcPr>
                  <w:tcW w:w="1000" w:type="pct"/>
                  <w:tcBorders>
                    <w:top w:val="single" w:color="auto" w:sz="4" w:space="0"/>
                    <w:left w:val="single" w:color="auto" w:sz="4" w:space="0"/>
                    <w:bottom w:val="single" w:color="auto" w:sz="4" w:space="0"/>
                    <w:right w:val="single" w:color="auto" w:sz="12" w:space="0"/>
                  </w:tcBorders>
                  <w:vAlign w:val="center"/>
                </w:tcPr>
                <w:p w14:paraId="649716B8">
                  <w:pPr>
                    <w:widowControl/>
                    <w:jc w:val="center"/>
                    <w:textAlignment w:val="center"/>
                    <w:rPr>
                      <w:color w:val="000000"/>
                      <w:kern w:val="0"/>
                      <w:sz w:val="22"/>
                      <w:u w:val="single"/>
                      <w:lang w:bidi="ar"/>
                    </w:rPr>
                  </w:pPr>
                  <w:r>
                    <w:rPr>
                      <w:color w:val="000000"/>
                      <w:kern w:val="0"/>
                      <w:sz w:val="22"/>
                      <w:u w:val="single"/>
                      <w:lang w:bidi="ar"/>
                    </w:rPr>
                    <w:t>0.000702</w:t>
                  </w:r>
                </w:p>
              </w:tc>
            </w:tr>
            <w:tr w14:paraId="7AE84B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tcBorders>
                    <w:left w:val="single" w:color="auto" w:sz="12" w:space="0"/>
                    <w:right w:val="single" w:color="auto" w:sz="4" w:space="0"/>
                  </w:tcBorders>
                  <w:vAlign w:val="center"/>
                </w:tcPr>
                <w:p w14:paraId="50551F18">
                  <w:pPr>
                    <w:jc w:val="center"/>
                    <w:rPr>
                      <w:snapToGrid w:val="0"/>
                      <w:szCs w:val="21"/>
                      <w:u w:val="single"/>
                      <w:lang w:eastAsia="en-US"/>
                    </w:rPr>
                  </w:pPr>
                </w:p>
              </w:tc>
              <w:tc>
                <w:tcPr>
                  <w:tcW w:w="999" w:type="pct"/>
                  <w:tcBorders>
                    <w:top w:val="single" w:color="auto" w:sz="4" w:space="0"/>
                    <w:left w:val="single" w:color="auto" w:sz="4" w:space="0"/>
                    <w:bottom w:val="single" w:color="auto" w:sz="4" w:space="0"/>
                    <w:right w:val="single" w:color="auto" w:sz="4" w:space="0"/>
                  </w:tcBorders>
                  <w:vAlign w:val="center"/>
                </w:tcPr>
                <w:p w14:paraId="328DB4D5">
                  <w:pPr>
                    <w:widowControl/>
                    <w:jc w:val="center"/>
                    <w:textAlignment w:val="center"/>
                    <w:rPr>
                      <w:kern w:val="0"/>
                      <w:szCs w:val="21"/>
                      <w:u w:val="single"/>
                      <w:lang w:eastAsia="en-US" w:bidi="ar"/>
                    </w:rPr>
                  </w:pPr>
                  <w:r>
                    <w:rPr>
                      <w:kern w:val="0"/>
                      <w:szCs w:val="21"/>
                      <w:u w:val="single"/>
                      <w:lang w:eastAsia="en-US" w:bidi="ar"/>
                    </w:rPr>
                    <w:t>SS</w:t>
                  </w:r>
                </w:p>
              </w:tc>
              <w:tc>
                <w:tcPr>
                  <w:tcW w:w="1000" w:type="pct"/>
                  <w:vMerge w:val="continue"/>
                  <w:tcBorders>
                    <w:left w:val="single" w:color="auto" w:sz="4" w:space="0"/>
                    <w:right w:val="single" w:color="auto" w:sz="4" w:space="0"/>
                  </w:tcBorders>
                  <w:vAlign w:val="center"/>
                </w:tcPr>
                <w:p w14:paraId="323A3A92">
                  <w:pPr>
                    <w:jc w:val="center"/>
                    <w:rPr>
                      <w:snapToGrid w:val="0"/>
                      <w:szCs w:val="21"/>
                      <w:u w:val="single"/>
                      <w:lang w:eastAsia="en-US"/>
                    </w:rPr>
                  </w:pPr>
                </w:p>
              </w:tc>
              <w:tc>
                <w:tcPr>
                  <w:tcW w:w="1000" w:type="pct"/>
                  <w:tcBorders>
                    <w:top w:val="single" w:color="auto" w:sz="4" w:space="0"/>
                    <w:left w:val="single" w:color="auto" w:sz="4" w:space="0"/>
                    <w:bottom w:val="single" w:color="auto" w:sz="4" w:space="0"/>
                    <w:right w:val="single" w:color="auto" w:sz="4" w:space="0"/>
                  </w:tcBorders>
                  <w:vAlign w:val="center"/>
                </w:tcPr>
                <w:p w14:paraId="3101C341">
                  <w:pPr>
                    <w:widowControl/>
                    <w:jc w:val="center"/>
                    <w:textAlignment w:val="center"/>
                    <w:rPr>
                      <w:color w:val="000000"/>
                      <w:sz w:val="22"/>
                      <w:u w:val="single"/>
                    </w:rPr>
                  </w:pPr>
                  <w:r>
                    <w:rPr>
                      <w:color w:val="000000"/>
                      <w:kern w:val="0"/>
                      <w:sz w:val="22"/>
                      <w:u w:val="single"/>
                      <w:lang w:bidi="ar"/>
                    </w:rPr>
                    <w:t>300</w:t>
                  </w:r>
                </w:p>
              </w:tc>
              <w:tc>
                <w:tcPr>
                  <w:tcW w:w="1000" w:type="pct"/>
                  <w:tcBorders>
                    <w:top w:val="single" w:color="auto" w:sz="4" w:space="0"/>
                    <w:left w:val="single" w:color="auto" w:sz="4" w:space="0"/>
                    <w:bottom w:val="single" w:color="auto" w:sz="4" w:space="0"/>
                    <w:right w:val="single" w:color="auto" w:sz="12" w:space="0"/>
                  </w:tcBorders>
                  <w:vAlign w:val="center"/>
                </w:tcPr>
                <w:p w14:paraId="105587C9">
                  <w:pPr>
                    <w:widowControl/>
                    <w:jc w:val="center"/>
                    <w:textAlignment w:val="center"/>
                    <w:rPr>
                      <w:color w:val="000000"/>
                      <w:kern w:val="0"/>
                      <w:sz w:val="22"/>
                      <w:u w:val="single"/>
                      <w:lang w:bidi="ar"/>
                    </w:rPr>
                  </w:pPr>
                  <w:r>
                    <w:rPr>
                      <w:color w:val="000000"/>
                      <w:kern w:val="0"/>
                      <w:sz w:val="22"/>
                      <w:u w:val="single"/>
                      <w:lang w:bidi="ar"/>
                    </w:rPr>
                    <w:t>0.01053</w:t>
                  </w:r>
                </w:p>
              </w:tc>
            </w:tr>
            <w:tr w14:paraId="30C15F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tcBorders>
                    <w:left w:val="single" w:color="auto" w:sz="12" w:space="0"/>
                    <w:bottom w:val="single" w:color="auto" w:sz="4" w:space="0"/>
                    <w:right w:val="single" w:color="auto" w:sz="4" w:space="0"/>
                  </w:tcBorders>
                  <w:vAlign w:val="center"/>
                </w:tcPr>
                <w:p w14:paraId="774F5405">
                  <w:pPr>
                    <w:jc w:val="center"/>
                    <w:rPr>
                      <w:snapToGrid w:val="0"/>
                      <w:szCs w:val="21"/>
                      <w:u w:val="single"/>
                      <w:lang w:eastAsia="en-US"/>
                    </w:rPr>
                  </w:pPr>
                </w:p>
              </w:tc>
              <w:tc>
                <w:tcPr>
                  <w:tcW w:w="999" w:type="pct"/>
                  <w:tcBorders>
                    <w:top w:val="single" w:color="auto" w:sz="4" w:space="0"/>
                    <w:left w:val="single" w:color="auto" w:sz="4" w:space="0"/>
                    <w:bottom w:val="single" w:color="auto" w:sz="4" w:space="0"/>
                    <w:right w:val="single" w:color="auto" w:sz="4" w:space="0"/>
                  </w:tcBorders>
                  <w:vAlign w:val="center"/>
                </w:tcPr>
                <w:p w14:paraId="47423951">
                  <w:pPr>
                    <w:widowControl/>
                    <w:jc w:val="center"/>
                    <w:textAlignment w:val="center"/>
                    <w:rPr>
                      <w:kern w:val="0"/>
                      <w:szCs w:val="21"/>
                      <w:u w:val="single"/>
                      <w:lang w:eastAsia="en-US" w:bidi="ar"/>
                    </w:rPr>
                  </w:pPr>
                  <w:r>
                    <w:rPr>
                      <w:kern w:val="0"/>
                      <w:szCs w:val="21"/>
                      <w:u w:val="single"/>
                      <w:lang w:eastAsia="en-US" w:bidi="ar"/>
                    </w:rPr>
                    <w:t>BOD</w:t>
                  </w:r>
                </w:p>
              </w:tc>
              <w:tc>
                <w:tcPr>
                  <w:tcW w:w="1000" w:type="pct"/>
                  <w:vMerge w:val="continue"/>
                  <w:tcBorders>
                    <w:left w:val="single" w:color="auto" w:sz="4" w:space="0"/>
                    <w:bottom w:val="single" w:color="auto" w:sz="4" w:space="0"/>
                    <w:right w:val="single" w:color="auto" w:sz="4" w:space="0"/>
                  </w:tcBorders>
                  <w:vAlign w:val="center"/>
                </w:tcPr>
                <w:p w14:paraId="28D19A8F">
                  <w:pPr>
                    <w:jc w:val="center"/>
                    <w:rPr>
                      <w:snapToGrid w:val="0"/>
                      <w:szCs w:val="21"/>
                      <w:u w:val="single"/>
                      <w:lang w:eastAsia="en-US"/>
                    </w:rPr>
                  </w:pPr>
                </w:p>
              </w:tc>
              <w:tc>
                <w:tcPr>
                  <w:tcW w:w="1000" w:type="pct"/>
                  <w:tcBorders>
                    <w:top w:val="single" w:color="auto" w:sz="4" w:space="0"/>
                    <w:left w:val="single" w:color="auto" w:sz="4" w:space="0"/>
                    <w:bottom w:val="single" w:color="auto" w:sz="4" w:space="0"/>
                    <w:right w:val="single" w:color="auto" w:sz="4" w:space="0"/>
                  </w:tcBorders>
                  <w:vAlign w:val="center"/>
                </w:tcPr>
                <w:p w14:paraId="3E2F96D4">
                  <w:pPr>
                    <w:widowControl/>
                    <w:jc w:val="center"/>
                    <w:textAlignment w:val="center"/>
                    <w:rPr>
                      <w:color w:val="000000"/>
                      <w:sz w:val="22"/>
                      <w:u w:val="single"/>
                    </w:rPr>
                  </w:pPr>
                  <w:r>
                    <w:rPr>
                      <w:color w:val="000000"/>
                      <w:kern w:val="0"/>
                      <w:sz w:val="22"/>
                      <w:u w:val="single"/>
                      <w:lang w:bidi="ar"/>
                    </w:rPr>
                    <w:t>1200</w:t>
                  </w:r>
                </w:p>
              </w:tc>
              <w:tc>
                <w:tcPr>
                  <w:tcW w:w="1000" w:type="pct"/>
                  <w:tcBorders>
                    <w:top w:val="single" w:color="auto" w:sz="4" w:space="0"/>
                    <w:left w:val="single" w:color="auto" w:sz="4" w:space="0"/>
                    <w:bottom w:val="single" w:color="auto" w:sz="4" w:space="0"/>
                    <w:right w:val="single" w:color="auto" w:sz="12" w:space="0"/>
                  </w:tcBorders>
                  <w:vAlign w:val="center"/>
                </w:tcPr>
                <w:p w14:paraId="28BFD29A">
                  <w:pPr>
                    <w:widowControl/>
                    <w:jc w:val="center"/>
                    <w:textAlignment w:val="center"/>
                    <w:rPr>
                      <w:color w:val="000000"/>
                      <w:kern w:val="0"/>
                      <w:sz w:val="22"/>
                      <w:u w:val="single"/>
                      <w:lang w:bidi="ar"/>
                    </w:rPr>
                  </w:pPr>
                  <w:r>
                    <w:rPr>
                      <w:color w:val="000000"/>
                      <w:kern w:val="0"/>
                      <w:sz w:val="22"/>
                      <w:u w:val="single"/>
                      <w:lang w:bidi="ar"/>
                    </w:rPr>
                    <w:t>0.04212</w:t>
                  </w:r>
                </w:p>
              </w:tc>
            </w:tr>
            <w:tr w14:paraId="4D1B6B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restart"/>
                  <w:tcBorders>
                    <w:top w:val="single" w:color="auto" w:sz="4" w:space="0"/>
                    <w:left w:val="single" w:color="auto" w:sz="12" w:space="0"/>
                    <w:bottom w:val="single" w:color="auto" w:sz="4" w:space="0"/>
                    <w:right w:val="single" w:color="auto" w:sz="4" w:space="0"/>
                  </w:tcBorders>
                  <w:vAlign w:val="center"/>
                </w:tcPr>
                <w:p w14:paraId="33E4A9B6">
                  <w:pPr>
                    <w:adjustRightInd w:val="0"/>
                    <w:jc w:val="center"/>
                    <w:rPr>
                      <w:bCs/>
                      <w:szCs w:val="21"/>
                      <w:u w:val="single"/>
                      <w:lang w:eastAsia="en-US"/>
                    </w:rPr>
                  </w:pPr>
                  <w:r>
                    <w:rPr>
                      <w:bCs/>
                      <w:szCs w:val="21"/>
                      <w:u w:val="single"/>
                      <w:lang w:eastAsia="en-US" w:bidi="ar"/>
                    </w:rPr>
                    <w:t>设备清洗废水</w:t>
                  </w:r>
                </w:p>
              </w:tc>
              <w:tc>
                <w:tcPr>
                  <w:tcW w:w="999" w:type="pct"/>
                  <w:tcBorders>
                    <w:top w:val="single" w:color="auto" w:sz="4" w:space="0"/>
                    <w:left w:val="single" w:color="auto" w:sz="4" w:space="0"/>
                    <w:bottom w:val="single" w:color="auto" w:sz="4" w:space="0"/>
                    <w:right w:val="single" w:color="auto" w:sz="4" w:space="0"/>
                  </w:tcBorders>
                  <w:vAlign w:val="center"/>
                </w:tcPr>
                <w:p w14:paraId="5BA51830">
                  <w:pPr>
                    <w:adjustRightInd w:val="0"/>
                    <w:jc w:val="center"/>
                    <w:rPr>
                      <w:bCs/>
                      <w:szCs w:val="21"/>
                      <w:u w:val="single"/>
                      <w:lang w:eastAsia="en-US"/>
                    </w:rPr>
                  </w:pPr>
                  <w:r>
                    <w:rPr>
                      <w:bCs/>
                      <w:szCs w:val="21"/>
                      <w:u w:val="single"/>
                      <w:lang w:eastAsia="en-US" w:bidi="ar"/>
                    </w:rPr>
                    <w:t>pH</w:t>
                  </w:r>
                </w:p>
              </w:tc>
              <w:tc>
                <w:tcPr>
                  <w:tcW w:w="1000" w:type="pct"/>
                  <w:vMerge w:val="restart"/>
                  <w:tcBorders>
                    <w:top w:val="single" w:color="auto" w:sz="4" w:space="0"/>
                    <w:left w:val="single" w:color="auto" w:sz="4" w:space="0"/>
                    <w:bottom w:val="single" w:color="auto" w:sz="4" w:space="0"/>
                    <w:right w:val="single" w:color="auto" w:sz="4" w:space="0"/>
                  </w:tcBorders>
                  <w:vAlign w:val="center"/>
                </w:tcPr>
                <w:p w14:paraId="4CEC0F86">
                  <w:pPr>
                    <w:adjustRightInd w:val="0"/>
                    <w:jc w:val="center"/>
                    <w:rPr>
                      <w:bCs/>
                      <w:szCs w:val="21"/>
                      <w:u w:val="single"/>
                      <w:lang w:eastAsia="en-US"/>
                    </w:rPr>
                  </w:pPr>
                  <w:r>
                    <w:rPr>
                      <w:bCs/>
                      <w:szCs w:val="21"/>
                      <w:u w:val="single"/>
                      <w:lang w:eastAsia="en-US" w:bidi="ar"/>
                    </w:rPr>
                    <w:t>2700</w:t>
                  </w:r>
                </w:p>
              </w:tc>
              <w:tc>
                <w:tcPr>
                  <w:tcW w:w="1000" w:type="pct"/>
                  <w:tcBorders>
                    <w:top w:val="single" w:color="auto" w:sz="4" w:space="0"/>
                    <w:left w:val="single" w:color="auto" w:sz="4" w:space="0"/>
                    <w:bottom w:val="single" w:color="auto" w:sz="4" w:space="0"/>
                    <w:right w:val="single" w:color="auto" w:sz="4" w:space="0"/>
                  </w:tcBorders>
                  <w:vAlign w:val="center"/>
                </w:tcPr>
                <w:p w14:paraId="68727B7F">
                  <w:pPr>
                    <w:adjustRightInd w:val="0"/>
                    <w:jc w:val="center"/>
                    <w:rPr>
                      <w:bCs/>
                      <w:szCs w:val="21"/>
                      <w:u w:val="single"/>
                      <w:lang w:eastAsia="en-US"/>
                    </w:rPr>
                  </w:pPr>
                  <w:r>
                    <w:rPr>
                      <w:bCs/>
                      <w:szCs w:val="21"/>
                      <w:u w:val="single"/>
                      <w:lang w:eastAsia="en-US" w:bidi="ar"/>
                    </w:rPr>
                    <w:t>6-9</w:t>
                  </w:r>
                </w:p>
              </w:tc>
              <w:tc>
                <w:tcPr>
                  <w:tcW w:w="1000" w:type="pct"/>
                  <w:tcBorders>
                    <w:top w:val="single" w:color="auto" w:sz="4" w:space="0"/>
                    <w:left w:val="single" w:color="auto" w:sz="4" w:space="0"/>
                    <w:bottom w:val="single" w:color="auto" w:sz="4" w:space="0"/>
                    <w:right w:val="single" w:color="auto" w:sz="12" w:space="0"/>
                  </w:tcBorders>
                  <w:vAlign w:val="center"/>
                </w:tcPr>
                <w:p w14:paraId="202AF8B7">
                  <w:pPr>
                    <w:adjustRightInd w:val="0"/>
                    <w:jc w:val="center"/>
                    <w:rPr>
                      <w:bCs/>
                      <w:szCs w:val="21"/>
                      <w:u w:val="single"/>
                      <w:lang w:eastAsia="en-US"/>
                    </w:rPr>
                  </w:pPr>
                  <w:r>
                    <w:rPr>
                      <w:bCs/>
                      <w:szCs w:val="21"/>
                      <w:u w:val="single"/>
                      <w:lang w:eastAsia="en-US" w:bidi="ar"/>
                    </w:rPr>
                    <w:t>/</w:t>
                  </w:r>
                </w:p>
              </w:tc>
            </w:tr>
            <w:tr w14:paraId="4303FC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tcBorders>
                    <w:top w:val="single" w:color="auto" w:sz="4" w:space="0"/>
                    <w:left w:val="single" w:color="auto" w:sz="12" w:space="0"/>
                    <w:bottom w:val="single" w:color="auto" w:sz="4" w:space="0"/>
                    <w:right w:val="single" w:color="auto" w:sz="4" w:space="0"/>
                  </w:tcBorders>
                  <w:vAlign w:val="center"/>
                </w:tcPr>
                <w:p w14:paraId="68C98C14">
                  <w:pPr>
                    <w:jc w:val="center"/>
                    <w:rPr>
                      <w:snapToGrid w:val="0"/>
                      <w:szCs w:val="21"/>
                      <w:u w:val="single"/>
                      <w:lang w:eastAsia="en-US"/>
                    </w:rPr>
                  </w:pPr>
                </w:p>
              </w:tc>
              <w:tc>
                <w:tcPr>
                  <w:tcW w:w="999" w:type="pct"/>
                  <w:tcBorders>
                    <w:top w:val="single" w:color="auto" w:sz="4" w:space="0"/>
                    <w:left w:val="single" w:color="auto" w:sz="4" w:space="0"/>
                    <w:bottom w:val="single" w:color="auto" w:sz="4" w:space="0"/>
                    <w:right w:val="single" w:color="auto" w:sz="4" w:space="0"/>
                  </w:tcBorders>
                  <w:vAlign w:val="center"/>
                </w:tcPr>
                <w:p w14:paraId="2C28F8E6">
                  <w:pPr>
                    <w:widowControl/>
                    <w:jc w:val="center"/>
                    <w:textAlignment w:val="center"/>
                    <w:rPr>
                      <w:bCs/>
                      <w:szCs w:val="21"/>
                      <w:u w:val="single"/>
                      <w:lang w:eastAsia="en-US"/>
                    </w:rPr>
                  </w:pPr>
                  <w:r>
                    <w:rPr>
                      <w:kern w:val="0"/>
                      <w:szCs w:val="21"/>
                      <w:u w:val="single"/>
                      <w:lang w:eastAsia="en-US" w:bidi="ar"/>
                    </w:rPr>
                    <w:t>COD</w:t>
                  </w:r>
                </w:p>
              </w:tc>
              <w:tc>
                <w:tcPr>
                  <w:tcW w:w="1000" w:type="pct"/>
                  <w:vMerge w:val="continue"/>
                  <w:tcBorders>
                    <w:top w:val="single" w:color="auto" w:sz="4" w:space="0"/>
                    <w:left w:val="single" w:color="auto" w:sz="4" w:space="0"/>
                    <w:bottom w:val="single" w:color="auto" w:sz="4" w:space="0"/>
                    <w:right w:val="single" w:color="auto" w:sz="4" w:space="0"/>
                  </w:tcBorders>
                  <w:vAlign w:val="center"/>
                </w:tcPr>
                <w:p w14:paraId="562DD6E3">
                  <w:pPr>
                    <w:jc w:val="center"/>
                    <w:rPr>
                      <w:snapToGrid w:val="0"/>
                      <w:szCs w:val="21"/>
                      <w:u w:val="single"/>
                      <w:lang w:eastAsia="en-US"/>
                    </w:rPr>
                  </w:pPr>
                </w:p>
              </w:tc>
              <w:tc>
                <w:tcPr>
                  <w:tcW w:w="1000" w:type="pct"/>
                  <w:tcBorders>
                    <w:top w:val="single" w:color="auto" w:sz="4" w:space="0"/>
                    <w:left w:val="single" w:color="auto" w:sz="4" w:space="0"/>
                    <w:bottom w:val="single" w:color="auto" w:sz="4" w:space="0"/>
                    <w:right w:val="single" w:color="auto" w:sz="4" w:space="0"/>
                  </w:tcBorders>
                  <w:vAlign w:val="center"/>
                </w:tcPr>
                <w:p w14:paraId="68DA1957">
                  <w:pPr>
                    <w:widowControl/>
                    <w:jc w:val="center"/>
                    <w:rPr>
                      <w:color w:val="000000"/>
                      <w:kern w:val="0"/>
                      <w:szCs w:val="21"/>
                      <w:u w:val="single"/>
                    </w:rPr>
                  </w:pPr>
                  <w:r>
                    <w:rPr>
                      <w:color w:val="000000"/>
                      <w:szCs w:val="21"/>
                      <w:u w:val="single"/>
                    </w:rPr>
                    <w:t>600</w:t>
                  </w:r>
                </w:p>
              </w:tc>
              <w:tc>
                <w:tcPr>
                  <w:tcW w:w="1000" w:type="pct"/>
                  <w:tcBorders>
                    <w:top w:val="single" w:color="auto" w:sz="4" w:space="0"/>
                    <w:left w:val="single" w:color="auto" w:sz="4" w:space="0"/>
                    <w:bottom w:val="single" w:color="auto" w:sz="4" w:space="0"/>
                    <w:right w:val="single" w:color="auto" w:sz="12" w:space="0"/>
                  </w:tcBorders>
                  <w:vAlign w:val="center"/>
                </w:tcPr>
                <w:p w14:paraId="239E2B4D">
                  <w:pPr>
                    <w:widowControl/>
                    <w:jc w:val="center"/>
                    <w:rPr>
                      <w:color w:val="000000"/>
                      <w:kern w:val="0"/>
                      <w:sz w:val="22"/>
                      <w:u w:val="single"/>
                    </w:rPr>
                  </w:pPr>
                  <w:r>
                    <w:rPr>
                      <w:color w:val="000000"/>
                      <w:sz w:val="22"/>
                      <w:u w:val="single"/>
                    </w:rPr>
                    <w:t xml:space="preserve">1.620 </w:t>
                  </w:r>
                </w:p>
              </w:tc>
            </w:tr>
            <w:tr w14:paraId="0A5DF0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tcBorders>
                    <w:top w:val="single" w:color="auto" w:sz="4" w:space="0"/>
                    <w:left w:val="single" w:color="auto" w:sz="12" w:space="0"/>
                    <w:bottom w:val="single" w:color="auto" w:sz="4" w:space="0"/>
                    <w:right w:val="single" w:color="auto" w:sz="4" w:space="0"/>
                  </w:tcBorders>
                  <w:vAlign w:val="center"/>
                </w:tcPr>
                <w:p w14:paraId="774A772C">
                  <w:pPr>
                    <w:jc w:val="center"/>
                    <w:rPr>
                      <w:snapToGrid w:val="0"/>
                      <w:szCs w:val="21"/>
                      <w:u w:val="single"/>
                      <w:lang w:eastAsia="en-US"/>
                    </w:rPr>
                  </w:pPr>
                </w:p>
              </w:tc>
              <w:tc>
                <w:tcPr>
                  <w:tcW w:w="999" w:type="pct"/>
                  <w:tcBorders>
                    <w:top w:val="single" w:color="auto" w:sz="4" w:space="0"/>
                    <w:left w:val="single" w:color="auto" w:sz="4" w:space="0"/>
                    <w:bottom w:val="single" w:color="auto" w:sz="4" w:space="0"/>
                    <w:right w:val="single" w:color="auto" w:sz="4" w:space="0"/>
                  </w:tcBorders>
                  <w:vAlign w:val="center"/>
                </w:tcPr>
                <w:p w14:paraId="7DDD6471">
                  <w:pPr>
                    <w:widowControl/>
                    <w:jc w:val="center"/>
                    <w:textAlignment w:val="center"/>
                    <w:rPr>
                      <w:bCs/>
                      <w:szCs w:val="21"/>
                      <w:u w:val="single"/>
                      <w:lang w:eastAsia="en-US"/>
                    </w:rPr>
                  </w:pPr>
                  <w:r>
                    <w:rPr>
                      <w:kern w:val="0"/>
                      <w:szCs w:val="21"/>
                      <w:u w:val="single"/>
                      <w:lang w:eastAsia="en-US" w:bidi="ar"/>
                    </w:rPr>
                    <w:t>氨氮</w:t>
                  </w:r>
                </w:p>
              </w:tc>
              <w:tc>
                <w:tcPr>
                  <w:tcW w:w="1000" w:type="pct"/>
                  <w:vMerge w:val="continue"/>
                  <w:tcBorders>
                    <w:top w:val="single" w:color="auto" w:sz="4" w:space="0"/>
                    <w:left w:val="single" w:color="auto" w:sz="4" w:space="0"/>
                    <w:bottom w:val="single" w:color="auto" w:sz="4" w:space="0"/>
                    <w:right w:val="single" w:color="auto" w:sz="4" w:space="0"/>
                  </w:tcBorders>
                  <w:vAlign w:val="center"/>
                </w:tcPr>
                <w:p w14:paraId="2DA49F52">
                  <w:pPr>
                    <w:jc w:val="center"/>
                    <w:rPr>
                      <w:snapToGrid w:val="0"/>
                      <w:szCs w:val="21"/>
                      <w:u w:val="single"/>
                      <w:lang w:eastAsia="en-US"/>
                    </w:rPr>
                  </w:pPr>
                </w:p>
              </w:tc>
              <w:tc>
                <w:tcPr>
                  <w:tcW w:w="1000" w:type="pct"/>
                  <w:tcBorders>
                    <w:top w:val="single" w:color="auto" w:sz="4" w:space="0"/>
                    <w:left w:val="single" w:color="auto" w:sz="4" w:space="0"/>
                    <w:bottom w:val="single" w:color="auto" w:sz="4" w:space="0"/>
                    <w:right w:val="single" w:color="auto" w:sz="4" w:space="0"/>
                  </w:tcBorders>
                  <w:vAlign w:val="center"/>
                </w:tcPr>
                <w:p w14:paraId="2158A734">
                  <w:pPr>
                    <w:jc w:val="center"/>
                    <w:rPr>
                      <w:color w:val="000000"/>
                      <w:szCs w:val="21"/>
                      <w:u w:val="single"/>
                    </w:rPr>
                  </w:pPr>
                  <w:r>
                    <w:rPr>
                      <w:color w:val="000000"/>
                      <w:szCs w:val="21"/>
                      <w:u w:val="single"/>
                    </w:rPr>
                    <w:t>20</w:t>
                  </w:r>
                </w:p>
              </w:tc>
              <w:tc>
                <w:tcPr>
                  <w:tcW w:w="1000" w:type="pct"/>
                  <w:tcBorders>
                    <w:top w:val="single" w:color="auto" w:sz="4" w:space="0"/>
                    <w:left w:val="single" w:color="auto" w:sz="4" w:space="0"/>
                    <w:bottom w:val="single" w:color="auto" w:sz="4" w:space="0"/>
                    <w:right w:val="single" w:color="auto" w:sz="12" w:space="0"/>
                  </w:tcBorders>
                  <w:vAlign w:val="center"/>
                </w:tcPr>
                <w:p w14:paraId="416C78B3">
                  <w:pPr>
                    <w:jc w:val="center"/>
                    <w:rPr>
                      <w:color w:val="000000"/>
                      <w:sz w:val="22"/>
                      <w:u w:val="single"/>
                    </w:rPr>
                  </w:pPr>
                  <w:r>
                    <w:rPr>
                      <w:color w:val="000000"/>
                      <w:sz w:val="22"/>
                      <w:u w:val="single"/>
                    </w:rPr>
                    <w:t xml:space="preserve">0.054 </w:t>
                  </w:r>
                </w:p>
              </w:tc>
            </w:tr>
            <w:tr w14:paraId="718F99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tcBorders>
                    <w:top w:val="single" w:color="auto" w:sz="4" w:space="0"/>
                    <w:left w:val="single" w:color="auto" w:sz="12" w:space="0"/>
                    <w:bottom w:val="single" w:color="auto" w:sz="4" w:space="0"/>
                    <w:right w:val="single" w:color="auto" w:sz="4" w:space="0"/>
                  </w:tcBorders>
                  <w:vAlign w:val="center"/>
                </w:tcPr>
                <w:p w14:paraId="01BE54BB">
                  <w:pPr>
                    <w:jc w:val="center"/>
                    <w:rPr>
                      <w:snapToGrid w:val="0"/>
                      <w:szCs w:val="21"/>
                      <w:u w:val="single"/>
                      <w:lang w:eastAsia="en-US"/>
                    </w:rPr>
                  </w:pPr>
                </w:p>
              </w:tc>
              <w:tc>
                <w:tcPr>
                  <w:tcW w:w="999" w:type="pct"/>
                  <w:tcBorders>
                    <w:top w:val="single" w:color="auto" w:sz="4" w:space="0"/>
                    <w:left w:val="single" w:color="auto" w:sz="4" w:space="0"/>
                    <w:bottom w:val="single" w:color="auto" w:sz="4" w:space="0"/>
                    <w:right w:val="single" w:color="auto" w:sz="4" w:space="0"/>
                  </w:tcBorders>
                  <w:vAlign w:val="center"/>
                </w:tcPr>
                <w:p w14:paraId="41DAD4A6">
                  <w:pPr>
                    <w:widowControl/>
                    <w:jc w:val="center"/>
                    <w:textAlignment w:val="center"/>
                    <w:rPr>
                      <w:bCs/>
                      <w:szCs w:val="21"/>
                      <w:u w:val="single"/>
                      <w:lang w:eastAsia="en-US"/>
                    </w:rPr>
                  </w:pPr>
                  <w:r>
                    <w:rPr>
                      <w:kern w:val="0"/>
                      <w:szCs w:val="21"/>
                      <w:u w:val="single"/>
                      <w:lang w:eastAsia="en-US" w:bidi="ar"/>
                    </w:rPr>
                    <w:t>总氮</w:t>
                  </w:r>
                </w:p>
              </w:tc>
              <w:tc>
                <w:tcPr>
                  <w:tcW w:w="1000" w:type="pct"/>
                  <w:vMerge w:val="continue"/>
                  <w:tcBorders>
                    <w:top w:val="single" w:color="auto" w:sz="4" w:space="0"/>
                    <w:left w:val="single" w:color="auto" w:sz="4" w:space="0"/>
                    <w:bottom w:val="single" w:color="auto" w:sz="4" w:space="0"/>
                    <w:right w:val="single" w:color="auto" w:sz="4" w:space="0"/>
                  </w:tcBorders>
                  <w:vAlign w:val="center"/>
                </w:tcPr>
                <w:p w14:paraId="3D66A4C8">
                  <w:pPr>
                    <w:jc w:val="center"/>
                    <w:rPr>
                      <w:snapToGrid w:val="0"/>
                      <w:szCs w:val="21"/>
                      <w:u w:val="single"/>
                      <w:lang w:eastAsia="en-US"/>
                    </w:rPr>
                  </w:pPr>
                </w:p>
              </w:tc>
              <w:tc>
                <w:tcPr>
                  <w:tcW w:w="1000" w:type="pct"/>
                  <w:tcBorders>
                    <w:top w:val="single" w:color="auto" w:sz="4" w:space="0"/>
                    <w:left w:val="single" w:color="auto" w:sz="4" w:space="0"/>
                    <w:bottom w:val="single" w:color="auto" w:sz="4" w:space="0"/>
                    <w:right w:val="single" w:color="auto" w:sz="4" w:space="0"/>
                  </w:tcBorders>
                  <w:vAlign w:val="center"/>
                </w:tcPr>
                <w:p w14:paraId="28F1001B">
                  <w:pPr>
                    <w:jc w:val="center"/>
                    <w:rPr>
                      <w:color w:val="000000"/>
                      <w:szCs w:val="21"/>
                      <w:u w:val="single"/>
                    </w:rPr>
                  </w:pPr>
                  <w:r>
                    <w:rPr>
                      <w:color w:val="000000"/>
                      <w:szCs w:val="21"/>
                      <w:u w:val="single"/>
                    </w:rPr>
                    <w:t>40</w:t>
                  </w:r>
                </w:p>
              </w:tc>
              <w:tc>
                <w:tcPr>
                  <w:tcW w:w="1000" w:type="pct"/>
                  <w:tcBorders>
                    <w:top w:val="single" w:color="auto" w:sz="4" w:space="0"/>
                    <w:left w:val="single" w:color="auto" w:sz="4" w:space="0"/>
                    <w:bottom w:val="single" w:color="auto" w:sz="4" w:space="0"/>
                    <w:right w:val="single" w:color="auto" w:sz="12" w:space="0"/>
                  </w:tcBorders>
                  <w:vAlign w:val="center"/>
                </w:tcPr>
                <w:p w14:paraId="427A6AE2">
                  <w:pPr>
                    <w:jc w:val="center"/>
                    <w:rPr>
                      <w:color w:val="000000"/>
                      <w:sz w:val="22"/>
                      <w:u w:val="single"/>
                    </w:rPr>
                  </w:pPr>
                  <w:r>
                    <w:rPr>
                      <w:color w:val="000000"/>
                      <w:sz w:val="22"/>
                      <w:u w:val="single"/>
                    </w:rPr>
                    <w:t xml:space="preserve">0.108 </w:t>
                  </w:r>
                </w:p>
              </w:tc>
            </w:tr>
            <w:tr w14:paraId="4AC37C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tcBorders>
                    <w:top w:val="single" w:color="auto" w:sz="4" w:space="0"/>
                    <w:left w:val="single" w:color="auto" w:sz="12" w:space="0"/>
                    <w:bottom w:val="single" w:color="auto" w:sz="4" w:space="0"/>
                    <w:right w:val="single" w:color="auto" w:sz="4" w:space="0"/>
                  </w:tcBorders>
                  <w:vAlign w:val="center"/>
                </w:tcPr>
                <w:p w14:paraId="6B5B5A80">
                  <w:pPr>
                    <w:jc w:val="center"/>
                    <w:rPr>
                      <w:snapToGrid w:val="0"/>
                      <w:szCs w:val="21"/>
                      <w:u w:val="single"/>
                      <w:lang w:eastAsia="en-US"/>
                    </w:rPr>
                  </w:pPr>
                </w:p>
              </w:tc>
              <w:tc>
                <w:tcPr>
                  <w:tcW w:w="999" w:type="pct"/>
                  <w:tcBorders>
                    <w:top w:val="single" w:color="auto" w:sz="4" w:space="0"/>
                    <w:left w:val="single" w:color="auto" w:sz="4" w:space="0"/>
                    <w:bottom w:val="single" w:color="auto" w:sz="4" w:space="0"/>
                    <w:right w:val="single" w:color="auto" w:sz="4" w:space="0"/>
                  </w:tcBorders>
                  <w:vAlign w:val="center"/>
                </w:tcPr>
                <w:p w14:paraId="0B000627">
                  <w:pPr>
                    <w:widowControl/>
                    <w:jc w:val="center"/>
                    <w:textAlignment w:val="center"/>
                    <w:rPr>
                      <w:bCs/>
                      <w:szCs w:val="21"/>
                      <w:u w:val="single"/>
                      <w:lang w:eastAsia="en-US"/>
                    </w:rPr>
                  </w:pPr>
                  <w:r>
                    <w:rPr>
                      <w:kern w:val="0"/>
                      <w:szCs w:val="21"/>
                      <w:u w:val="single"/>
                      <w:lang w:eastAsia="en-US" w:bidi="ar"/>
                    </w:rPr>
                    <w:t>总磷</w:t>
                  </w:r>
                </w:p>
              </w:tc>
              <w:tc>
                <w:tcPr>
                  <w:tcW w:w="1000" w:type="pct"/>
                  <w:vMerge w:val="continue"/>
                  <w:tcBorders>
                    <w:top w:val="single" w:color="auto" w:sz="4" w:space="0"/>
                    <w:left w:val="single" w:color="auto" w:sz="4" w:space="0"/>
                    <w:bottom w:val="single" w:color="auto" w:sz="4" w:space="0"/>
                    <w:right w:val="single" w:color="auto" w:sz="4" w:space="0"/>
                  </w:tcBorders>
                  <w:vAlign w:val="center"/>
                </w:tcPr>
                <w:p w14:paraId="6D9E631E">
                  <w:pPr>
                    <w:jc w:val="center"/>
                    <w:rPr>
                      <w:snapToGrid w:val="0"/>
                      <w:szCs w:val="21"/>
                      <w:u w:val="single"/>
                      <w:lang w:eastAsia="en-US"/>
                    </w:rPr>
                  </w:pPr>
                </w:p>
              </w:tc>
              <w:tc>
                <w:tcPr>
                  <w:tcW w:w="1000" w:type="pct"/>
                  <w:tcBorders>
                    <w:top w:val="single" w:color="auto" w:sz="4" w:space="0"/>
                    <w:left w:val="single" w:color="auto" w:sz="4" w:space="0"/>
                    <w:bottom w:val="single" w:color="auto" w:sz="4" w:space="0"/>
                    <w:right w:val="single" w:color="auto" w:sz="4" w:space="0"/>
                  </w:tcBorders>
                  <w:vAlign w:val="center"/>
                </w:tcPr>
                <w:p w14:paraId="20929E9C">
                  <w:pPr>
                    <w:jc w:val="center"/>
                    <w:rPr>
                      <w:color w:val="000000"/>
                      <w:szCs w:val="21"/>
                      <w:u w:val="single"/>
                    </w:rPr>
                  </w:pPr>
                  <w:r>
                    <w:rPr>
                      <w:color w:val="000000"/>
                      <w:szCs w:val="21"/>
                      <w:u w:val="single"/>
                    </w:rPr>
                    <w:t>7</w:t>
                  </w:r>
                </w:p>
              </w:tc>
              <w:tc>
                <w:tcPr>
                  <w:tcW w:w="1000" w:type="pct"/>
                  <w:tcBorders>
                    <w:top w:val="single" w:color="auto" w:sz="4" w:space="0"/>
                    <w:left w:val="single" w:color="auto" w:sz="4" w:space="0"/>
                    <w:bottom w:val="single" w:color="auto" w:sz="4" w:space="0"/>
                    <w:right w:val="single" w:color="auto" w:sz="12" w:space="0"/>
                  </w:tcBorders>
                  <w:vAlign w:val="center"/>
                </w:tcPr>
                <w:p w14:paraId="21110B8C">
                  <w:pPr>
                    <w:jc w:val="center"/>
                    <w:rPr>
                      <w:color w:val="000000"/>
                      <w:sz w:val="22"/>
                      <w:u w:val="single"/>
                    </w:rPr>
                  </w:pPr>
                  <w:r>
                    <w:rPr>
                      <w:color w:val="000000"/>
                      <w:sz w:val="22"/>
                      <w:u w:val="single"/>
                    </w:rPr>
                    <w:t xml:space="preserve">0.019 </w:t>
                  </w:r>
                </w:p>
              </w:tc>
            </w:tr>
            <w:tr w14:paraId="7DA33D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tcBorders>
                    <w:top w:val="single" w:color="auto" w:sz="4" w:space="0"/>
                    <w:left w:val="single" w:color="auto" w:sz="12" w:space="0"/>
                    <w:bottom w:val="single" w:color="auto" w:sz="4" w:space="0"/>
                    <w:right w:val="single" w:color="auto" w:sz="4" w:space="0"/>
                  </w:tcBorders>
                  <w:vAlign w:val="center"/>
                </w:tcPr>
                <w:p w14:paraId="0E46921B">
                  <w:pPr>
                    <w:jc w:val="center"/>
                    <w:rPr>
                      <w:snapToGrid w:val="0"/>
                      <w:szCs w:val="21"/>
                      <w:u w:val="single"/>
                      <w:lang w:eastAsia="en-US"/>
                    </w:rPr>
                  </w:pPr>
                </w:p>
              </w:tc>
              <w:tc>
                <w:tcPr>
                  <w:tcW w:w="999" w:type="pct"/>
                  <w:tcBorders>
                    <w:top w:val="single" w:color="auto" w:sz="4" w:space="0"/>
                    <w:left w:val="single" w:color="auto" w:sz="4" w:space="0"/>
                    <w:bottom w:val="single" w:color="auto" w:sz="4" w:space="0"/>
                    <w:right w:val="single" w:color="auto" w:sz="4" w:space="0"/>
                  </w:tcBorders>
                  <w:vAlign w:val="center"/>
                </w:tcPr>
                <w:p w14:paraId="46F229D6">
                  <w:pPr>
                    <w:widowControl/>
                    <w:jc w:val="center"/>
                    <w:textAlignment w:val="center"/>
                    <w:rPr>
                      <w:kern w:val="0"/>
                      <w:szCs w:val="21"/>
                      <w:u w:val="single"/>
                      <w:lang w:eastAsia="en-US" w:bidi="ar"/>
                    </w:rPr>
                  </w:pPr>
                  <w:r>
                    <w:rPr>
                      <w:kern w:val="0"/>
                      <w:szCs w:val="21"/>
                      <w:u w:val="single"/>
                      <w:lang w:eastAsia="en-US" w:bidi="ar"/>
                    </w:rPr>
                    <w:t>SS</w:t>
                  </w:r>
                </w:p>
              </w:tc>
              <w:tc>
                <w:tcPr>
                  <w:tcW w:w="1000" w:type="pct"/>
                  <w:vMerge w:val="continue"/>
                  <w:tcBorders>
                    <w:top w:val="single" w:color="auto" w:sz="4" w:space="0"/>
                    <w:left w:val="single" w:color="auto" w:sz="4" w:space="0"/>
                    <w:bottom w:val="single" w:color="auto" w:sz="4" w:space="0"/>
                    <w:right w:val="single" w:color="auto" w:sz="4" w:space="0"/>
                  </w:tcBorders>
                  <w:vAlign w:val="center"/>
                </w:tcPr>
                <w:p w14:paraId="30515AE9">
                  <w:pPr>
                    <w:jc w:val="center"/>
                    <w:rPr>
                      <w:snapToGrid w:val="0"/>
                      <w:szCs w:val="21"/>
                      <w:u w:val="single"/>
                      <w:lang w:eastAsia="en-US"/>
                    </w:rPr>
                  </w:pPr>
                </w:p>
              </w:tc>
              <w:tc>
                <w:tcPr>
                  <w:tcW w:w="1000" w:type="pct"/>
                  <w:tcBorders>
                    <w:top w:val="single" w:color="auto" w:sz="4" w:space="0"/>
                    <w:left w:val="single" w:color="auto" w:sz="4" w:space="0"/>
                    <w:bottom w:val="single" w:color="auto" w:sz="4" w:space="0"/>
                    <w:right w:val="single" w:color="auto" w:sz="4" w:space="0"/>
                  </w:tcBorders>
                  <w:vAlign w:val="center"/>
                </w:tcPr>
                <w:p w14:paraId="49253613">
                  <w:pPr>
                    <w:jc w:val="center"/>
                    <w:rPr>
                      <w:color w:val="000000"/>
                      <w:szCs w:val="21"/>
                      <w:u w:val="single"/>
                    </w:rPr>
                  </w:pPr>
                  <w:r>
                    <w:rPr>
                      <w:color w:val="000000"/>
                      <w:szCs w:val="21"/>
                      <w:u w:val="single"/>
                    </w:rPr>
                    <w:t>300</w:t>
                  </w:r>
                </w:p>
              </w:tc>
              <w:tc>
                <w:tcPr>
                  <w:tcW w:w="1000" w:type="pct"/>
                  <w:tcBorders>
                    <w:top w:val="single" w:color="auto" w:sz="4" w:space="0"/>
                    <w:left w:val="single" w:color="auto" w:sz="4" w:space="0"/>
                    <w:bottom w:val="single" w:color="auto" w:sz="4" w:space="0"/>
                    <w:right w:val="single" w:color="auto" w:sz="12" w:space="0"/>
                  </w:tcBorders>
                  <w:vAlign w:val="center"/>
                </w:tcPr>
                <w:p w14:paraId="146C048B">
                  <w:pPr>
                    <w:jc w:val="center"/>
                    <w:rPr>
                      <w:color w:val="000000"/>
                      <w:sz w:val="22"/>
                      <w:u w:val="single"/>
                    </w:rPr>
                  </w:pPr>
                  <w:r>
                    <w:rPr>
                      <w:color w:val="000000"/>
                      <w:sz w:val="22"/>
                      <w:u w:val="single"/>
                    </w:rPr>
                    <w:t xml:space="preserve">0.810 </w:t>
                  </w:r>
                </w:p>
              </w:tc>
            </w:tr>
            <w:tr w14:paraId="2A05BF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tcBorders>
                    <w:top w:val="single" w:color="auto" w:sz="4" w:space="0"/>
                    <w:left w:val="single" w:color="auto" w:sz="12" w:space="0"/>
                    <w:bottom w:val="single" w:color="auto" w:sz="4" w:space="0"/>
                    <w:right w:val="single" w:color="auto" w:sz="4" w:space="0"/>
                  </w:tcBorders>
                  <w:vAlign w:val="center"/>
                </w:tcPr>
                <w:p w14:paraId="57047AF3">
                  <w:pPr>
                    <w:jc w:val="center"/>
                    <w:rPr>
                      <w:snapToGrid w:val="0"/>
                      <w:szCs w:val="21"/>
                      <w:u w:val="single"/>
                      <w:lang w:eastAsia="en-US"/>
                    </w:rPr>
                  </w:pPr>
                </w:p>
              </w:tc>
              <w:tc>
                <w:tcPr>
                  <w:tcW w:w="999" w:type="pct"/>
                  <w:tcBorders>
                    <w:top w:val="single" w:color="auto" w:sz="4" w:space="0"/>
                    <w:left w:val="single" w:color="auto" w:sz="4" w:space="0"/>
                    <w:bottom w:val="single" w:color="auto" w:sz="4" w:space="0"/>
                    <w:right w:val="single" w:color="auto" w:sz="4" w:space="0"/>
                  </w:tcBorders>
                  <w:vAlign w:val="center"/>
                </w:tcPr>
                <w:p w14:paraId="6A750A77">
                  <w:pPr>
                    <w:widowControl/>
                    <w:jc w:val="center"/>
                    <w:textAlignment w:val="center"/>
                    <w:rPr>
                      <w:kern w:val="0"/>
                      <w:szCs w:val="21"/>
                      <w:u w:val="single"/>
                      <w:lang w:eastAsia="en-US" w:bidi="ar"/>
                    </w:rPr>
                  </w:pPr>
                  <w:r>
                    <w:rPr>
                      <w:kern w:val="0"/>
                      <w:szCs w:val="21"/>
                      <w:u w:val="single"/>
                      <w:lang w:eastAsia="en-US" w:bidi="ar"/>
                    </w:rPr>
                    <w:t>BOD</w:t>
                  </w:r>
                </w:p>
              </w:tc>
              <w:tc>
                <w:tcPr>
                  <w:tcW w:w="1000" w:type="pct"/>
                  <w:vMerge w:val="continue"/>
                  <w:tcBorders>
                    <w:top w:val="single" w:color="auto" w:sz="4" w:space="0"/>
                    <w:left w:val="single" w:color="auto" w:sz="4" w:space="0"/>
                    <w:bottom w:val="single" w:color="auto" w:sz="4" w:space="0"/>
                    <w:right w:val="single" w:color="auto" w:sz="4" w:space="0"/>
                  </w:tcBorders>
                  <w:vAlign w:val="center"/>
                </w:tcPr>
                <w:p w14:paraId="50F7E91C">
                  <w:pPr>
                    <w:jc w:val="center"/>
                    <w:rPr>
                      <w:snapToGrid w:val="0"/>
                      <w:szCs w:val="21"/>
                      <w:u w:val="single"/>
                      <w:lang w:eastAsia="en-US"/>
                    </w:rPr>
                  </w:pPr>
                </w:p>
              </w:tc>
              <w:tc>
                <w:tcPr>
                  <w:tcW w:w="1000" w:type="pct"/>
                  <w:tcBorders>
                    <w:top w:val="single" w:color="auto" w:sz="4" w:space="0"/>
                    <w:left w:val="single" w:color="auto" w:sz="4" w:space="0"/>
                    <w:bottom w:val="single" w:color="auto" w:sz="4" w:space="0"/>
                    <w:right w:val="single" w:color="auto" w:sz="4" w:space="0"/>
                  </w:tcBorders>
                  <w:vAlign w:val="center"/>
                </w:tcPr>
                <w:p w14:paraId="4FE54413">
                  <w:pPr>
                    <w:jc w:val="center"/>
                    <w:rPr>
                      <w:color w:val="000000"/>
                      <w:szCs w:val="21"/>
                      <w:u w:val="single"/>
                    </w:rPr>
                  </w:pPr>
                  <w:r>
                    <w:rPr>
                      <w:color w:val="000000"/>
                      <w:szCs w:val="21"/>
                      <w:u w:val="single"/>
                    </w:rPr>
                    <w:t>350</w:t>
                  </w:r>
                </w:p>
              </w:tc>
              <w:tc>
                <w:tcPr>
                  <w:tcW w:w="1000" w:type="pct"/>
                  <w:tcBorders>
                    <w:top w:val="single" w:color="auto" w:sz="4" w:space="0"/>
                    <w:left w:val="single" w:color="auto" w:sz="4" w:space="0"/>
                    <w:bottom w:val="single" w:color="auto" w:sz="4" w:space="0"/>
                    <w:right w:val="single" w:color="auto" w:sz="12" w:space="0"/>
                  </w:tcBorders>
                  <w:vAlign w:val="center"/>
                </w:tcPr>
                <w:p w14:paraId="6F8DEAD9">
                  <w:pPr>
                    <w:jc w:val="center"/>
                    <w:rPr>
                      <w:color w:val="000000"/>
                      <w:sz w:val="22"/>
                      <w:u w:val="single"/>
                    </w:rPr>
                  </w:pPr>
                  <w:r>
                    <w:rPr>
                      <w:color w:val="000000"/>
                      <w:sz w:val="22"/>
                      <w:u w:val="single"/>
                    </w:rPr>
                    <w:t xml:space="preserve">0.945 </w:t>
                  </w:r>
                </w:p>
              </w:tc>
            </w:tr>
            <w:tr w14:paraId="1C5175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tcBorders>
                    <w:top w:val="single" w:color="auto" w:sz="4" w:space="0"/>
                    <w:left w:val="single" w:color="auto" w:sz="12" w:space="0"/>
                    <w:bottom w:val="single" w:color="auto" w:sz="4" w:space="0"/>
                    <w:right w:val="single" w:color="auto" w:sz="4" w:space="0"/>
                  </w:tcBorders>
                  <w:vAlign w:val="center"/>
                </w:tcPr>
                <w:p w14:paraId="17023E8A">
                  <w:pPr>
                    <w:jc w:val="center"/>
                    <w:rPr>
                      <w:snapToGrid w:val="0"/>
                      <w:szCs w:val="21"/>
                      <w:u w:val="single"/>
                      <w:lang w:eastAsia="en-US"/>
                    </w:rPr>
                  </w:pPr>
                </w:p>
              </w:tc>
              <w:tc>
                <w:tcPr>
                  <w:tcW w:w="999" w:type="pct"/>
                  <w:tcBorders>
                    <w:top w:val="single" w:color="auto" w:sz="4" w:space="0"/>
                    <w:left w:val="single" w:color="auto" w:sz="4" w:space="0"/>
                    <w:bottom w:val="single" w:color="auto" w:sz="4" w:space="0"/>
                    <w:right w:val="single" w:color="auto" w:sz="4" w:space="0"/>
                  </w:tcBorders>
                  <w:vAlign w:val="center"/>
                </w:tcPr>
                <w:p w14:paraId="6317E88E">
                  <w:pPr>
                    <w:widowControl/>
                    <w:jc w:val="center"/>
                    <w:textAlignment w:val="center"/>
                    <w:rPr>
                      <w:kern w:val="0"/>
                      <w:szCs w:val="21"/>
                      <w:u w:val="single"/>
                      <w:lang w:eastAsia="en-US" w:bidi="ar"/>
                    </w:rPr>
                  </w:pPr>
                  <w:r>
                    <w:rPr>
                      <w:kern w:val="0"/>
                      <w:szCs w:val="21"/>
                      <w:u w:val="single"/>
                      <w:lang w:eastAsia="en-US" w:bidi="ar"/>
                    </w:rPr>
                    <w:t>动植物油</w:t>
                  </w:r>
                </w:p>
              </w:tc>
              <w:tc>
                <w:tcPr>
                  <w:tcW w:w="1000" w:type="pct"/>
                  <w:vMerge w:val="continue"/>
                  <w:tcBorders>
                    <w:top w:val="single" w:color="auto" w:sz="4" w:space="0"/>
                    <w:left w:val="single" w:color="auto" w:sz="4" w:space="0"/>
                    <w:bottom w:val="single" w:color="auto" w:sz="4" w:space="0"/>
                    <w:right w:val="single" w:color="auto" w:sz="4" w:space="0"/>
                  </w:tcBorders>
                  <w:vAlign w:val="center"/>
                </w:tcPr>
                <w:p w14:paraId="28A2013B">
                  <w:pPr>
                    <w:jc w:val="center"/>
                    <w:rPr>
                      <w:snapToGrid w:val="0"/>
                      <w:szCs w:val="21"/>
                      <w:u w:val="single"/>
                      <w:lang w:eastAsia="en-US"/>
                    </w:rPr>
                  </w:pPr>
                </w:p>
              </w:tc>
              <w:tc>
                <w:tcPr>
                  <w:tcW w:w="1000" w:type="pct"/>
                  <w:tcBorders>
                    <w:top w:val="single" w:color="auto" w:sz="4" w:space="0"/>
                    <w:left w:val="single" w:color="auto" w:sz="4" w:space="0"/>
                    <w:bottom w:val="single" w:color="auto" w:sz="4" w:space="0"/>
                    <w:right w:val="single" w:color="auto" w:sz="4" w:space="0"/>
                  </w:tcBorders>
                  <w:vAlign w:val="center"/>
                </w:tcPr>
                <w:p w14:paraId="5825CD78">
                  <w:pPr>
                    <w:jc w:val="center"/>
                    <w:rPr>
                      <w:color w:val="000000"/>
                      <w:szCs w:val="21"/>
                      <w:u w:val="single"/>
                    </w:rPr>
                  </w:pPr>
                  <w:r>
                    <w:rPr>
                      <w:color w:val="000000"/>
                      <w:szCs w:val="21"/>
                      <w:u w:val="single"/>
                    </w:rPr>
                    <w:t>8</w:t>
                  </w:r>
                </w:p>
              </w:tc>
              <w:tc>
                <w:tcPr>
                  <w:tcW w:w="1000" w:type="pct"/>
                  <w:tcBorders>
                    <w:top w:val="single" w:color="auto" w:sz="4" w:space="0"/>
                    <w:left w:val="single" w:color="auto" w:sz="4" w:space="0"/>
                    <w:bottom w:val="single" w:color="auto" w:sz="4" w:space="0"/>
                    <w:right w:val="single" w:color="auto" w:sz="12" w:space="0"/>
                  </w:tcBorders>
                  <w:vAlign w:val="center"/>
                </w:tcPr>
                <w:p w14:paraId="3EF0DDD2">
                  <w:pPr>
                    <w:jc w:val="center"/>
                    <w:rPr>
                      <w:color w:val="000000"/>
                      <w:sz w:val="22"/>
                      <w:u w:val="single"/>
                    </w:rPr>
                  </w:pPr>
                  <w:r>
                    <w:rPr>
                      <w:color w:val="000000"/>
                      <w:sz w:val="22"/>
                      <w:u w:val="single"/>
                    </w:rPr>
                    <w:t xml:space="preserve">0.022 </w:t>
                  </w:r>
                </w:p>
              </w:tc>
            </w:tr>
            <w:tr w14:paraId="193B46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tcBorders>
                    <w:top w:val="single" w:color="auto" w:sz="4" w:space="0"/>
                    <w:left w:val="single" w:color="auto" w:sz="12" w:space="0"/>
                    <w:bottom w:val="single" w:color="auto" w:sz="4" w:space="0"/>
                    <w:right w:val="single" w:color="auto" w:sz="4" w:space="0"/>
                  </w:tcBorders>
                  <w:vAlign w:val="center"/>
                </w:tcPr>
                <w:p w14:paraId="3D3B930A">
                  <w:pPr>
                    <w:jc w:val="center"/>
                    <w:rPr>
                      <w:snapToGrid w:val="0"/>
                      <w:szCs w:val="21"/>
                      <w:u w:val="single"/>
                      <w:lang w:eastAsia="en-US"/>
                    </w:rPr>
                  </w:pPr>
                </w:p>
              </w:tc>
              <w:tc>
                <w:tcPr>
                  <w:tcW w:w="999" w:type="pct"/>
                  <w:tcBorders>
                    <w:top w:val="single" w:color="auto" w:sz="4" w:space="0"/>
                    <w:left w:val="single" w:color="auto" w:sz="4" w:space="0"/>
                    <w:bottom w:val="single" w:color="auto" w:sz="4" w:space="0"/>
                    <w:right w:val="single" w:color="auto" w:sz="4" w:space="0"/>
                  </w:tcBorders>
                  <w:vAlign w:val="center"/>
                </w:tcPr>
                <w:p w14:paraId="49919B59">
                  <w:pPr>
                    <w:widowControl/>
                    <w:jc w:val="center"/>
                    <w:textAlignment w:val="center"/>
                    <w:rPr>
                      <w:kern w:val="0"/>
                      <w:szCs w:val="21"/>
                      <w:u w:val="single"/>
                      <w:lang w:eastAsia="en-US" w:bidi="ar"/>
                    </w:rPr>
                  </w:pPr>
                  <w:r>
                    <w:rPr>
                      <w:kern w:val="0"/>
                      <w:szCs w:val="21"/>
                      <w:u w:val="single"/>
                      <w:lang w:eastAsia="en-US" w:bidi="ar"/>
                    </w:rPr>
                    <w:t>氯化物</w:t>
                  </w:r>
                </w:p>
              </w:tc>
              <w:tc>
                <w:tcPr>
                  <w:tcW w:w="1000" w:type="pct"/>
                  <w:vMerge w:val="continue"/>
                  <w:tcBorders>
                    <w:top w:val="single" w:color="auto" w:sz="4" w:space="0"/>
                    <w:left w:val="single" w:color="auto" w:sz="4" w:space="0"/>
                    <w:bottom w:val="single" w:color="auto" w:sz="4" w:space="0"/>
                    <w:right w:val="single" w:color="auto" w:sz="4" w:space="0"/>
                  </w:tcBorders>
                  <w:vAlign w:val="center"/>
                </w:tcPr>
                <w:p w14:paraId="520C70A4">
                  <w:pPr>
                    <w:jc w:val="center"/>
                    <w:rPr>
                      <w:snapToGrid w:val="0"/>
                      <w:szCs w:val="21"/>
                      <w:u w:val="single"/>
                      <w:lang w:eastAsia="en-US"/>
                    </w:rPr>
                  </w:pPr>
                </w:p>
              </w:tc>
              <w:tc>
                <w:tcPr>
                  <w:tcW w:w="1000" w:type="pct"/>
                  <w:tcBorders>
                    <w:top w:val="single" w:color="auto" w:sz="4" w:space="0"/>
                    <w:left w:val="single" w:color="auto" w:sz="4" w:space="0"/>
                    <w:bottom w:val="single" w:color="auto" w:sz="4" w:space="0"/>
                    <w:right w:val="single" w:color="auto" w:sz="4" w:space="0"/>
                  </w:tcBorders>
                  <w:vAlign w:val="center"/>
                </w:tcPr>
                <w:p w14:paraId="16FE4227">
                  <w:pPr>
                    <w:jc w:val="center"/>
                    <w:rPr>
                      <w:color w:val="000000"/>
                      <w:sz w:val="22"/>
                      <w:u w:val="single"/>
                    </w:rPr>
                  </w:pPr>
                  <w:r>
                    <w:rPr>
                      <w:color w:val="000000"/>
                      <w:sz w:val="22"/>
                      <w:u w:val="single"/>
                    </w:rPr>
                    <w:t>150</w:t>
                  </w:r>
                </w:p>
              </w:tc>
              <w:tc>
                <w:tcPr>
                  <w:tcW w:w="1000" w:type="pct"/>
                  <w:tcBorders>
                    <w:top w:val="single" w:color="auto" w:sz="4" w:space="0"/>
                    <w:left w:val="single" w:color="auto" w:sz="4" w:space="0"/>
                    <w:bottom w:val="single" w:color="auto" w:sz="4" w:space="0"/>
                    <w:right w:val="single" w:color="auto" w:sz="12" w:space="0"/>
                  </w:tcBorders>
                  <w:vAlign w:val="center"/>
                </w:tcPr>
                <w:p w14:paraId="7C747E46">
                  <w:pPr>
                    <w:jc w:val="center"/>
                    <w:rPr>
                      <w:color w:val="000000"/>
                      <w:sz w:val="22"/>
                      <w:u w:val="single"/>
                    </w:rPr>
                  </w:pPr>
                  <w:r>
                    <w:rPr>
                      <w:color w:val="000000"/>
                      <w:sz w:val="22"/>
                      <w:u w:val="single"/>
                    </w:rPr>
                    <w:t xml:space="preserve">0.405 </w:t>
                  </w:r>
                </w:p>
              </w:tc>
            </w:tr>
            <w:tr w14:paraId="20C28C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restart"/>
                  <w:tcBorders>
                    <w:top w:val="single" w:color="auto" w:sz="4" w:space="0"/>
                    <w:left w:val="single" w:color="auto" w:sz="12" w:space="0"/>
                    <w:bottom w:val="single" w:color="auto" w:sz="4" w:space="0"/>
                    <w:right w:val="single" w:color="auto" w:sz="4" w:space="0"/>
                  </w:tcBorders>
                  <w:vAlign w:val="center"/>
                </w:tcPr>
                <w:p w14:paraId="0787A549">
                  <w:pPr>
                    <w:adjustRightInd w:val="0"/>
                    <w:jc w:val="center"/>
                    <w:rPr>
                      <w:bCs/>
                      <w:szCs w:val="21"/>
                      <w:u w:val="single"/>
                      <w:lang w:eastAsia="en-US"/>
                    </w:rPr>
                  </w:pPr>
                  <w:r>
                    <w:rPr>
                      <w:bCs/>
                      <w:szCs w:val="21"/>
                      <w:u w:val="single"/>
                      <w:lang w:eastAsia="en-US" w:bidi="ar"/>
                    </w:rPr>
                    <w:t>地面清洁废水</w:t>
                  </w:r>
                </w:p>
              </w:tc>
              <w:tc>
                <w:tcPr>
                  <w:tcW w:w="999" w:type="pct"/>
                  <w:tcBorders>
                    <w:top w:val="single" w:color="auto" w:sz="4" w:space="0"/>
                    <w:left w:val="single" w:color="auto" w:sz="4" w:space="0"/>
                    <w:bottom w:val="single" w:color="auto" w:sz="4" w:space="0"/>
                    <w:right w:val="single" w:color="auto" w:sz="4" w:space="0"/>
                  </w:tcBorders>
                  <w:vAlign w:val="center"/>
                </w:tcPr>
                <w:p w14:paraId="67952BC5">
                  <w:pPr>
                    <w:adjustRightInd w:val="0"/>
                    <w:jc w:val="center"/>
                    <w:rPr>
                      <w:bCs/>
                      <w:szCs w:val="21"/>
                      <w:u w:val="single"/>
                      <w:lang w:eastAsia="en-US" w:bidi="ar"/>
                    </w:rPr>
                  </w:pPr>
                  <w:r>
                    <w:rPr>
                      <w:bCs/>
                      <w:szCs w:val="21"/>
                      <w:u w:val="single"/>
                      <w:lang w:eastAsia="en-US" w:bidi="ar"/>
                    </w:rPr>
                    <w:t>pH</w:t>
                  </w:r>
                </w:p>
              </w:tc>
              <w:tc>
                <w:tcPr>
                  <w:tcW w:w="1000" w:type="pct"/>
                  <w:vMerge w:val="restart"/>
                  <w:tcBorders>
                    <w:top w:val="single" w:color="auto" w:sz="4" w:space="0"/>
                    <w:left w:val="single" w:color="auto" w:sz="4" w:space="0"/>
                    <w:bottom w:val="single" w:color="auto" w:sz="4" w:space="0"/>
                    <w:right w:val="single" w:color="auto" w:sz="4" w:space="0"/>
                  </w:tcBorders>
                  <w:vAlign w:val="center"/>
                </w:tcPr>
                <w:p w14:paraId="4289A99D">
                  <w:pPr>
                    <w:adjustRightInd w:val="0"/>
                    <w:jc w:val="center"/>
                    <w:rPr>
                      <w:bCs/>
                      <w:szCs w:val="21"/>
                      <w:u w:val="single"/>
                    </w:rPr>
                  </w:pPr>
                  <w:r>
                    <w:rPr>
                      <w:bCs/>
                      <w:szCs w:val="21"/>
                      <w:u w:val="single"/>
                      <w:lang w:bidi="ar"/>
                    </w:rPr>
                    <w:t>12150</w:t>
                  </w:r>
                </w:p>
              </w:tc>
              <w:tc>
                <w:tcPr>
                  <w:tcW w:w="1000" w:type="pct"/>
                  <w:tcBorders>
                    <w:top w:val="single" w:color="auto" w:sz="4" w:space="0"/>
                    <w:left w:val="single" w:color="auto" w:sz="4" w:space="0"/>
                    <w:bottom w:val="single" w:color="auto" w:sz="4" w:space="0"/>
                    <w:right w:val="single" w:color="auto" w:sz="4" w:space="0"/>
                  </w:tcBorders>
                  <w:vAlign w:val="center"/>
                </w:tcPr>
                <w:p w14:paraId="659CC4A1">
                  <w:pPr>
                    <w:adjustRightInd w:val="0"/>
                    <w:jc w:val="center"/>
                    <w:rPr>
                      <w:bCs/>
                      <w:szCs w:val="21"/>
                      <w:u w:val="single"/>
                      <w:lang w:eastAsia="en-US" w:bidi="ar"/>
                    </w:rPr>
                  </w:pPr>
                  <w:r>
                    <w:rPr>
                      <w:bCs/>
                      <w:szCs w:val="21"/>
                      <w:u w:val="single"/>
                      <w:lang w:eastAsia="en-US" w:bidi="ar"/>
                    </w:rPr>
                    <w:t>6-9</w:t>
                  </w:r>
                </w:p>
              </w:tc>
              <w:tc>
                <w:tcPr>
                  <w:tcW w:w="1000" w:type="pct"/>
                  <w:tcBorders>
                    <w:top w:val="single" w:color="auto" w:sz="4" w:space="0"/>
                    <w:left w:val="single" w:color="auto" w:sz="4" w:space="0"/>
                    <w:bottom w:val="single" w:color="auto" w:sz="4" w:space="0"/>
                    <w:right w:val="single" w:color="auto" w:sz="12" w:space="0"/>
                  </w:tcBorders>
                  <w:vAlign w:val="center"/>
                </w:tcPr>
                <w:p w14:paraId="43E52509">
                  <w:pPr>
                    <w:adjustRightInd w:val="0"/>
                    <w:jc w:val="center"/>
                    <w:rPr>
                      <w:bCs/>
                      <w:szCs w:val="21"/>
                      <w:u w:val="single"/>
                      <w:lang w:eastAsia="en-US" w:bidi="ar"/>
                    </w:rPr>
                  </w:pPr>
                  <w:r>
                    <w:rPr>
                      <w:bCs/>
                      <w:szCs w:val="21"/>
                      <w:u w:val="single"/>
                      <w:lang w:eastAsia="en-US" w:bidi="ar"/>
                    </w:rPr>
                    <w:t>/</w:t>
                  </w:r>
                </w:p>
              </w:tc>
            </w:tr>
            <w:tr w14:paraId="3CE2E6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tcBorders>
                    <w:top w:val="single" w:color="auto" w:sz="4" w:space="0"/>
                    <w:left w:val="single" w:color="auto" w:sz="12" w:space="0"/>
                    <w:bottom w:val="single" w:color="auto" w:sz="4" w:space="0"/>
                    <w:right w:val="single" w:color="auto" w:sz="4" w:space="0"/>
                  </w:tcBorders>
                  <w:vAlign w:val="center"/>
                </w:tcPr>
                <w:p w14:paraId="198D0F3A">
                  <w:pPr>
                    <w:jc w:val="center"/>
                    <w:rPr>
                      <w:snapToGrid w:val="0"/>
                      <w:szCs w:val="21"/>
                      <w:u w:val="single"/>
                      <w:lang w:eastAsia="en-US"/>
                    </w:rPr>
                  </w:pPr>
                </w:p>
              </w:tc>
              <w:tc>
                <w:tcPr>
                  <w:tcW w:w="999" w:type="pct"/>
                  <w:tcBorders>
                    <w:top w:val="single" w:color="auto" w:sz="4" w:space="0"/>
                    <w:left w:val="single" w:color="auto" w:sz="4" w:space="0"/>
                    <w:bottom w:val="single" w:color="auto" w:sz="4" w:space="0"/>
                    <w:right w:val="single" w:color="auto" w:sz="4" w:space="0"/>
                  </w:tcBorders>
                  <w:vAlign w:val="center"/>
                </w:tcPr>
                <w:p w14:paraId="2C92D881">
                  <w:pPr>
                    <w:widowControl/>
                    <w:jc w:val="center"/>
                    <w:textAlignment w:val="center"/>
                    <w:rPr>
                      <w:bCs/>
                      <w:szCs w:val="21"/>
                      <w:u w:val="single"/>
                      <w:lang w:eastAsia="en-US"/>
                    </w:rPr>
                  </w:pPr>
                  <w:r>
                    <w:rPr>
                      <w:kern w:val="0"/>
                      <w:szCs w:val="21"/>
                      <w:u w:val="single"/>
                      <w:lang w:eastAsia="en-US" w:bidi="ar"/>
                    </w:rPr>
                    <w:t>COD</w:t>
                  </w:r>
                </w:p>
              </w:tc>
              <w:tc>
                <w:tcPr>
                  <w:tcW w:w="1000" w:type="pct"/>
                  <w:vMerge w:val="continue"/>
                  <w:tcBorders>
                    <w:top w:val="single" w:color="auto" w:sz="4" w:space="0"/>
                    <w:left w:val="single" w:color="auto" w:sz="4" w:space="0"/>
                    <w:bottom w:val="single" w:color="auto" w:sz="4" w:space="0"/>
                    <w:right w:val="single" w:color="auto" w:sz="4" w:space="0"/>
                  </w:tcBorders>
                  <w:vAlign w:val="center"/>
                </w:tcPr>
                <w:p w14:paraId="7F34D19A">
                  <w:pPr>
                    <w:jc w:val="center"/>
                    <w:rPr>
                      <w:snapToGrid w:val="0"/>
                      <w:szCs w:val="21"/>
                      <w:u w:val="single"/>
                      <w:lang w:eastAsia="en-US"/>
                    </w:rPr>
                  </w:pPr>
                </w:p>
              </w:tc>
              <w:tc>
                <w:tcPr>
                  <w:tcW w:w="1000" w:type="pct"/>
                  <w:tcBorders>
                    <w:top w:val="single" w:color="auto" w:sz="4" w:space="0"/>
                    <w:left w:val="single" w:color="auto" w:sz="4" w:space="0"/>
                    <w:bottom w:val="single" w:color="auto" w:sz="4" w:space="0"/>
                    <w:right w:val="single" w:color="auto" w:sz="4" w:space="0"/>
                  </w:tcBorders>
                  <w:vAlign w:val="center"/>
                </w:tcPr>
                <w:p w14:paraId="36025905">
                  <w:pPr>
                    <w:widowControl/>
                    <w:jc w:val="center"/>
                    <w:rPr>
                      <w:color w:val="000000"/>
                      <w:kern w:val="0"/>
                      <w:szCs w:val="21"/>
                      <w:u w:val="single"/>
                    </w:rPr>
                  </w:pPr>
                  <w:r>
                    <w:rPr>
                      <w:color w:val="000000"/>
                      <w:szCs w:val="21"/>
                      <w:u w:val="single"/>
                    </w:rPr>
                    <w:t>600</w:t>
                  </w:r>
                </w:p>
              </w:tc>
              <w:tc>
                <w:tcPr>
                  <w:tcW w:w="1000" w:type="pct"/>
                  <w:tcBorders>
                    <w:top w:val="single" w:color="auto" w:sz="4" w:space="0"/>
                    <w:left w:val="single" w:color="auto" w:sz="4" w:space="0"/>
                    <w:bottom w:val="single" w:color="auto" w:sz="4" w:space="0"/>
                    <w:right w:val="single" w:color="auto" w:sz="12" w:space="0"/>
                  </w:tcBorders>
                  <w:vAlign w:val="center"/>
                </w:tcPr>
                <w:p w14:paraId="0F407642">
                  <w:pPr>
                    <w:widowControl/>
                    <w:jc w:val="center"/>
                    <w:rPr>
                      <w:color w:val="000000"/>
                      <w:kern w:val="0"/>
                      <w:sz w:val="22"/>
                      <w:u w:val="single"/>
                    </w:rPr>
                  </w:pPr>
                  <w:r>
                    <w:rPr>
                      <w:color w:val="000000"/>
                      <w:sz w:val="22"/>
                      <w:u w:val="single"/>
                    </w:rPr>
                    <w:t xml:space="preserve">7.290 </w:t>
                  </w:r>
                </w:p>
              </w:tc>
            </w:tr>
            <w:tr w14:paraId="2C6717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tcBorders>
                    <w:top w:val="single" w:color="auto" w:sz="4" w:space="0"/>
                    <w:left w:val="single" w:color="auto" w:sz="12" w:space="0"/>
                    <w:bottom w:val="single" w:color="auto" w:sz="4" w:space="0"/>
                    <w:right w:val="single" w:color="auto" w:sz="4" w:space="0"/>
                  </w:tcBorders>
                  <w:vAlign w:val="center"/>
                </w:tcPr>
                <w:p w14:paraId="69E5C30A">
                  <w:pPr>
                    <w:jc w:val="center"/>
                    <w:rPr>
                      <w:snapToGrid w:val="0"/>
                      <w:szCs w:val="21"/>
                      <w:u w:val="single"/>
                      <w:lang w:eastAsia="en-US"/>
                    </w:rPr>
                  </w:pPr>
                </w:p>
              </w:tc>
              <w:tc>
                <w:tcPr>
                  <w:tcW w:w="999" w:type="pct"/>
                  <w:tcBorders>
                    <w:top w:val="single" w:color="auto" w:sz="4" w:space="0"/>
                    <w:left w:val="single" w:color="auto" w:sz="4" w:space="0"/>
                    <w:bottom w:val="single" w:color="auto" w:sz="4" w:space="0"/>
                    <w:right w:val="single" w:color="auto" w:sz="4" w:space="0"/>
                  </w:tcBorders>
                  <w:vAlign w:val="center"/>
                </w:tcPr>
                <w:p w14:paraId="64673843">
                  <w:pPr>
                    <w:widowControl/>
                    <w:jc w:val="center"/>
                    <w:textAlignment w:val="center"/>
                    <w:rPr>
                      <w:bCs/>
                      <w:szCs w:val="21"/>
                      <w:u w:val="single"/>
                      <w:lang w:eastAsia="en-US"/>
                    </w:rPr>
                  </w:pPr>
                  <w:r>
                    <w:rPr>
                      <w:kern w:val="0"/>
                      <w:szCs w:val="21"/>
                      <w:u w:val="single"/>
                      <w:lang w:eastAsia="en-US" w:bidi="ar"/>
                    </w:rPr>
                    <w:t>氨氮</w:t>
                  </w:r>
                </w:p>
              </w:tc>
              <w:tc>
                <w:tcPr>
                  <w:tcW w:w="1000" w:type="pct"/>
                  <w:vMerge w:val="continue"/>
                  <w:tcBorders>
                    <w:top w:val="single" w:color="auto" w:sz="4" w:space="0"/>
                    <w:left w:val="single" w:color="auto" w:sz="4" w:space="0"/>
                    <w:bottom w:val="single" w:color="auto" w:sz="4" w:space="0"/>
                    <w:right w:val="single" w:color="auto" w:sz="4" w:space="0"/>
                  </w:tcBorders>
                  <w:vAlign w:val="center"/>
                </w:tcPr>
                <w:p w14:paraId="7503F6E4">
                  <w:pPr>
                    <w:jc w:val="center"/>
                    <w:rPr>
                      <w:snapToGrid w:val="0"/>
                      <w:szCs w:val="21"/>
                      <w:u w:val="single"/>
                      <w:lang w:eastAsia="en-US"/>
                    </w:rPr>
                  </w:pPr>
                </w:p>
              </w:tc>
              <w:tc>
                <w:tcPr>
                  <w:tcW w:w="1000" w:type="pct"/>
                  <w:tcBorders>
                    <w:top w:val="single" w:color="auto" w:sz="4" w:space="0"/>
                    <w:left w:val="single" w:color="auto" w:sz="4" w:space="0"/>
                    <w:bottom w:val="single" w:color="auto" w:sz="4" w:space="0"/>
                    <w:right w:val="single" w:color="auto" w:sz="4" w:space="0"/>
                  </w:tcBorders>
                  <w:vAlign w:val="center"/>
                </w:tcPr>
                <w:p w14:paraId="1FF71BA8">
                  <w:pPr>
                    <w:jc w:val="center"/>
                    <w:rPr>
                      <w:color w:val="000000"/>
                      <w:szCs w:val="21"/>
                      <w:u w:val="single"/>
                    </w:rPr>
                  </w:pPr>
                  <w:r>
                    <w:rPr>
                      <w:color w:val="000000"/>
                      <w:szCs w:val="21"/>
                      <w:u w:val="single"/>
                    </w:rPr>
                    <w:t>60</w:t>
                  </w:r>
                </w:p>
              </w:tc>
              <w:tc>
                <w:tcPr>
                  <w:tcW w:w="1000" w:type="pct"/>
                  <w:tcBorders>
                    <w:top w:val="single" w:color="auto" w:sz="4" w:space="0"/>
                    <w:left w:val="single" w:color="auto" w:sz="4" w:space="0"/>
                    <w:bottom w:val="single" w:color="auto" w:sz="4" w:space="0"/>
                    <w:right w:val="single" w:color="auto" w:sz="12" w:space="0"/>
                  </w:tcBorders>
                  <w:vAlign w:val="center"/>
                </w:tcPr>
                <w:p w14:paraId="4EA4ABFE">
                  <w:pPr>
                    <w:jc w:val="center"/>
                    <w:rPr>
                      <w:color w:val="000000"/>
                      <w:sz w:val="22"/>
                      <w:u w:val="single"/>
                    </w:rPr>
                  </w:pPr>
                  <w:r>
                    <w:rPr>
                      <w:color w:val="000000"/>
                      <w:sz w:val="22"/>
                      <w:u w:val="single"/>
                    </w:rPr>
                    <w:t xml:space="preserve">0.729 </w:t>
                  </w:r>
                </w:p>
              </w:tc>
            </w:tr>
            <w:tr w14:paraId="5C721E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tcBorders>
                    <w:top w:val="single" w:color="auto" w:sz="4" w:space="0"/>
                    <w:left w:val="single" w:color="auto" w:sz="12" w:space="0"/>
                    <w:bottom w:val="single" w:color="auto" w:sz="4" w:space="0"/>
                    <w:right w:val="single" w:color="auto" w:sz="4" w:space="0"/>
                  </w:tcBorders>
                  <w:vAlign w:val="center"/>
                </w:tcPr>
                <w:p w14:paraId="2375AE29">
                  <w:pPr>
                    <w:jc w:val="center"/>
                    <w:rPr>
                      <w:snapToGrid w:val="0"/>
                      <w:szCs w:val="21"/>
                      <w:u w:val="single"/>
                      <w:lang w:eastAsia="en-US"/>
                    </w:rPr>
                  </w:pPr>
                </w:p>
              </w:tc>
              <w:tc>
                <w:tcPr>
                  <w:tcW w:w="999" w:type="pct"/>
                  <w:tcBorders>
                    <w:top w:val="single" w:color="auto" w:sz="4" w:space="0"/>
                    <w:left w:val="single" w:color="auto" w:sz="4" w:space="0"/>
                    <w:bottom w:val="single" w:color="auto" w:sz="4" w:space="0"/>
                    <w:right w:val="single" w:color="auto" w:sz="4" w:space="0"/>
                  </w:tcBorders>
                  <w:vAlign w:val="center"/>
                </w:tcPr>
                <w:p w14:paraId="334EC620">
                  <w:pPr>
                    <w:widowControl/>
                    <w:jc w:val="center"/>
                    <w:textAlignment w:val="center"/>
                    <w:rPr>
                      <w:bCs/>
                      <w:szCs w:val="21"/>
                      <w:u w:val="single"/>
                      <w:lang w:eastAsia="en-US"/>
                    </w:rPr>
                  </w:pPr>
                  <w:r>
                    <w:rPr>
                      <w:kern w:val="0"/>
                      <w:szCs w:val="21"/>
                      <w:u w:val="single"/>
                      <w:lang w:eastAsia="en-US" w:bidi="ar"/>
                    </w:rPr>
                    <w:t>总氮</w:t>
                  </w:r>
                </w:p>
              </w:tc>
              <w:tc>
                <w:tcPr>
                  <w:tcW w:w="1000" w:type="pct"/>
                  <w:vMerge w:val="continue"/>
                  <w:tcBorders>
                    <w:top w:val="single" w:color="auto" w:sz="4" w:space="0"/>
                    <w:left w:val="single" w:color="auto" w:sz="4" w:space="0"/>
                    <w:bottom w:val="single" w:color="auto" w:sz="4" w:space="0"/>
                    <w:right w:val="single" w:color="auto" w:sz="4" w:space="0"/>
                  </w:tcBorders>
                  <w:vAlign w:val="center"/>
                </w:tcPr>
                <w:p w14:paraId="48ACA12E">
                  <w:pPr>
                    <w:jc w:val="center"/>
                    <w:rPr>
                      <w:snapToGrid w:val="0"/>
                      <w:szCs w:val="21"/>
                      <w:u w:val="single"/>
                      <w:lang w:eastAsia="en-US"/>
                    </w:rPr>
                  </w:pPr>
                </w:p>
              </w:tc>
              <w:tc>
                <w:tcPr>
                  <w:tcW w:w="1000" w:type="pct"/>
                  <w:tcBorders>
                    <w:top w:val="single" w:color="auto" w:sz="4" w:space="0"/>
                    <w:left w:val="single" w:color="auto" w:sz="4" w:space="0"/>
                    <w:bottom w:val="single" w:color="auto" w:sz="4" w:space="0"/>
                    <w:right w:val="single" w:color="auto" w:sz="4" w:space="0"/>
                  </w:tcBorders>
                  <w:vAlign w:val="center"/>
                </w:tcPr>
                <w:p w14:paraId="1462A828">
                  <w:pPr>
                    <w:jc w:val="center"/>
                    <w:rPr>
                      <w:color w:val="000000"/>
                      <w:szCs w:val="21"/>
                      <w:u w:val="single"/>
                    </w:rPr>
                  </w:pPr>
                  <w:r>
                    <w:rPr>
                      <w:color w:val="000000"/>
                      <w:szCs w:val="21"/>
                      <w:u w:val="single"/>
                    </w:rPr>
                    <w:t>40</w:t>
                  </w:r>
                </w:p>
              </w:tc>
              <w:tc>
                <w:tcPr>
                  <w:tcW w:w="1000" w:type="pct"/>
                  <w:tcBorders>
                    <w:top w:val="single" w:color="auto" w:sz="4" w:space="0"/>
                    <w:left w:val="single" w:color="auto" w:sz="4" w:space="0"/>
                    <w:bottom w:val="single" w:color="auto" w:sz="4" w:space="0"/>
                    <w:right w:val="single" w:color="auto" w:sz="12" w:space="0"/>
                  </w:tcBorders>
                  <w:vAlign w:val="center"/>
                </w:tcPr>
                <w:p w14:paraId="5139127C">
                  <w:pPr>
                    <w:jc w:val="center"/>
                    <w:rPr>
                      <w:color w:val="000000"/>
                      <w:sz w:val="22"/>
                      <w:u w:val="single"/>
                    </w:rPr>
                  </w:pPr>
                  <w:r>
                    <w:rPr>
                      <w:color w:val="000000"/>
                      <w:sz w:val="22"/>
                      <w:u w:val="single"/>
                    </w:rPr>
                    <w:t xml:space="preserve">0.486 </w:t>
                  </w:r>
                </w:p>
              </w:tc>
            </w:tr>
            <w:tr w14:paraId="3B6AFD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tcBorders>
                    <w:top w:val="single" w:color="auto" w:sz="4" w:space="0"/>
                    <w:left w:val="single" w:color="auto" w:sz="12" w:space="0"/>
                    <w:bottom w:val="single" w:color="auto" w:sz="4" w:space="0"/>
                    <w:right w:val="single" w:color="auto" w:sz="4" w:space="0"/>
                  </w:tcBorders>
                  <w:vAlign w:val="center"/>
                </w:tcPr>
                <w:p w14:paraId="3281B7CA">
                  <w:pPr>
                    <w:jc w:val="center"/>
                    <w:rPr>
                      <w:snapToGrid w:val="0"/>
                      <w:szCs w:val="21"/>
                      <w:u w:val="single"/>
                      <w:lang w:eastAsia="en-US"/>
                    </w:rPr>
                  </w:pPr>
                </w:p>
              </w:tc>
              <w:tc>
                <w:tcPr>
                  <w:tcW w:w="999" w:type="pct"/>
                  <w:tcBorders>
                    <w:top w:val="single" w:color="auto" w:sz="4" w:space="0"/>
                    <w:left w:val="single" w:color="auto" w:sz="4" w:space="0"/>
                    <w:bottom w:val="single" w:color="auto" w:sz="4" w:space="0"/>
                    <w:right w:val="single" w:color="auto" w:sz="4" w:space="0"/>
                  </w:tcBorders>
                  <w:vAlign w:val="center"/>
                </w:tcPr>
                <w:p w14:paraId="3EEF3938">
                  <w:pPr>
                    <w:widowControl/>
                    <w:jc w:val="center"/>
                    <w:textAlignment w:val="center"/>
                    <w:rPr>
                      <w:bCs/>
                      <w:szCs w:val="21"/>
                      <w:u w:val="single"/>
                      <w:lang w:eastAsia="en-US"/>
                    </w:rPr>
                  </w:pPr>
                  <w:r>
                    <w:rPr>
                      <w:kern w:val="0"/>
                      <w:szCs w:val="21"/>
                      <w:u w:val="single"/>
                      <w:lang w:eastAsia="en-US" w:bidi="ar"/>
                    </w:rPr>
                    <w:t>总磷</w:t>
                  </w:r>
                </w:p>
              </w:tc>
              <w:tc>
                <w:tcPr>
                  <w:tcW w:w="1000" w:type="pct"/>
                  <w:vMerge w:val="continue"/>
                  <w:tcBorders>
                    <w:top w:val="single" w:color="auto" w:sz="4" w:space="0"/>
                    <w:left w:val="single" w:color="auto" w:sz="4" w:space="0"/>
                    <w:bottom w:val="single" w:color="auto" w:sz="4" w:space="0"/>
                    <w:right w:val="single" w:color="auto" w:sz="4" w:space="0"/>
                  </w:tcBorders>
                  <w:vAlign w:val="center"/>
                </w:tcPr>
                <w:p w14:paraId="23D52684">
                  <w:pPr>
                    <w:jc w:val="center"/>
                    <w:rPr>
                      <w:snapToGrid w:val="0"/>
                      <w:szCs w:val="21"/>
                      <w:u w:val="single"/>
                      <w:lang w:eastAsia="en-US"/>
                    </w:rPr>
                  </w:pPr>
                </w:p>
              </w:tc>
              <w:tc>
                <w:tcPr>
                  <w:tcW w:w="1000" w:type="pct"/>
                  <w:tcBorders>
                    <w:top w:val="single" w:color="auto" w:sz="4" w:space="0"/>
                    <w:left w:val="single" w:color="auto" w:sz="4" w:space="0"/>
                    <w:bottom w:val="single" w:color="auto" w:sz="4" w:space="0"/>
                    <w:right w:val="single" w:color="auto" w:sz="4" w:space="0"/>
                  </w:tcBorders>
                  <w:vAlign w:val="center"/>
                </w:tcPr>
                <w:p w14:paraId="3BBC564F">
                  <w:pPr>
                    <w:jc w:val="center"/>
                    <w:rPr>
                      <w:color w:val="000000"/>
                      <w:szCs w:val="21"/>
                      <w:u w:val="single"/>
                    </w:rPr>
                  </w:pPr>
                  <w:r>
                    <w:rPr>
                      <w:color w:val="000000"/>
                      <w:szCs w:val="21"/>
                      <w:u w:val="single"/>
                    </w:rPr>
                    <w:t>10</w:t>
                  </w:r>
                </w:p>
              </w:tc>
              <w:tc>
                <w:tcPr>
                  <w:tcW w:w="1000" w:type="pct"/>
                  <w:tcBorders>
                    <w:top w:val="single" w:color="auto" w:sz="4" w:space="0"/>
                    <w:left w:val="single" w:color="auto" w:sz="4" w:space="0"/>
                    <w:bottom w:val="single" w:color="auto" w:sz="4" w:space="0"/>
                    <w:right w:val="single" w:color="auto" w:sz="12" w:space="0"/>
                  </w:tcBorders>
                  <w:vAlign w:val="center"/>
                </w:tcPr>
                <w:p w14:paraId="3BAF27B9">
                  <w:pPr>
                    <w:jc w:val="center"/>
                    <w:rPr>
                      <w:color w:val="000000"/>
                      <w:sz w:val="22"/>
                      <w:u w:val="single"/>
                    </w:rPr>
                  </w:pPr>
                  <w:r>
                    <w:rPr>
                      <w:color w:val="000000"/>
                      <w:sz w:val="22"/>
                      <w:u w:val="single"/>
                    </w:rPr>
                    <w:t xml:space="preserve">0.122 </w:t>
                  </w:r>
                </w:p>
              </w:tc>
            </w:tr>
            <w:tr w14:paraId="1E685D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tcBorders>
                    <w:top w:val="single" w:color="auto" w:sz="4" w:space="0"/>
                    <w:left w:val="single" w:color="auto" w:sz="12" w:space="0"/>
                    <w:bottom w:val="single" w:color="auto" w:sz="4" w:space="0"/>
                    <w:right w:val="single" w:color="auto" w:sz="4" w:space="0"/>
                  </w:tcBorders>
                  <w:vAlign w:val="center"/>
                </w:tcPr>
                <w:p w14:paraId="1816DF0C">
                  <w:pPr>
                    <w:jc w:val="center"/>
                    <w:rPr>
                      <w:snapToGrid w:val="0"/>
                      <w:szCs w:val="21"/>
                      <w:u w:val="single"/>
                      <w:lang w:eastAsia="en-US"/>
                    </w:rPr>
                  </w:pPr>
                </w:p>
              </w:tc>
              <w:tc>
                <w:tcPr>
                  <w:tcW w:w="999" w:type="pct"/>
                  <w:tcBorders>
                    <w:top w:val="single" w:color="auto" w:sz="4" w:space="0"/>
                    <w:left w:val="single" w:color="auto" w:sz="4" w:space="0"/>
                    <w:bottom w:val="single" w:color="auto" w:sz="4" w:space="0"/>
                    <w:right w:val="single" w:color="auto" w:sz="4" w:space="0"/>
                  </w:tcBorders>
                  <w:vAlign w:val="center"/>
                </w:tcPr>
                <w:p w14:paraId="097559B9">
                  <w:pPr>
                    <w:widowControl/>
                    <w:jc w:val="center"/>
                    <w:textAlignment w:val="center"/>
                    <w:rPr>
                      <w:kern w:val="0"/>
                      <w:szCs w:val="21"/>
                      <w:u w:val="single"/>
                      <w:lang w:eastAsia="en-US" w:bidi="ar"/>
                    </w:rPr>
                  </w:pPr>
                  <w:r>
                    <w:rPr>
                      <w:kern w:val="0"/>
                      <w:szCs w:val="21"/>
                      <w:u w:val="single"/>
                      <w:lang w:eastAsia="en-US" w:bidi="ar"/>
                    </w:rPr>
                    <w:t>SS</w:t>
                  </w:r>
                </w:p>
              </w:tc>
              <w:tc>
                <w:tcPr>
                  <w:tcW w:w="1000" w:type="pct"/>
                  <w:vMerge w:val="continue"/>
                  <w:tcBorders>
                    <w:top w:val="single" w:color="auto" w:sz="4" w:space="0"/>
                    <w:left w:val="single" w:color="auto" w:sz="4" w:space="0"/>
                    <w:bottom w:val="single" w:color="auto" w:sz="4" w:space="0"/>
                    <w:right w:val="single" w:color="auto" w:sz="4" w:space="0"/>
                  </w:tcBorders>
                  <w:vAlign w:val="center"/>
                </w:tcPr>
                <w:p w14:paraId="48796AAA">
                  <w:pPr>
                    <w:jc w:val="center"/>
                    <w:rPr>
                      <w:snapToGrid w:val="0"/>
                      <w:szCs w:val="21"/>
                      <w:u w:val="single"/>
                      <w:lang w:eastAsia="en-US"/>
                    </w:rPr>
                  </w:pPr>
                </w:p>
              </w:tc>
              <w:tc>
                <w:tcPr>
                  <w:tcW w:w="1000" w:type="pct"/>
                  <w:tcBorders>
                    <w:top w:val="single" w:color="auto" w:sz="4" w:space="0"/>
                    <w:left w:val="single" w:color="auto" w:sz="4" w:space="0"/>
                    <w:bottom w:val="single" w:color="auto" w:sz="4" w:space="0"/>
                    <w:right w:val="single" w:color="auto" w:sz="4" w:space="0"/>
                  </w:tcBorders>
                  <w:vAlign w:val="center"/>
                </w:tcPr>
                <w:p w14:paraId="207D823E">
                  <w:pPr>
                    <w:jc w:val="center"/>
                    <w:rPr>
                      <w:color w:val="000000"/>
                      <w:szCs w:val="21"/>
                      <w:u w:val="single"/>
                    </w:rPr>
                  </w:pPr>
                  <w:r>
                    <w:rPr>
                      <w:color w:val="000000"/>
                      <w:szCs w:val="21"/>
                      <w:u w:val="single"/>
                    </w:rPr>
                    <w:t>100</w:t>
                  </w:r>
                </w:p>
              </w:tc>
              <w:tc>
                <w:tcPr>
                  <w:tcW w:w="1000" w:type="pct"/>
                  <w:tcBorders>
                    <w:top w:val="single" w:color="auto" w:sz="4" w:space="0"/>
                    <w:left w:val="single" w:color="auto" w:sz="4" w:space="0"/>
                    <w:bottom w:val="single" w:color="auto" w:sz="4" w:space="0"/>
                    <w:right w:val="single" w:color="auto" w:sz="12" w:space="0"/>
                  </w:tcBorders>
                  <w:vAlign w:val="center"/>
                </w:tcPr>
                <w:p w14:paraId="11D3D82E">
                  <w:pPr>
                    <w:jc w:val="center"/>
                    <w:rPr>
                      <w:color w:val="000000"/>
                      <w:sz w:val="22"/>
                      <w:u w:val="single"/>
                    </w:rPr>
                  </w:pPr>
                  <w:r>
                    <w:rPr>
                      <w:color w:val="000000"/>
                      <w:sz w:val="22"/>
                      <w:u w:val="single"/>
                    </w:rPr>
                    <w:t xml:space="preserve">1.215 </w:t>
                  </w:r>
                </w:p>
              </w:tc>
            </w:tr>
            <w:tr w14:paraId="5CDA89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tcBorders>
                    <w:top w:val="single" w:color="auto" w:sz="4" w:space="0"/>
                    <w:left w:val="single" w:color="auto" w:sz="12" w:space="0"/>
                    <w:bottom w:val="single" w:color="auto" w:sz="4" w:space="0"/>
                    <w:right w:val="single" w:color="auto" w:sz="4" w:space="0"/>
                  </w:tcBorders>
                  <w:vAlign w:val="center"/>
                </w:tcPr>
                <w:p w14:paraId="7D52C5C5">
                  <w:pPr>
                    <w:jc w:val="center"/>
                    <w:rPr>
                      <w:snapToGrid w:val="0"/>
                      <w:szCs w:val="21"/>
                      <w:u w:val="single"/>
                      <w:lang w:eastAsia="en-US"/>
                    </w:rPr>
                  </w:pPr>
                </w:p>
              </w:tc>
              <w:tc>
                <w:tcPr>
                  <w:tcW w:w="999" w:type="pct"/>
                  <w:tcBorders>
                    <w:top w:val="single" w:color="auto" w:sz="4" w:space="0"/>
                    <w:left w:val="single" w:color="auto" w:sz="4" w:space="0"/>
                    <w:bottom w:val="single" w:color="auto" w:sz="4" w:space="0"/>
                    <w:right w:val="single" w:color="auto" w:sz="4" w:space="0"/>
                  </w:tcBorders>
                  <w:vAlign w:val="center"/>
                </w:tcPr>
                <w:p w14:paraId="4E67B353">
                  <w:pPr>
                    <w:widowControl/>
                    <w:jc w:val="center"/>
                    <w:textAlignment w:val="center"/>
                    <w:rPr>
                      <w:kern w:val="0"/>
                      <w:szCs w:val="21"/>
                      <w:u w:val="single"/>
                      <w:lang w:eastAsia="en-US" w:bidi="ar"/>
                    </w:rPr>
                  </w:pPr>
                  <w:r>
                    <w:rPr>
                      <w:kern w:val="0"/>
                      <w:szCs w:val="21"/>
                      <w:u w:val="single"/>
                      <w:lang w:eastAsia="en-US" w:bidi="ar"/>
                    </w:rPr>
                    <w:t>BOD</w:t>
                  </w:r>
                </w:p>
              </w:tc>
              <w:tc>
                <w:tcPr>
                  <w:tcW w:w="1000" w:type="pct"/>
                  <w:vMerge w:val="continue"/>
                  <w:tcBorders>
                    <w:top w:val="single" w:color="auto" w:sz="4" w:space="0"/>
                    <w:left w:val="single" w:color="auto" w:sz="4" w:space="0"/>
                    <w:bottom w:val="single" w:color="auto" w:sz="4" w:space="0"/>
                    <w:right w:val="single" w:color="auto" w:sz="4" w:space="0"/>
                  </w:tcBorders>
                  <w:vAlign w:val="center"/>
                </w:tcPr>
                <w:p w14:paraId="1417F3DA">
                  <w:pPr>
                    <w:jc w:val="center"/>
                    <w:rPr>
                      <w:snapToGrid w:val="0"/>
                      <w:szCs w:val="21"/>
                      <w:u w:val="single"/>
                      <w:lang w:eastAsia="en-US"/>
                    </w:rPr>
                  </w:pPr>
                </w:p>
              </w:tc>
              <w:tc>
                <w:tcPr>
                  <w:tcW w:w="1000" w:type="pct"/>
                  <w:tcBorders>
                    <w:top w:val="single" w:color="auto" w:sz="4" w:space="0"/>
                    <w:left w:val="single" w:color="auto" w:sz="4" w:space="0"/>
                    <w:bottom w:val="single" w:color="auto" w:sz="4" w:space="0"/>
                    <w:right w:val="single" w:color="auto" w:sz="4" w:space="0"/>
                  </w:tcBorders>
                  <w:vAlign w:val="center"/>
                </w:tcPr>
                <w:p w14:paraId="4C5D8ED9">
                  <w:pPr>
                    <w:jc w:val="center"/>
                    <w:rPr>
                      <w:color w:val="000000"/>
                      <w:szCs w:val="21"/>
                      <w:u w:val="single"/>
                    </w:rPr>
                  </w:pPr>
                  <w:r>
                    <w:rPr>
                      <w:color w:val="000000"/>
                      <w:szCs w:val="21"/>
                      <w:u w:val="single"/>
                    </w:rPr>
                    <w:t>400</w:t>
                  </w:r>
                </w:p>
              </w:tc>
              <w:tc>
                <w:tcPr>
                  <w:tcW w:w="1000" w:type="pct"/>
                  <w:tcBorders>
                    <w:top w:val="single" w:color="auto" w:sz="4" w:space="0"/>
                    <w:left w:val="single" w:color="auto" w:sz="4" w:space="0"/>
                    <w:bottom w:val="single" w:color="auto" w:sz="4" w:space="0"/>
                    <w:right w:val="single" w:color="auto" w:sz="12" w:space="0"/>
                  </w:tcBorders>
                  <w:vAlign w:val="center"/>
                </w:tcPr>
                <w:p w14:paraId="70B51443">
                  <w:pPr>
                    <w:jc w:val="center"/>
                    <w:rPr>
                      <w:color w:val="000000"/>
                      <w:sz w:val="22"/>
                      <w:u w:val="single"/>
                    </w:rPr>
                  </w:pPr>
                  <w:r>
                    <w:rPr>
                      <w:color w:val="000000"/>
                      <w:sz w:val="22"/>
                      <w:u w:val="single"/>
                    </w:rPr>
                    <w:t xml:space="preserve">4.860 </w:t>
                  </w:r>
                </w:p>
              </w:tc>
            </w:tr>
            <w:tr w14:paraId="1E3972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tcBorders>
                    <w:top w:val="single" w:color="auto" w:sz="4" w:space="0"/>
                    <w:left w:val="single" w:color="auto" w:sz="12" w:space="0"/>
                    <w:bottom w:val="single" w:color="auto" w:sz="4" w:space="0"/>
                    <w:right w:val="single" w:color="auto" w:sz="4" w:space="0"/>
                  </w:tcBorders>
                  <w:vAlign w:val="center"/>
                </w:tcPr>
                <w:p w14:paraId="6883E6FF">
                  <w:pPr>
                    <w:jc w:val="center"/>
                    <w:rPr>
                      <w:snapToGrid w:val="0"/>
                      <w:szCs w:val="21"/>
                      <w:u w:val="single"/>
                      <w:lang w:eastAsia="en-US"/>
                    </w:rPr>
                  </w:pPr>
                </w:p>
              </w:tc>
              <w:tc>
                <w:tcPr>
                  <w:tcW w:w="999" w:type="pct"/>
                  <w:tcBorders>
                    <w:top w:val="single" w:color="auto" w:sz="4" w:space="0"/>
                    <w:left w:val="single" w:color="auto" w:sz="4" w:space="0"/>
                    <w:bottom w:val="single" w:color="auto" w:sz="4" w:space="0"/>
                    <w:right w:val="single" w:color="auto" w:sz="4" w:space="0"/>
                  </w:tcBorders>
                  <w:vAlign w:val="center"/>
                </w:tcPr>
                <w:p w14:paraId="2084A419">
                  <w:pPr>
                    <w:widowControl/>
                    <w:jc w:val="center"/>
                    <w:textAlignment w:val="center"/>
                    <w:rPr>
                      <w:bCs/>
                      <w:szCs w:val="21"/>
                      <w:u w:val="single"/>
                      <w:lang w:eastAsia="en-US"/>
                    </w:rPr>
                  </w:pPr>
                  <w:r>
                    <w:rPr>
                      <w:kern w:val="0"/>
                      <w:szCs w:val="21"/>
                      <w:u w:val="single"/>
                      <w:lang w:eastAsia="en-US" w:bidi="ar"/>
                    </w:rPr>
                    <w:t>动植物油</w:t>
                  </w:r>
                </w:p>
              </w:tc>
              <w:tc>
                <w:tcPr>
                  <w:tcW w:w="1000" w:type="pct"/>
                  <w:vMerge w:val="continue"/>
                  <w:tcBorders>
                    <w:top w:val="single" w:color="auto" w:sz="4" w:space="0"/>
                    <w:left w:val="single" w:color="auto" w:sz="4" w:space="0"/>
                    <w:bottom w:val="single" w:color="auto" w:sz="4" w:space="0"/>
                    <w:right w:val="single" w:color="auto" w:sz="4" w:space="0"/>
                  </w:tcBorders>
                  <w:vAlign w:val="center"/>
                </w:tcPr>
                <w:p w14:paraId="4CC79CD3">
                  <w:pPr>
                    <w:jc w:val="center"/>
                    <w:rPr>
                      <w:snapToGrid w:val="0"/>
                      <w:szCs w:val="21"/>
                      <w:u w:val="single"/>
                      <w:lang w:eastAsia="en-US"/>
                    </w:rPr>
                  </w:pPr>
                </w:p>
              </w:tc>
              <w:tc>
                <w:tcPr>
                  <w:tcW w:w="1000" w:type="pct"/>
                  <w:tcBorders>
                    <w:top w:val="single" w:color="auto" w:sz="4" w:space="0"/>
                    <w:left w:val="single" w:color="auto" w:sz="4" w:space="0"/>
                    <w:bottom w:val="single" w:color="auto" w:sz="4" w:space="0"/>
                    <w:right w:val="single" w:color="auto" w:sz="4" w:space="0"/>
                  </w:tcBorders>
                  <w:vAlign w:val="center"/>
                </w:tcPr>
                <w:p w14:paraId="05771B43">
                  <w:pPr>
                    <w:jc w:val="center"/>
                    <w:rPr>
                      <w:color w:val="000000"/>
                      <w:szCs w:val="21"/>
                      <w:u w:val="single"/>
                    </w:rPr>
                  </w:pPr>
                  <w:r>
                    <w:rPr>
                      <w:color w:val="000000"/>
                      <w:szCs w:val="21"/>
                      <w:u w:val="single"/>
                    </w:rPr>
                    <w:t>8</w:t>
                  </w:r>
                </w:p>
              </w:tc>
              <w:tc>
                <w:tcPr>
                  <w:tcW w:w="1000" w:type="pct"/>
                  <w:tcBorders>
                    <w:top w:val="single" w:color="auto" w:sz="4" w:space="0"/>
                    <w:left w:val="single" w:color="auto" w:sz="4" w:space="0"/>
                    <w:bottom w:val="single" w:color="auto" w:sz="4" w:space="0"/>
                    <w:right w:val="single" w:color="auto" w:sz="12" w:space="0"/>
                  </w:tcBorders>
                  <w:vAlign w:val="center"/>
                </w:tcPr>
                <w:p w14:paraId="64DCDF0B">
                  <w:pPr>
                    <w:jc w:val="center"/>
                    <w:rPr>
                      <w:color w:val="000000"/>
                      <w:sz w:val="22"/>
                      <w:u w:val="single"/>
                    </w:rPr>
                  </w:pPr>
                  <w:r>
                    <w:rPr>
                      <w:color w:val="000000"/>
                      <w:sz w:val="22"/>
                      <w:u w:val="single"/>
                    </w:rPr>
                    <w:t xml:space="preserve">0.097 </w:t>
                  </w:r>
                </w:p>
              </w:tc>
            </w:tr>
            <w:tr w14:paraId="1A5308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restart"/>
                  <w:tcBorders>
                    <w:top w:val="single" w:color="auto" w:sz="4" w:space="0"/>
                    <w:left w:val="single" w:color="auto" w:sz="12" w:space="0"/>
                    <w:right w:val="single" w:color="auto" w:sz="4" w:space="0"/>
                  </w:tcBorders>
                  <w:vAlign w:val="center"/>
                </w:tcPr>
                <w:p w14:paraId="0A384641">
                  <w:pPr>
                    <w:jc w:val="center"/>
                    <w:rPr>
                      <w:snapToGrid w:val="0"/>
                      <w:szCs w:val="21"/>
                      <w:u w:val="single"/>
                      <w:lang w:eastAsia="en-US"/>
                    </w:rPr>
                  </w:pPr>
                  <w:r>
                    <w:rPr>
                      <w:snapToGrid w:val="0"/>
                      <w:szCs w:val="21"/>
                      <w:u w:val="single"/>
                    </w:rPr>
                    <w:t>洗袋废水</w:t>
                  </w:r>
                </w:p>
              </w:tc>
              <w:tc>
                <w:tcPr>
                  <w:tcW w:w="999" w:type="pct"/>
                  <w:tcBorders>
                    <w:top w:val="single" w:color="auto" w:sz="4" w:space="0"/>
                    <w:left w:val="single" w:color="auto" w:sz="4" w:space="0"/>
                    <w:bottom w:val="single" w:color="auto" w:sz="4" w:space="0"/>
                    <w:right w:val="single" w:color="auto" w:sz="4" w:space="0"/>
                  </w:tcBorders>
                  <w:vAlign w:val="center"/>
                </w:tcPr>
                <w:p w14:paraId="5A9C0BAE">
                  <w:pPr>
                    <w:adjustRightInd w:val="0"/>
                    <w:jc w:val="center"/>
                    <w:rPr>
                      <w:kern w:val="0"/>
                      <w:szCs w:val="21"/>
                      <w:u w:val="single"/>
                      <w:lang w:eastAsia="en-US" w:bidi="ar"/>
                    </w:rPr>
                  </w:pPr>
                  <w:r>
                    <w:rPr>
                      <w:bCs/>
                      <w:szCs w:val="21"/>
                      <w:u w:val="single"/>
                      <w:lang w:eastAsia="en-US" w:bidi="ar"/>
                    </w:rPr>
                    <w:t>pH</w:t>
                  </w:r>
                </w:p>
              </w:tc>
              <w:tc>
                <w:tcPr>
                  <w:tcW w:w="1000" w:type="pct"/>
                  <w:vMerge w:val="restart"/>
                  <w:tcBorders>
                    <w:top w:val="single" w:color="auto" w:sz="4" w:space="0"/>
                    <w:left w:val="single" w:color="auto" w:sz="4" w:space="0"/>
                    <w:right w:val="single" w:color="auto" w:sz="4" w:space="0"/>
                  </w:tcBorders>
                  <w:vAlign w:val="center"/>
                </w:tcPr>
                <w:p w14:paraId="0D4175DC">
                  <w:pPr>
                    <w:jc w:val="center"/>
                    <w:rPr>
                      <w:snapToGrid w:val="0"/>
                      <w:szCs w:val="21"/>
                      <w:u w:val="single"/>
                      <w:lang w:eastAsia="en-US"/>
                    </w:rPr>
                  </w:pPr>
                  <w:r>
                    <w:rPr>
                      <w:bCs/>
                      <w:szCs w:val="21"/>
                      <w:u w:val="single"/>
                      <w:lang w:eastAsia="en-US" w:bidi="ar"/>
                    </w:rPr>
                    <w:t>13950</w:t>
                  </w:r>
                </w:p>
              </w:tc>
              <w:tc>
                <w:tcPr>
                  <w:tcW w:w="1000" w:type="pct"/>
                  <w:tcBorders>
                    <w:top w:val="single" w:color="auto" w:sz="4" w:space="0"/>
                    <w:left w:val="single" w:color="auto" w:sz="4" w:space="0"/>
                    <w:bottom w:val="single" w:color="auto" w:sz="4" w:space="0"/>
                    <w:right w:val="single" w:color="auto" w:sz="4" w:space="0"/>
                  </w:tcBorders>
                  <w:vAlign w:val="center"/>
                </w:tcPr>
                <w:p w14:paraId="77D04FF6">
                  <w:pPr>
                    <w:widowControl/>
                    <w:jc w:val="center"/>
                    <w:textAlignment w:val="center"/>
                    <w:rPr>
                      <w:kern w:val="0"/>
                      <w:szCs w:val="21"/>
                      <w:u w:val="single"/>
                      <w:lang w:eastAsia="en-US" w:bidi="ar"/>
                    </w:rPr>
                  </w:pPr>
                  <w:r>
                    <w:rPr>
                      <w:kern w:val="0"/>
                      <w:szCs w:val="21"/>
                      <w:u w:val="single"/>
                      <w:lang w:bidi="ar"/>
                    </w:rPr>
                    <w:t>6-9</w:t>
                  </w:r>
                </w:p>
              </w:tc>
              <w:tc>
                <w:tcPr>
                  <w:tcW w:w="1000" w:type="pct"/>
                  <w:tcBorders>
                    <w:top w:val="single" w:color="auto" w:sz="4" w:space="0"/>
                    <w:left w:val="single" w:color="auto" w:sz="4" w:space="0"/>
                    <w:bottom w:val="single" w:color="auto" w:sz="4" w:space="0"/>
                    <w:right w:val="single" w:color="auto" w:sz="12" w:space="0"/>
                  </w:tcBorders>
                  <w:vAlign w:val="center"/>
                </w:tcPr>
                <w:p w14:paraId="7BEB692D">
                  <w:pPr>
                    <w:widowControl/>
                    <w:jc w:val="center"/>
                    <w:textAlignment w:val="center"/>
                    <w:rPr>
                      <w:kern w:val="0"/>
                      <w:szCs w:val="21"/>
                      <w:u w:val="single"/>
                      <w:lang w:bidi="ar"/>
                    </w:rPr>
                  </w:pPr>
                  <w:r>
                    <w:rPr>
                      <w:kern w:val="0"/>
                      <w:szCs w:val="21"/>
                      <w:u w:val="single"/>
                      <w:lang w:bidi="ar"/>
                    </w:rPr>
                    <w:t>/</w:t>
                  </w:r>
                </w:p>
              </w:tc>
            </w:tr>
            <w:tr w14:paraId="76B836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tcBorders>
                    <w:left w:val="single" w:color="auto" w:sz="12" w:space="0"/>
                    <w:right w:val="single" w:color="auto" w:sz="4" w:space="0"/>
                  </w:tcBorders>
                  <w:vAlign w:val="center"/>
                </w:tcPr>
                <w:p w14:paraId="4BB47610">
                  <w:pPr>
                    <w:jc w:val="center"/>
                    <w:rPr>
                      <w:snapToGrid w:val="0"/>
                      <w:szCs w:val="21"/>
                      <w:u w:val="single"/>
                      <w:lang w:eastAsia="en-US"/>
                    </w:rPr>
                  </w:pPr>
                </w:p>
              </w:tc>
              <w:tc>
                <w:tcPr>
                  <w:tcW w:w="999" w:type="pct"/>
                  <w:tcBorders>
                    <w:top w:val="single" w:color="auto" w:sz="4" w:space="0"/>
                    <w:left w:val="single" w:color="auto" w:sz="4" w:space="0"/>
                    <w:bottom w:val="single" w:color="auto" w:sz="4" w:space="0"/>
                    <w:right w:val="single" w:color="auto" w:sz="4" w:space="0"/>
                  </w:tcBorders>
                  <w:vAlign w:val="center"/>
                </w:tcPr>
                <w:p w14:paraId="3CE86388">
                  <w:pPr>
                    <w:widowControl/>
                    <w:jc w:val="center"/>
                    <w:textAlignment w:val="center"/>
                    <w:rPr>
                      <w:kern w:val="0"/>
                      <w:szCs w:val="21"/>
                      <w:u w:val="single"/>
                      <w:lang w:eastAsia="en-US" w:bidi="ar"/>
                    </w:rPr>
                  </w:pPr>
                  <w:r>
                    <w:rPr>
                      <w:kern w:val="0"/>
                      <w:szCs w:val="21"/>
                      <w:u w:val="single"/>
                      <w:lang w:eastAsia="en-US" w:bidi="ar"/>
                    </w:rPr>
                    <w:t>COD</w:t>
                  </w:r>
                </w:p>
              </w:tc>
              <w:tc>
                <w:tcPr>
                  <w:tcW w:w="1000" w:type="pct"/>
                  <w:vMerge w:val="continue"/>
                  <w:tcBorders>
                    <w:left w:val="single" w:color="auto" w:sz="4" w:space="0"/>
                    <w:right w:val="single" w:color="auto" w:sz="4" w:space="0"/>
                  </w:tcBorders>
                  <w:vAlign w:val="center"/>
                </w:tcPr>
                <w:p w14:paraId="726E10B9">
                  <w:pPr>
                    <w:jc w:val="center"/>
                    <w:rPr>
                      <w:snapToGrid w:val="0"/>
                      <w:szCs w:val="21"/>
                      <w:u w:val="single"/>
                      <w:lang w:eastAsia="en-US"/>
                    </w:rPr>
                  </w:pPr>
                </w:p>
              </w:tc>
              <w:tc>
                <w:tcPr>
                  <w:tcW w:w="1000" w:type="pct"/>
                  <w:tcBorders>
                    <w:top w:val="single" w:color="auto" w:sz="4" w:space="0"/>
                    <w:left w:val="single" w:color="auto" w:sz="4" w:space="0"/>
                    <w:bottom w:val="single" w:color="auto" w:sz="4" w:space="0"/>
                    <w:right w:val="single" w:color="auto" w:sz="4" w:space="0"/>
                  </w:tcBorders>
                  <w:vAlign w:val="center"/>
                </w:tcPr>
                <w:p w14:paraId="7318B11F">
                  <w:pPr>
                    <w:widowControl/>
                    <w:jc w:val="center"/>
                    <w:rPr>
                      <w:color w:val="000000"/>
                      <w:kern w:val="0"/>
                      <w:szCs w:val="21"/>
                      <w:u w:val="single"/>
                    </w:rPr>
                  </w:pPr>
                  <w:r>
                    <w:rPr>
                      <w:color w:val="000000"/>
                      <w:szCs w:val="21"/>
                      <w:u w:val="single"/>
                    </w:rPr>
                    <w:t>600</w:t>
                  </w:r>
                </w:p>
              </w:tc>
              <w:tc>
                <w:tcPr>
                  <w:tcW w:w="1000" w:type="pct"/>
                  <w:tcBorders>
                    <w:top w:val="single" w:color="auto" w:sz="4" w:space="0"/>
                    <w:left w:val="single" w:color="auto" w:sz="4" w:space="0"/>
                    <w:bottom w:val="single" w:color="auto" w:sz="4" w:space="0"/>
                    <w:right w:val="single" w:color="auto" w:sz="12" w:space="0"/>
                  </w:tcBorders>
                  <w:vAlign w:val="center"/>
                </w:tcPr>
                <w:p w14:paraId="0D054DF0">
                  <w:pPr>
                    <w:widowControl/>
                    <w:jc w:val="center"/>
                    <w:rPr>
                      <w:color w:val="000000"/>
                      <w:kern w:val="0"/>
                      <w:sz w:val="22"/>
                      <w:u w:val="single"/>
                    </w:rPr>
                  </w:pPr>
                  <w:r>
                    <w:rPr>
                      <w:color w:val="000000"/>
                      <w:sz w:val="22"/>
                      <w:u w:val="single"/>
                    </w:rPr>
                    <w:t>8.37</w:t>
                  </w:r>
                </w:p>
              </w:tc>
            </w:tr>
            <w:tr w14:paraId="3D976E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tcBorders>
                    <w:left w:val="single" w:color="auto" w:sz="12" w:space="0"/>
                    <w:right w:val="single" w:color="auto" w:sz="4" w:space="0"/>
                  </w:tcBorders>
                  <w:vAlign w:val="center"/>
                </w:tcPr>
                <w:p w14:paraId="11599F17">
                  <w:pPr>
                    <w:jc w:val="center"/>
                    <w:rPr>
                      <w:snapToGrid w:val="0"/>
                      <w:szCs w:val="21"/>
                      <w:u w:val="single"/>
                      <w:lang w:eastAsia="en-US"/>
                    </w:rPr>
                  </w:pPr>
                </w:p>
              </w:tc>
              <w:tc>
                <w:tcPr>
                  <w:tcW w:w="999" w:type="pct"/>
                  <w:tcBorders>
                    <w:top w:val="single" w:color="auto" w:sz="4" w:space="0"/>
                    <w:left w:val="single" w:color="auto" w:sz="4" w:space="0"/>
                    <w:bottom w:val="single" w:color="auto" w:sz="4" w:space="0"/>
                    <w:right w:val="single" w:color="auto" w:sz="4" w:space="0"/>
                  </w:tcBorders>
                  <w:vAlign w:val="center"/>
                </w:tcPr>
                <w:p w14:paraId="44712860">
                  <w:pPr>
                    <w:widowControl/>
                    <w:jc w:val="center"/>
                    <w:textAlignment w:val="center"/>
                    <w:rPr>
                      <w:kern w:val="0"/>
                      <w:szCs w:val="21"/>
                      <w:u w:val="single"/>
                      <w:lang w:eastAsia="en-US" w:bidi="ar"/>
                    </w:rPr>
                  </w:pPr>
                  <w:r>
                    <w:rPr>
                      <w:kern w:val="0"/>
                      <w:szCs w:val="21"/>
                      <w:u w:val="single"/>
                      <w:lang w:eastAsia="en-US" w:bidi="ar"/>
                    </w:rPr>
                    <w:t>氨氮</w:t>
                  </w:r>
                </w:p>
              </w:tc>
              <w:tc>
                <w:tcPr>
                  <w:tcW w:w="1000" w:type="pct"/>
                  <w:vMerge w:val="continue"/>
                  <w:tcBorders>
                    <w:left w:val="single" w:color="auto" w:sz="4" w:space="0"/>
                    <w:right w:val="single" w:color="auto" w:sz="4" w:space="0"/>
                  </w:tcBorders>
                  <w:vAlign w:val="center"/>
                </w:tcPr>
                <w:p w14:paraId="4618D908">
                  <w:pPr>
                    <w:jc w:val="center"/>
                    <w:rPr>
                      <w:snapToGrid w:val="0"/>
                      <w:szCs w:val="21"/>
                      <w:u w:val="single"/>
                      <w:lang w:eastAsia="en-US"/>
                    </w:rPr>
                  </w:pPr>
                </w:p>
              </w:tc>
              <w:tc>
                <w:tcPr>
                  <w:tcW w:w="1000" w:type="pct"/>
                  <w:tcBorders>
                    <w:top w:val="single" w:color="auto" w:sz="4" w:space="0"/>
                    <w:left w:val="single" w:color="auto" w:sz="4" w:space="0"/>
                    <w:bottom w:val="single" w:color="auto" w:sz="4" w:space="0"/>
                    <w:right w:val="single" w:color="auto" w:sz="4" w:space="0"/>
                  </w:tcBorders>
                  <w:vAlign w:val="center"/>
                </w:tcPr>
                <w:p w14:paraId="26158DB9">
                  <w:pPr>
                    <w:jc w:val="center"/>
                    <w:rPr>
                      <w:color w:val="000000"/>
                      <w:szCs w:val="21"/>
                      <w:u w:val="single"/>
                    </w:rPr>
                  </w:pPr>
                  <w:r>
                    <w:rPr>
                      <w:color w:val="000000"/>
                      <w:szCs w:val="21"/>
                      <w:u w:val="single"/>
                    </w:rPr>
                    <w:t>20</w:t>
                  </w:r>
                </w:p>
              </w:tc>
              <w:tc>
                <w:tcPr>
                  <w:tcW w:w="1000" w:type="pct"/>
                  <w:tcBorders>
                    <w:top w:val="single" w:color="auto" w:sz="4" w:space="0"/>
                    <w:left w:val="single" w:color="auto" w:sz="4" w:space="0"/>
                    <w:bottom w:val="single" w:color="auto" w:sz="4" w:space="0"/>
                    <w:right w:val="single" w:color="auto" w:sz="12" w:space="0"/>
                  </w:tcBorders>
                  <w:vAlign w:val="center"/>
                </w:tcPr>
                <w:p w14:paraId="62533D49">
                  <w:pPr>
                    <w:jc w:val="center"/>
                    <w:rPr>
                      <w:color w:val="000000"/>
                      <w:sz w:val="22"/>
                      <w:u w:val="single"/>
                    </w:rPr>
                  </w:pPr>
                  <w:r>
                    <w:rPr>
                      <w:color w:val="000000"/>
                      <w:sz w:val="22"/>
                      <w:u w:val="single"/>
                    </w:rPr>
                    <w:t>0.279</w:t>
                  </w:r>
                </w:p>
              </w:tc>
            </w:tr>
            <w:tr w14:paraId="16B3D9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tcBorders>
                    <w:left w:val="single" w:color="auto" w:sz="12" w:space="0"/>
                    <w:right w:val="single" w:color="auto" w:sz="4" w:space="0"/>
                  </w:tcBorders>
                  <w:vAlign w:val="center"/>
                </w:tcPr>
                <w:p w14:paraId="74BC98A2">
                  <w:pPr>
                    <w:jc w:val="center"/>
                    <w:rPr>
                      <w:snapToGrid w:val="0"/>
                      <w:szCs w:val="21"/>
                      <w:u w:val="single"/>
                      <w:lang w:eastAsia="en-US"/>
                    </w:rPr>
                  </w:pPr>
                </w:p>
              </w:tc>
              <w:tc>
                <w:tcPr>
                  <w:tcW w:w="999" w:type="pct"/>
                  <w:tcBorders>
                    <w:top w:val="single" w:color="auto" w:sz="4" w:space="0"/>
                    <w:left w:val="single" w:color="auto" w:sz="4" w:space="0"/>
                    <w:bottom w:val="single" w:color="auto" w:sz="4" w:space="0"/>
                    <w:right w:val="single" w:color="auto" w:sz="4" w:space="0"/>
                  </w:tcBorders>
                  <w:vAlign w:val="center"/>
                </w:tcPr>
                <w:p w14:paraId="659A5D5E">
                  <w:pPr>
                    <w:widowControl/>
                    <w:jc w:val="center"/>
                    <w:textAlignment w:val="center"/>
                    <w:rPr>
                      <w:kern w:val="0"/>
                      <w:szCs w:val="21"/>
                      <w:u w:val="single"/>
                      <w:lang w:eastAsia="en-US" w:bidi="ar"/>
                    </w:rPr>
                  </w:pPr>
                  <w:r>
                    <w:rPr>
                      <w:kern w:val="0"/>
                      <w:szCs w:val="21"/>
                      <w:u w:val="single"/>
                      <w:lang w:eastAsia="en-US" w:bidi="ar"/>
                    </w:rPr>
                    <w:t>总氮</w:t>
                  </w:r>
                </w:p>
              </w:tc>
              <w:tc>
                <w:tcPr>
                  <w:tcW w:w="1000" w:type="pct"/>
                  <w:vMerge w:val="continue"/>
                  <w:tcBorders>
                    <w:left w:val="single" w:color="auto" w:sz="4" w:space="0"/>
                    <w:right w:val="single" w:color="auto" w:sz="4" w:space="0"/>
                  </w:tcBorders>
                  <w:vAlign w:val="center"/>
                </w:tcPr>
                <w:p w14:paraId="68E20ED7">
                  <w:pPr>
                    <w:jc w:val="center"/>
                    <w:rPr>
                      <w:snapToGrid w:val="0"/>
                      <w:szCs w:val="21"/>
                      <w:u w:val="single"/>
                      <w:lang w:eastAsia="en-US"/>
                    </w:rPr>
                  </w:pPr>
                </w:p>
              </w:tc>
              <w:tc>
                <w:tcPr>
                  <w:tcW w:w="1000" w:type="pct"/>
                  <w:tcBorders>
                    <w:top w:val="single" w:color="auto" w:sz="4" w:space="0"/>
                    <w:left w:val="single" w:color="auto" w:sz="4" w:space="0"/>
                    <w:bottom w:val="single" w:color="auto" w:sz="4" w:space="0"/>
                    <w:right w:val="single" w:color="auto" w:sz="4" w:space="0"/>
                  </w:tcBorders>
                  <w:vAlign w:val="center"/>
                </w:tcPr>
                <w:p w14:paraId="2D21E8B5">
                  <w:pPr>
                    <w:jc w:val="center"/>
                    <w:rPr>
                      <w:color w:val="000000"/>
                      <w:szCs w:val="21"/>
                      <w:u w:val="single"/>
                    </w:rPr>
                  </w:pPr>
                  <w:r>
                    <w:rPr>
                      <w:color w:val="000000"/>
                      <w:szCs w:val="21"/>
                      <w:u w:val="single"/>
                    </w:rPr>
                    <w:t>40</w:t>
                  </w:r>
                </w:p>
              </w:tc>
              <w:tc>
                <w:tcPr>
                  <w:tcW w:w="1000" w:type="pct"/>
                  <w:tcBorders>
                    <w:top w:val="single" w:color="auto" w:sz="4" w:space="0"/>
                    <w:left w:val="single" w:color="auto" w:sz="4" w:space="0"/>
                    <w:bottom w:val="single" w:color="auto" w:sz="4" w:space="0"/>
                    <w:right w:val="single" w:color="auto" w:sz="12" w:space="0"/>
                  </w:tcBorders>
                  <w:vAlign w:val="center"/>
                </w:tcPr>
                <w:p w14:paraId="6E8E2D26">
                  <w:pPr>
                    <w:jc w:val="center"/>
                    <w:rPr>
                      <w:color w:val="000000"/>
                      <w:sz w:val="22"/>
                      <w:u w:val="single"/>
                    </w:rPr>
                  </w:pPr>
                  <w:r>
                    <w:rPr>
                      <w:color w:val="000000"/>
                      <w:sz w:val="22"/>
                      <w:u w:val="single"/>
                    </w:rPr>
                    <w:t>0.558</w:t>
                  </w:r>
                </w:p>
              </w:tc>
            </w:tr>
            <w:tr w14:paraId="3B5FD1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tcBorders>
                    <w:left w:val="single" w:color="auto" w:sz="12" w:space="0"/>
                    <w:right w:val="single" w:color="auto" w:sz="4" w:space="0"/>
                  </w:tcBorders>
                  <w:vAlign w:val="center"/>
                </w:tcPr>
                <w:p w14:paraId="0375791F">
                  <w:pPr>
                    <w:jc w:val="center"/>
                    <w:rPr>
                      <w:snapToGrid w:val="0"/>
                      <w:szCs w:val="21"/>
                      <w:u w:val="single"/>
                      <w:lang w:eastAsia="en-US"/>
                    </w:rPr>
                  </w:pPr>
                </w:p>
              </w:tc>
              <w:tc>
                <w:tcPr>
                  <w:tcW w:w="999" w:type="pct"/>
                  <w:tcBorders>
                    <w:top w:val="single" w:color="auto" w:sz="4" w:space="0"/>
                    <w:left w:val="single" w:color="auto" w:sz="4" w:space="0"/>
                    <w:bottom w:val="single" w:color="auto" w:sz="4" w:space="0"/>
                    <w:right w:val="single" w:color="auto" w:sz="4" w:space="0"/>
                  </w:tcBorders>
                  <w:vAlign w:val="center"/>
                </w:tcPr>
                <w:p w14:paraId="409B3DB7">
                  <w:pPr>
                    <w:widowControl/>
                    <w:jc w:val="center"/>
                    <w:textAlignment w:val="center"/>
                    <w:rPr>
                      <w:kern w:val="0"/>
                      <w:szCs w:val="21"/>
                      <w:u w:val="single"/>
                      <w:lang w:eastAsia="en-US" w:bidi="ar"/>
                    </w:rPr>
                  </w:pPr>
                  <w:r>
                    <w:rPr>
                      <w:kern w:val="0"/>
                      <w:szCs w:val="21"/>
                      <w:u w:val="single"/>
                      <w:lang w:eastAsia="en-US" w:bidi="ar"/>
                    </w:rPr>
                    <w:t>总磷</w:t>
                  </w:r>
                </w:p>
              </w:tc>
              <w:tc>
                <w:tcPr>
                  <w:tcW w:w="1000" w:type="pct"/>
                  <w:vMerge w:val="continue"/>
                  <w:tcBorders>
                    <w:left w:val="single" w:color="auto" w:sz="4" w:space="0"/>
                    <w:right w:val="single" w:color="auto" w:sz="4" w:space="0"/>
                  </w:tcBorders>
                  <w:vAlign w:val="center"/>
                </w:tcPr>
                <w:p w14:paraId="563161CE">
                  <w:pPr>
                    <w:jc w:val="center"/>
                    <w:rPr>
                      <w:snapToGrid w:val="0"/>
                      <w:szCs w:val="21"/>
                      <w:u w:val="single"/>
                      <w:lang w:eastAsia="en-US"/>
                    </w:rPr>
                  </w:pPr>
                </w:p>
              </w:tc>
              <w:tc>
                <w:tcPr>
                  <w:tcW w:w="1000" w:type="pct"/>
                  <w:tcBorders>
                    <w:top w:val="single" w:color="auto" w:sz="4" w:space="0"/>
                    <w:left w:val="single" w:color="auto" w:sz="4" w:space="0"/>
                    <w:bottom w:val="single" w:color="auto" w:sz="4" w:space="0"/>
                    <w:right w:val="single" w:color="auto" w:sz="4" w:space="0"/>
                  </w:tcBorders>
                  <w:vAlign w:val="center"/>
                </w:tcPr>
                <w:p w14:paraId="4D7833AE">
                  <w:pPr>
                    <w:jc w:val="center"/>
                    <w:rPr>
                      <w:color w:val="000000"/>
                      <w:szCs w:val="21"/>
                      <w:u w:val="single"/>
                    </w:rPr>
                  </w:pPr>
                  <w:r>
                    <w:rPr>
                      <w:color w:val="000000"/>
                      <w:szCs w:val="21"/>
                      <w:u w:val="single"/>
                    </w:rPr>
                    <w:t>7</w:t>
                  </w:r>
                </w:p>
              </w:tc>
              <w:tc>
                <w:tcPr>
                  <w:tcW w:w="1000" w:type="pct"/>
                  <w:tcBorders>
                    <w:top w:val="single" w:color="auto" w:sz="4" w:space="0"/>
                    <w:left w:val="single" w:color="auto" w:sz="4" w:space="0"/>
                    <w:bottom w:val="single" w:color="auto" w:sz="4" w:space="0"/>
                    <w:right w:val="single" w:color="auto" w:sz="12" w:space="0"/>
                  </w:tcBorders>
                  <w:vAlign w:val="center"/>
                </w:tcPr>
                <w:p w14:paraId="45ED9458">
                  <w:pPr>
                    <w:jc w:val="center"/>
                    <w:rPr>
                      <w:color w:val="000000"/>
                      <w:sz w:val="22"/>
                      <w:u w:val="single"/>
                    </w:rPr>
                  </w:pPr>
                  <w:r>
                    <w:rPr>
                      <w:color w:val="000000"/>
                      <w:sz w:val="22"/>
                      <w:u w:val="single"/>
                    </w:rPr>
                    <w:t>0.09765</w:t>
                  </w:r>
                </w:p>
              </w:tc>
            </w:tr>
            <w:tr w14:paraId="44F4B5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tcBorders>
                    <w:left w:val="single" w:color="auto" w:sz="12" w:space="0"/>
                    <w:right w:val="single" w:color="auto" w:sz="4" w:space="0"/>
                  </w:tcBorders>
                  <w:vAlign w:val="center"/>
                </w:tcPr>
                <w:p w14:paraId="7FABAA17">
                  <w:pPr>
                    <w:jc w:val="center"/>
                    <w:rPr>
                      <w:snapToGrid w:val="0"/>
                      <w:szCs w:val="21"/>
                      <w:u w:val="single"/>
                      <w:lang w:eastAsia="en-US"/>
                    </w:rPr>
                  </w:pPr>
                </w:p>
              </w:tc>
              <w:tc>
                <w:tcPr>
                  <w:tcW w:w="999" w:type="pct"/>
                  <w:tcBorders>
                    <w:top w:val="single" w:color="auto" w:sz="4" w:space="0"/>
                    <w:left w:val="single" w:color="auto" w:sz="4" w:space="0"/>
                    <w:bottom w:val="single" w:color="auto" w:sz="4" w:space="0"/>
                    <w:right w:val="single" w:color="auto" w:sz="4" w:space="0"/>
                  </w:tcBorders>
                  <w:vAlign w:val="center"/>
                </w:tcPr>
                <w:p w14:paraId="32AFC91A">
                  <w:pPr>
                    <w:widowControl/>
                    <w:jc w:val="center"/>
                    <w:textAlignment w:val="center"/>
                    <w:rPr>
                      <w:kern w:val="0"/>
                      <w:szCs w:val="21"/>
                      <w:u w:val="single"/>
                      <w:lang w:eastAsia="en-US" w:bidi="ar"/>
                    </w:rPr>
                  </w:pPr>
                  <w:r>
                    <w:rPr>
                      <w:kern w:val="0"/>
                      <w:szCs w:val="21"/>
                      <w:u w:val="single"/>
                      <w:lang w:eastAsia="en-US" w:bidi="ar"/>
                    </w:rPr>
                    <w:t>SS</w:t>
                  </w:r>
                </w:p>
              </w:tc>
              <w:tc>
                <w:tcPr>
                  <w:tcW w:w="1000" w:type="pct"/>
                  <w:vMerge w:val="continue"/>
                  <w:tcBorders>
                    <w:left w:val="single" w:color="auto" w:sz="4" w:space="0"/>
                    <w:right w:val="single" w:color="auto" w:sz="4" w:space="0"/>
                  </w:tcBorders>
                  <w:vAlign w:val="center"/>
                </w:tcPr>
                <w:p w14:paraId="34787840">
                  <w:pPr>
                    <w:jc w:val="center"/>
                    <w:rPr>
                      <w:snapToGrid w:val="0"/>
                      <w:szCs w:val="21"/>
                      <w:u w:val="single"/>
                      <w:lang w:eastAsia="en-US"/>
                    </w:rPr>
                  </w:pPr>
                </w:p>
              </w:tc>
              <w:tc>
                <w:tcPr>
                  <w:tcW w:w="1000" w:type="pct"/>
                  <w:tcBorders>
                    <w:top w:val="single" w:color="auto" w:sz="4" w:space="0"/>
                    <w:left w:val="single" w:color="auto" w:sz="4" w:space="0"/>
                    <w:bottom w:val="single" w:color="auto" w:sz="4" w:space="0"/>
                    <w:right w:val="single" w:color="auto" w:sz="4" w:space="0"/>
                  </w:tcBorders>
                  <w:vAlign w:val="center"/>
                </w:tcPr>
                <w:p w14:paraId="2517379C">
                  <w:pPr>
                    <w:jc w:val="center"/>
                    <w:rPr>
                      <w:color w:val="000000"/>
                      <w:szCs w:val="21"/>
                      <w:u w:val="single"/>
                    </w:rPr>
                  </w:pPr>
                  <w:r>
                    <w:rPr>
                      <w:color w:val="000000"/>
                      <w:szCs w:val="21"/>
                      <w:u w:val="single"/>
                    </w:rPr>
                    <w:t>80</w:t>
                  </w:r>
                </w:p>
              </w:tc>
              <w:tc>
                <w:tcPr>
                  <w:tcW w:w="1000" w:type="pct"/>
                  <w:tcBorders>
                    <w:top w:val="single" w:color="auto" w:sz="4" w:space="0"/>
                    <w:left w:val="single" w:color="auto" w:sz="4" w:space="0"/>
                    <w:bottom w:val="single" w:color="auto" w:sz="4" w:space="0"/>
                    <w:right w:val="single" w:color="auto" w:sz="12" w:space="0"/>
                  </w:tcBorders>
                  <w:vAlign w:val="center"/>
                </w:tcPr>
                <w:p w14:paraId="5426F77E">
                  <w:pPr>
                    <w:jc w:val="center"/>
                    <w:rPr>
                      <w:color w:val="000000"/>
                      <w:sz w:val="22"/>
                      <w:u w:val="single"/>
                    </w:rPr>
                  </w:pPr>
                  <w:r>
                    <w:rPr>
                      <w:color w:val="000000"/>
                      <w:sz w:val="22"/>
                      <w:u w:val="single"/>
                    </w:rPr>
                    <w:t>1.116</w:t>
                  </w:r>
                </w:p>
              </w:tc>
            </w:tr>
            <w:tr w14:paraId="396178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tcBorders>
                    <w:left w:val="single" w:color="auto" w:sz="12" w:space="0"/>
                    <w:right w:val="single" w:color="auto" w:sz="4" w:space="0"/>
                  </w:tcBorders>
                  <w:vAlign w:val="center"/>
                </w:tcPr>
                <w:p w14:paraId="1F353DF2">
                  <w:pPr>
                    <w:jc w:val="center"/>
                    <w:rPr>
                      <w:snapToGrid w:val="0"/>
                      <w:szCs w:val="21"/>
                      <w:u w:val="single"/>
                      <w:lang w:eastAsia="en-US"/>
                    </w:rPr>
                  </w:pPr>
                </w:p>
              </w:tc>
              <w:tc>
                <w:tcPr>
                  <w:tcW w:w="999" w:type="pct"/>
                  <w:tcBorders>
                    <w:top w:val="single" w:color="auto" w:sz="4" w:space="0"/>
                    <w:left w:val="single" w:color="auto" w:sz="4" w:space="0"/>
                    <w:bottom w:val="single" w:color="auto" w:sz="4" w:space="0"/>
                    <w:right w:val="single" w:color="auto" w:sz="4" w:space="0"/>
                  </w:tcBorders>
                  <w:vAlign w:val="center"/>
                </w:tcPr>
                <w:p w14:paraId="3020B1CA">
                  <w:pPr>
                    <w:widowControl/>
                    <w:jc w:val="center"/>
                    <w:textAlignment w:val="center"/>
                    <w:rPr>
                      <w:kern w:val="0"/>
                      <w:szCs w:val="21"/>
                      <w:u w:val="single"/>
                      <w:lang w:eastAsia="en-US" w:bidi="ar"/>
                    </w:rPr>
                  </w:pPr>
                  <w:r>
                    <w:rPr>
                      <w:kern w:val="0"/>
                      <w:szCs w:val="21"/>
                      <w:u w:val="single"/>
                      <w:lang w:eastAsia="en-US" w:bidi="ar"/>
                    </w:rPr>
                    <w:t>BOD</w:t>
                  </w:r>
                </w:p>
              </w:tc>
              <w:tc>
                <w:tcPr>
                  <w:tcW w:w="1000" w:type="pct"/>
                  <w:vMerge w:val="continue"/>
                  <w:tcBorders>
                    <w:left w:val="single" w:color="auto" w:sz="4" w:space="0"/>
                    <w:right w:val="single" w:color="auto" w:sz="4" w:space="0"/>
                  </w:tcBorders>
                  <w:vAlign w:val="center"/>
                </w:tcPr>
                <w:p w14:paraId="0802C3DC">
                  <w:pPr>
                    <w:jc w:val="center"/>
                    <w:rPr>
                      <w:snapToGrid w:val="0"/>
                      <w:szCs w:val="21"/>
                      <w:u w:val="single"/>
                      <w:lang w:eastAsia="en-US"/>
                    </w:rPr>
                  </w:pPr>
                </w:p>
              </w:tc>
              <w:tc>
                <w:tcPr>
                  <w:tcW w:w="1000" w:type="pct"/>
                  <w:tcBorders>
                    <w:top w:val="single" w:color="auto" w:sz="4" w:space="0"/>
                    <w:left w:val="single" w:color="auto" w:sz="4" w:space="0"/>
                    <w:bottom w:val="single" w:color="auto" w:sz="4" w:space="0"/>
                    <w:right w:val="single" w:color="auto" w:sz="4" w:space="0"/>
                  </w:tcBorders>
                  <w:vAlign w:val="center"/>
                </w:tcPr>
                <w:p w14:paraId="6192A56D">
                  <w:pPr>
                    <w:jc w:val="center"/>
                    <w:rPr>
                      <w:color w:val="000000"/>
                      <w:szCs w:val="21"/>
                      <w:u w:val="single"/>
                    </w:rPr>
                  </w:pPr>
                  <w:r>
                    <w:rPr>
                      <w:color w:val="000000"/>
                      <w:szCs w:val="21"/>
                      <w:u w:val="single"/>
                    </w:rPr>
                    <w:t>350</w:t>
                  </w:r>
                </w:p>
              </w:tc>
              <w:tc>
                <w:tcPr>
                  <w:tcW w:w="1000" w:type="pct"/>
                  <w:tcBorders>
                    <w:top w:val="single" w:color="auto" w:sz="4" w:space="0"/>
                    <w:left w:val="single" w:color="auto" w:sz="4" w:space="0"/>
                    <w:bottom w:val="single" w:color="auto" w:sz="4" w:space="0"/>
                    <w:right w:val="single" w:color="auto" w:sz="12" w:space="0"/>
                  </w:tcBorders>
                  <w:vAlign w:val="center"/>
                </w:tcPr>
                <w:p w14:paraId="2D155AC8">
                  <w:pPr>
                    <w:jc w:val="center"/>
                    <w:rPr>
                      <w:color w:val="000000"/>
                      <w:sz w:val="22"/>
                      <w:u w:val="single"/>
                    </w:rPr>
                  </w:pPr>
                  <w:r>
                    <w:rPr>
                      <w:color w:val="000000"/>
                      <w:sz w:val="22"/>
                      <w:u w:val="single"/>
                    </w:rPr>
                    <w:t>4.8825</w:t>
                  </w:r>
                </w:p>
              </w:tc>
            </w:tr>
            <w:tr w14:paraId="24CC40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tcBorders>
                    <w:left w:val="single" w:color="auto" w:sz="12" w:space="0"/>
                    <w:right w:val="single" w:color="auto" w:sz="4" w:space="0"/>
                  </w:tcBorders>
                  <w:vAlign w:val="center"/>
                </w:tcPr>
                <w:p w14:paraId="6E48E4F9">
                  <w:pPr>
                    <w:jc w:val="center"/>
                    <w:rPr>
                      <w:snapToGrid w:val="0"/>
                      <w:szCs w:val="21"/>
                      <w:u w:val="single"/>
                      <w:lang w:eastAsia="en-US"/>
                    </w:rPr>
                  </w:pPr>
                </w:p>
              </w:tc>
              <w:tc>
                <w:tcPr>
                  <w:tcW w:w="999" w:type="pct"/>
                  <w:tcBorders>
                    <w:top w:val="single" w:color="auto" w:sz="4" w:space="0"/>
                    <w:left w:val="single" w:color="auto" w:sz="4" w:space="0"/>
                    <w:bottom w:val="single" w:color="auto" w:sz="4" w:space="0"/>
                    <w:right w:val="single" w:color="auto" w:sz="4" w:space="0"/>
                  </w:tcBorders>
                  <w:vAlign w:val="center"/>
                </w:tcPr>
                <w:p w14:paraId="60AB4EDC">
                  <w:pPr>
                    <w:widowControl/>
                    <w:jc w:val="center"/>
                    <w:textAlignment w:val="center"/>
                    <w:rPr>
                      <w:kern w:val="0"/>
                      <w:szCs w:val="21"/>
                      <w:u w:val="single"/>
                      <w:lang w:eastAsia="en-US" w:bidi="ar"/>
                    </w:rPr>
                  </w:pPr>
                  <w:r>
                    <w:rPr>
                      <w:kern w:val="0"/>
                      <w:szCs w:val="21"/>
                      <w:u w:val="single"/>
                      <w:lang w:eastAsia="en-US" w:bidi="ar"/>
                    </w:rPr>
                    <w:t>动植物油</w:t>
                  </w:r>
                </w:p>
              </w:tc>
              <w:tc>
                <w:tcPr>
                  <w:tcW w:w="1000" w:type="pct"/>
                  <w:vMerge w:val="continue"/>
                  <w:tcBorders>
                    <w:left w:val="single" w:color="auto" w:sz="4" w:space="0"/>
                    <w:right w:val="single" w:color="auto" w:sz="4" w:space="0"/>
                  </w:tcBorders>
                  <w:vAlign w:val="center"/>
                </w:tcPr>
                <w:p w14:paraId="6316132F">
                  <w:pPr>
                    <w:jc w:val="center"/>
                    <w:rPr>
                      <w:snapToGrid w:val="0"/>
                      <w:szCs w:val="21"/>
                      <w:u w:val="single"/>
                      <w:lang w:eastAsia="en-US"/>
                    </w:rPr>
                  </w:pPr>
                </w:p>
              </w:tc>
              <w:tc>
                <w:tcPr>
                  <w:tcW w:w="1000" w:type="pct"/>
                  <w:tcBorders>
                    <w:top w:val="single" w:color="auto" w:sz="4" w:space="0"/>
                    <w:left w:val="single" w:color="auto" w:sz="4" w:space="0"/>
                    <w:bottom w:val="single" w:color="auto" w:sz="4" w:space="0"/>
                    <w:right w:val="single" w:color="auto" w:sz="4" w:space="0"/>
                  </w:tcBorders>
                  <w:vAlign w:val="center"/>
                </w:tcPr>
                <w:p w14:paraId="58E41C12">
                  <w:pPr>
                    <w:jc w:val="center"/>
                    <w:rPr>
                      <w:color w:val="000000"/>
                      <w:szCs w:val="21"/>
                      <w:u w:val="single"/>
                    </w:rPr>
                  </w:pPr>
                  <w:r>
                    <w:rPr>
                      <w:color w:val="000000"/>
                      <w:szCs w:val="21"/>
                      <w:u w:val="single"/>
                    </w:rPr>
                    <w:t>8</w:t>
                  </w:r>
                </w:p>
              </w:tc>
              <w:tc>
                <w:tcPr>
                  <w:tcW w:w="1000" w:type="pct"/>
                  <w:tcBorders>
                    <w:top w:val="single" w:color="auto" w:sz="4" w:space="0"/>
                    <w:left w:val="single" w:color="auto" w:sz="4" w:space="0"/>
                    <w:bottom w:val="single" w:color="auto" w:sz="4" w:space="0"/>
                    <w:right w:val="single" w:color="auto" w:sz="12" w:space="0"/>
                  </w:tcBorders>
                  <w:vAlign w:val="center"/>
                </w:tcPr>
                <w:p w14:paraId="2251C813">
                  <w:pPr>
                    <w:jc w:val="center"/>
                    <w:rPr>
                      <w:color w:val="000000"/>
                      <w:sz w:val="22"/>
                      <w:u w:val="single"/>
                    </w:rPr>
                  </w:pPr>
                  <w:r>
                    <w:rPr>
                      <w:color w:val="000000"/>
                      <w:sz w:val="22"/>
                      <w:u w:val="single"/>
                    </w:rPr>
                    <w:t>0.1116</w:t>
                  </w:r>
                </w:p>
              </w:tc>
            </w:tr>
            <w:tr w14:paraId="6297FB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tcBorders>
                    <w:left w:val="single" w:color="auto" w:sz="12" w:space="0"/>
                    <w:bottom w:val="single" w:color="auto" w:sz="4" w:space="0"/>
                    <w:right w:val="single" w:color="auto" w:sz="4" w:space="0"/>
                  </w:tcBorders>
                  <w:vAlign w:val="center"/>
                </w:tcPr>
                <w:p w14:paraId="4DA777E4">
                  <w:pPr>
                    <w:jc w:val="center"/>
                    <w:rPr>
                      <w:snapToGrid w:val="0"/>
                      <w:szCs w:val="21"/>
                      <w:u w:val="single"/>
                      <w:lang w:eastAsia="en-US"/>
                    </w:rPr>
                  </w:pPr>
                </w:p>
              </w:tc>
              <w:tc>
                <w:tcPr>
                  <w:tcW w:w="999" w:type="pct"/>
                  <w:tcBorders>
                    <w:top w:val="single" w:color="auto" w:sz="4" w:space="0"/>
                    <w:left w:val="single" w:color="auto" w:sz="4" w:space="0"/>
                    <w:bottom w:val="single" w:color="auto" w:sz="4" w:space="0"/>
                    <w:right w:val="single" w:color="auto" w:sz="4" w:space="0"/>
                  </w:tcBorders>
                  <w:vAlign w:val="center"/>
                </w:tcPr>
                <w:p w14:paraId="4088AC0D">
                  <w:pPr>
                    <w:widowControl/>
                    <w:jc w:val="center"/>
                    <w:textAlignment w:val="center"/>
                    <w:rPr>
                      <w:kern w:val="0"/>
                      <w:szCs w:val="21"/>
                      <w:u w:val="single"/>
                      <w:lang w:eastAsia="en-US" w:bidi="ar"/>
                    </w:rPr>
                  </w:pPr>
                  <w:r>
                    <w:rPr>
                      <w:kern w:val="0"/>
                      <w:szCs w:val="21"/>
                      <w:u w:val="single"/>
                      <w:lang w:eastAsia="en-US" w:bidi="ar"/>
                    </w:rPr>
                    <w:t>氯化物</w:t>
                  </w:r>
                </w:p>
              </w:tc>
              <w:tc>
                <w:tcPr>
                  <w:tcW w:w="1000" w:type="pct"/>
                  <w:vMerge w:val="continue"/>
                  <w:tcBorders>
                    <w:left w:val="single" w:color="auto" w:sz="4" w:space="0"/>
                    <w:bottom w:val="single" w:color="auto" w:sz="4" w:space="0"/>
                    <w:right w:val="single" w:color="auto" w:sz="4" w:space="0"/>
                  </w:tcBorders>
                  <w:vAlign w:val="center"/>
                </w:tcPr>
                <w:p w14:paraId="0968441E">
                  <w:pPr>
                    <w:jc w:val="center"/>
                    <w:rPr>
                      <w:snapToGrid w:val="0"/>
                      <w:szCs w:val="21"/>
                      <w:u w:val="single"/>
                      <w:lang w:eastAsia="en-US"/>
                    </w:rPr>
                  </w:pPr>
                </w:p>
              </w:tc>
              <w:tc>
                <w:tcPr>
                  <w:tcW w:w="1000" w:type="pct"/>
                  <w:tcBorders>
                    <w:top w:val="single" w:color="auto" w:sz="4" w:space="0"/>
                    <w:left w:val="single" w:color="auto" w:sz="4" w:space="0"/>
                    <w:bottom w:val="single" w:color="auto" w:sz="4" w:space="0"/>
                    <w:right w:val="single" w:color="auto" w:sz="4" w:space="0"/>
                  </w:tcBorders>
                  <w:vAlign w:val="center"/>
                </w:tcPr>
                <w:p w14:paraId="026EFFC4">
                  <w:pPr>
                    <w:jc w:val="center"/>
                    <w:rPr>
                      <w:color w:val="000000"/>
                      <w:sz w:val="22"/>
                      <w:u w:val="single"/>
                    </w:rPr>
                  </w:pPr>
                  <w:r>
                    <w:rPr>
                      <w:color w:val="000000"/>
                      <w:sz w:val="22"/>
                      <w:u w:val="single"/>
                    </w:rPr>
                    <w:t>150</w:t>
                  </w:r>
                </w:p>
              </w:tc>
              <w:tc>
                <w:tcPr>
                  <w:tcW w:w="1000" w:type="pct"/>
                  <w:tcBorders>
                    <w:top w:val="single" w:color="auto" w:sz="4" w:space="0"/>
                    <w:left w:val="single" w:color="auto" w:sz="4" w:space="0"/>
                    <w:bottom w:val="single" w:color="auto" w:sz="4" w:space="0"/>
                    <w:right w:val="single" w:color="auto" w:sz="12" w:space="0"/>
                  </w:tcBorders>
                  <w:vAlign w:val="center"/>
                </w:tcPr>
                <w:p w14:paraId="08AAB592">
                  <w:pPr>
                    <w:jc w:val="center"/>
                    <w:rPr>
                      <w:color w:val="000000"/>
                      <w:sz w:val="22"/>
                      <w:u w:val="single"/>
                    </w:rPr>
                  </w:pPr>
                  <w:r>
                    <w:rPr>
                      <w:color w:val="000000"/>
                      <w:sz w:val="22"/>
                      <w:u w:val="single"/>
                    </w:rPr>
                    <w:t>2.0925</w:t>
                  </w:r>
                </w:p>
              </w:tc>
            </w:tr>
            <w:tr w14:paraId="17C528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restart"/>
                  <w:tcBorders>
                    <w:left w:val="single" w:color="auto" w:sz="12" w:space="0"/>
                    <w:right w:val="single" w:color="auto" w:sz="4" w:space="0"/>
                  </w:tcBorders>
                  <w:vAlign w:val="center"/>
                </w:tcPr>
                <w:p w14:paraId="3A47F7F0">
                  <w:pPr>
                    <w:jc w:val="center"/>
                    <w:rPr>
                      <w:snapToGrid w:val="0"/>
                      <w:szCs w:val="21"/>
                      <w:u w:val="single"/>
                    </w:rPr>
                  </w:pPr>
                  <w:r>
                    <w:rPr>
                      <w:rFonts w:hint="eastAsia"/>
                      <w:snapToGrid w:val="0"/>
                      <w:szCs w:val="21"/>
                      <w:u w:val="single"/>
                    </w:rPr>
                    <w:t>检验废水</w:t>
                  </w:r>
                </w:p>
              </w:tc>
              <w:tc>
                <w:tcPr>
                  <w:tcW w:w="999" w:type="pct"/>
                  <w:tcBorders>
                    <w:top w:val="single" w:color="auto" w:sz="4" w:space="0"/>
                    <w:left w:val="single" w:color="auto" w:sz="4" w:space="0"/>
                    <w:bottom w:val="single" w:color="auto" w:sz="4" w:space="0"/>
                    <w:right w:val="single" w:color="auto" w:sz="4" w:space="0"/>
                  </w:tcBorders>
                  <w:vAlign w:val="center"/>
                </w:tcPr>
                <w:p w14:paraId="1B98783A">
                  <w:pPr>
                    <w:adjustRightInd w:val="0"/>
                    <w:jc w:val="center"/>
                    <w:rPr>
                      <w:kern w:val="0"/>
                      <w:szCs w:val="21"/>
                      <w:u w:val="single"/>
                      <w:lang w:eastAsia="en-US" w:bidi="ar"/>
                    </w:rPr>
                  </w:pPr>
                  <w:r>
                    <w:rPr>
                      <w:bCs/>
                      <w:szCs w:val="21"/>
                      <w:u w:val="single"/>
                      <w:lang w:eastAsia="en-US" w:bidi="ar"/>
                    </w:rPr>
                    <w:t>pH</w:t>
                  </w:r>
                </w:p>
              </w:tc>
              <w:tc>
                <w:tcPr>
                  <w:tcW w:w="1000" w:type="pct"/>
                  <w:vMerge w:val="restart"/>
                  <w:tcBorders>
                    <w:left w:val="single" w:color="auto" w:sz="4" w:space="0"/>
                    <w:right w:val="single" w:color="auto" w:sz="4" w:space="0"/>
                  </w:tcBorders>
                  <w:vAlign w:val="center"/>
                </w:tcPr>
                <w:p w14:paraId="33997694">
                  <w:pPr>
                    <w:jc w:val="center"/>
                    <w:rPr>
                      <w:snapToGrid w:val="0"/>
                      <w:szCs w:val="21"/>
                      <w:u w:val="single"/>
                    </w:rPr>
                  </w:pPr>
                  <w:r>
                    <w:rPr>
                      <w:rFonts w:hint="eastAsia"/>
                      <w:snapToGrid w:val="0"/>
                      <w:szCs w:val="21"/>
                      <w:u w:val="single"/>
                    </w:rPr>
                    <w:t>0.4</w:t>
                  </w:r>
                </w:p>
              </w:tc>
              <w:tc>
                <w:tcPr>
                  <w:tcW w:w="1000" w:type="pct"/>
                  <w:tcBorders>
                    <w:top w:val="single" w:color="auto" w:sz="4" w:space="0"/>
                    <w:left w:val="single" w:color="auto" w:sz="4" w:space="0"/>
                    <w:bottom w:val="single" w:color="auto" w:sz="4" w:space="0"/>
                    <w:right w:val="single" w:color="auto" w:sz="4" w:space="0"/>
                  </w:tcBorders>
                  <w:vAlign w:val="center"/>
                </w:tcPr>
                <w:p w14:paraId="68F56F18">
                  <w:pPr>
                    <w:widowControl/>
                    <w:jc w:val="center"/>
                    <w:textAlignment w:val="center"/>
                    <w:rPr>
                      <w:color w:val="000000"/>
                      <w:sz w:val="22"/>
                      <w:u w:val="single"/>
                    </w:rPr>
                  </w:pPr>
                  <w:r>
                    <w:rPr>
                      <w:rFonts w:hint="eastAsia"/>
                      <w:color w:val="000000"/>
                      <w:kern w:val="0"/>
                      <w:szCs w:val="21"/>
                      <w:lang w:bidi="ar"/>
                    </w:rPr>
                    <w:t>6-9</w:t>
                  </w:r>
                </w:p>
              </w:tc>
              <w:tc>
                <w:tcPr>
                  <w:tcW w:w="1000" w:type="pct"/>
                  <w:tcBorders>
                    <w:top w:val="single" w:color="auto" w:sz="4" w:space="0"/>
                    <w:left w:val="single" w:color="auto" w:sz="4" w:space="0"/>
                    <w:bottom w:val="single" w:color="auto" w:sz="4" w:space="0"/>
                    <w:right w:val="single" w:color="auto" w:sz="12" w:space="0"/>
                  </w:tcBorders>
                  <w:vAlign w:val="center"/>
                </w:tcPr>
                <w:p w14:paraId="7F7C9AFE">
                  <w:pPr>
                    <w:jc w:val="center"/>
                    <w:rPr>
                      <w:color w:val="000000"/>
                      <w:sz w:val="22"/>
                      <w:u w:val="single"/>
                    </w:rPr>
                  </w:pPr>
                  <w:r>
                    <w:rPr>
                      <w:rFonts w:hint="eastAsia"/>
                      <w:color w:val="000000"/>
                      <w:sz w:val="22"/>
                      <w:u w:val="single"/>
                    </w:rPr>
                    <w:t>/</w:t>
                  </w:r>
                </w:p>
              </w:tc>
            </w:tr>
            <w:tr w14:paraId="7DCCC1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tcBorders>
                    <w:left w:val="single" w:color="auto" w:sz="12" w:space="0"/>
                    <w:right w:val="single" w:color="auto" w:sz="4" w:space="0"/>
                  </w:tcBorders>
                  <w:vAlign w:val="center"/>
                </w:tcPr>
                <w:p w14:paraId="4C76E281">
                  <w:pPr>
                    <w:jc w:val="center"/>
                    <w:rPr>
                      <w:snapToGrid w:val="0"/>
                      <w:szCs w:val="21"/>
                      <w:u w:val="single"/>
                      <w:lang w:eastAsia="en-US"/>
                    </w:rPr>
                  </w:pPr>
                </w:p>
              </w:tc>
              <w:tc>
                <w:tcPr>
                  <w:tcW w:w="999" w:type="pct"/>
                  <w:tcBorders>
                    <w:top w:val="single" w:color="auto" w:sz="4" w:space="0"/>
                    <w:left w:val="single" w:color="auto" w:sz="4" w:space="0"/>
                    <w:bottom w:val="single" w:color="auto" w:sz="4" w:space="0"/>
                    <w:right w:val="single" w:color="auto" w:sz="4" w:space="0"/>
                  </w:tcBorders>
                  <w:vAlign w:val="center"/>
                </w:tcPr>
                <w:p w14:paraId="3C14AE91">
                  <w:pPr>
                    <w:widowControl/>
                    <w:jc w:val="center"/>
                    <w:textAlignment w:val="center"/>
                    <w:rPr>
                      <w:kern w:val="0"/>
                      <w:szCs w:val="21"/>
                      <w:u w:val="single"/>
                      <w:lang w:eastAsia="en-US" w:bidi="ar"/>
                    </w:rPr>
                  </w:pPr>
                  <w:r>
                    <w:rPr>
                      <w:kern w:val="0"/>
                      <w:szCs w:val="21"/>
                      <w:u w:val="single"/>
                      <w:lang w:eastAsia="en-US" w:bidi="ar"/>
                    </w:rPr>
                    <w:t>COD</w:t>
                  </w:r>
                </w:p>
              </w:tc>
              <w:tc>
                <w:tcPr>
                  <w:tcW w:w="1000" w:type="pct"/>
                  <w:vMerge w:val="continue"/>
                  <w:tcBorders>
                    <w:left w:val="single" w:color="auto" w:sz="4" w:space="0"/>
                    <w:right w:val="single" w:color="auto" w:sz="4" w:space="0"/>
                  </w:tcBorders>
                  <w:vAlign w:val="center"/>
                </w:tcPr>
                <w:p w14:paraId="4743445B">
                  <w:pPr>
                    <w:jc w:val="center"/>
                    <w:rPr>
                      <w:snapToGrid w:val="0"/>
                      <w:szCs w:val="21"/>
                      <w:u w:val="single"/>
                      <w:lang w:eastAsia="en-US"/>
                    </w:rPr>
                  </w:pPr>
                </w:p>
              </w:tc>
              <w:tc>
                <w:tcPr>
                  <w:tcW w:w="1000" w:type="pct"/>
                  <w:tcBorders>
                    <w:top w:val="single" w:color="auto" w:sz="4" w:space="0"/>
                    <w:left w:val="single" w:color="auto" w:sz="4" w:space="0"/>
                    <w:bottom w:val="single" w:color="auto" w:sz="4" w:space="0"/>
                    <w:right w:val="single" w:color="auto" w:sz="4" w:space="0"/>
                  </w:tcBorders>
                  <w:vAlign w:val="center"/>
                </w:tcPr>
                <w:p w14:paraId="390714A1">
                  <w:pPr>
                    <w:widowControl/>
                    <w:jc w:val="center"/>
                    <w:textAlignment w:val="center"/>
                    <w:rPr>
                      <w:color w:val="000000"/>
                      <w:sz w:val="22"/>
                      <w:u w:val="single"/>
                    </w:rPr>
                  </w:pPr>
                  <w:r>
                    <w:rPr>
                      <w:color w:val="000000"/>
                      <w:kern w:val="0"/>
                      <w:szCs w:val="21"/>
                      <w:lang w:bidi="ar"/>
                    </w:rPr>
                    <w:t>20</w:t>
                  </w:r>
                </w:p>
              </w:tc>
              <w:tc>
                <w:tcPr>
                  <w:tcW w:w="1000" w:type="pct"/>
                  <w:tcBorders>
                    <w:top w:val="single" w:color="auto" w:sz="4" w:space="0"/>
                    <w:left w:val="single" w:color="auto" w:sz="4" w:space="0"/>
                    <w:bottom w:val="single" w:color="auto" w:sz="4" w:space="0"/>
                    <w:right w:val="single" w:color="auto" w:sz="12" w:space="0"/>
                  </w:tcBorders>
                  <w:vAlign w:val="center"/>
                </w:tcPr>
                <w:p w14:paraId="5CD46693">
                  <w:pPr>
                    <w:widowControl/>
                    <w:jc w:val="center"/>
                    <w:textAlignment w:val="center"/>
                    <w:rPr>
                      <w:color w:val="000000"/>
                      <w:szCs w:val="21"/>
                      <w:u w:val="single"/>
                    </w:rPr>
                  </w:pPr>
                  <w:r>
                    <w:rPr>
                      <w:color w:val="000000"/>
                      <w:kern w:val="0"/>
                      <w:szCs w:val="21"/>
                      <w:lang w:bidi="ar"/>
                    </w:rPr>
                    <w:t>0.00024</w:t>
                  </w:r>
                </w:p>
              </w:tc>
            </w:tr>
            <w:tr w14:paraId="7D8B65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999" w:type="pct"/>
                  <w:vMerge w:val="continue"/>
                  <w:tcBorders>
                    <w:left w:val="single" w:color="auto" w:sz="12" w:space="0"/>
                    <w:right w:val="single" w:color="auto" w:sz="4" w:space="0"/>
                  </w:tcBorders>
                  <w:vAlign w:val="center"/>
                </w:tcPr>
                <w:p w14:paraId="16540C30">
                  <w:pPr>
                    <w:jc w:val="center"/>
                    <w:rPr>
                      <w:snapToGrid w:val="0"/>
                      <w:szCs w:val="21"/>
                      <w:u w:val="single"/>
                      <w:lang w:eastAsia="en-US"/>
                    </w:rPr>
                  </w:pPr>
                </w:p>
              </w:tc>
              <w:tc>
                <w:tcPr>
                  <w:tcW w:w="999" w:type="pct"/>
                  <w:tcBorders>
                    <w:top w:val="single" w:color="auto" w:sz="4" w:space="0"/>
                    <w:left w:val="single" w:color="auto" w:sz="4" w:space="0"/>
                    <w:bottom w:val="single" w:color="auto" w:sz="4" w:space="0"/>
                    <w:right w:val="single" w:color="auto" w:sz="4" w:space="0"/>
                  </w:tcBorders>
                  <w:vAlign w:val="center"/>
                </w:tcPr>
                <w:p w14:paraId="0194E1C0">
                  <w:pPr>
                    <w:widowControl/>
                    <w:jc w:val="center"/>
                    <w:textAlignment w:val="center"/>
                    <w:rPr>
                      <w:kern w:val="0"/>
                      <w:szCs w:val="21"/>
                      <w:u w:val="single"/>
                      <w:lang w:eastAsia="en-US" w:bidi="ar"/>
                    </w:rPr>
                  </w:pPr>
                  <w:r>
                    <w:rPr>
                      <w:kern w:val="0"/>
                      <w:szCs w:val="21"/>
                      <w:u w:val="single"/>
                      <w:lang w:eastAsia="en-US" w:bidi="ar"/>
                    </w:rPr>
                    <w:t>氨氮</w:t>
                  </w:r>
                </w:p>
              </w:tc>
              <w:tc>
                <w:tcPr>
                  <w:tcW w:w="1000" w:type="pct"/>
                  <w:vMerge w:val="continue"/>
                  <w:tcBorders>
                    <w:left w:val="single" w:color="auto" w:sz="4" w:space="0"/>
                    <w:right w:val="single" w:color="auto" w:sz="4" w:space="0"/>
                  </w:tcBorders>
                  <w:vAlign w:val="center"/>
                </w:tcPr>
                <w:p w14:paraId="2868A88B">
                  <w:pPr>
                    <w:jc w:val="center"/>
                    <w:rPr>
                      <w:snapToGrid w:val="0"/>
                      <w:szCs w:val="21"/>
                      <w:u w:val="single"/>
                      <w:lang w:eastAsia="en-US"/>
                    </w:rPr>
                  </w:pPr>
                </w:p>
              </w:tc>
              <w:tc>
                <w:tcPr>
                  <w:tcW w:w="1000" w:type="pct"/>
                  <w:tcBorders>
                    <w:top w:val="single" w:color="auto" w:sz="4" w:space="0"/>
                    <w:left w:val="single" w:color="auto" w:sz="4" w:space="0"/>
                    <w:bottom w:val="single" w:color="auto" w:sz="4" w:space="0"/>
                    <w:right w:val="single" w:color="auto" w:sz="4" w:space="0"/>
                  </w:tcBorders>
                  <w:vAlign w:val="center"/>
                </w:tcPr>
                <w:p w14:paraId="0B552B17">
                  <w:pPr>
                    <w:widowControl/>
                    <w:jc w:val="center"/>
                    <w:textAlignment w:val="center"/>
                    <w:rPr>
                      <w:color w:val="000000"/>
                      <w:sz w:val="22"/>
                      <w:u w:val="single"/>
                    </w:rPr>
                  </w:pPr>
                  <w:r>
                    <w:rPr>
                      <w:color w:val="000000"/>
                      <w:kern w:val="0"/>
                      <w:szCs w:val="21"/>
                      <w:lang w:bidi="ar"/>
                    </w:rPr>
                    <w:t>40</w:t>
                  </w:r>
                </w:p>
              </w:tc>
              <w:tc>
                <w:tcPr>
                  <w:tcW w:w="1000" w:type="pct"/>
                  <w:tcBorders>
                    <w:top w:val="single" w:color="auto" w:sz="4" w:space="0"/>
                    <w:left w:val="single" w:color="auto" w:sz="4" w:space="0"/>
                    <w:bottom w:val="single" w:color="auto" w:sz="4" w:space="0"/>
                    <w:right w:val="single" w:color="auto" w:sz="12" w:space="0"/>
                  </w:tcBorders>
                  <w:vAlign w:val="center"/>
                </w:tcPr>
                <w:p w14:paraId="7BD166B0">
                  <w:pPr>
                    <w:widowControl/>
                    <w:jc w:val="center"/>
                    <w:textAlignment w:val="center"/>
                    <w:rPr>
                      <w:color w:val="000000"/>
                      <w:szCs w:val="21"/>
                      <w:u w:val="single"/>
                    </w:rPr>
                  </w:pPr>
                  <w:r>
                    <w:rPr>
                      <w:color w:val="000000"/>
                      <w:kern w:val="0"/>
                      <w:szCs w:val="21"/>
                      <w:lang w:bidi="ar"/>
                    </w:rPr>
                    <w:t>0.000008</w:t>
                  </w:r>
                </w:p>
              </w:tc>
            </w:tr>
            <w:tr w14:paraId="799F6F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999" w:type="pct"/>
                  <w:vMerge w:val="continue"/>
                  <w:tcBorders>
                    <w:left w:val="single" w:color="auto" w:sz="12" w:space="0"/>
                    <w:right w:val="single" w:color="auto" w:sz="4" w:space="0"/>
                  </w:tcBorders>
                  <w:vAlign w:val="center"/>
                </w:tcPr>
                <w:p w14:paraId="53FF41FB">
                  <w:pPr>
                    <w:jc w:val="center"/>
                    <w:rPr>
                      <w:snapToGrid w:val="0"/>
                      <w:szCs w:val="21"/>
                      <w:u w:val="single"/>
                      <w:lang w:eastAsia="en-US"/>
                    </w:rPr>
                  </w:pPr>
                </w:p>
              </w:tc>
              <w:tc>
                <w:tcPr>
                  <w:tcW w:w="999" w:type="pct"/>
                  <w:tcBorders>
                    <w:top w:val="single" w:color="auto" w:sz="4" w:space="0"/>
                    <w:left w:val="single" w:color="auto" w:sz="4" w:space="0"/>
                    <w:bottom w:val="single" w:color="auto" w:sz="4" w:space="0"/>
                    <w:right w:val="single" w:color="auto" w:sz="4" w:space="0"/>
                  </w:tcBorders>
                  <w:vAlign w:val="center"/>
                </w:tcPr>
                <w:p w14:paraId="39E7D1D7">
                  <w:pPr>
                    <w:widowControl/>
                    <w:jc w:val="center"/>
                    <w:textAlignment w:val="center"/>
                    <w:rPr>
                      <w:kern w:val="0"/>
                      <w:szCs w:val="21"/>
                      <w:u w:val="single"/>
                      <w:lang w:eastAsia="en-US" w:bidi="ar"/>
                    </w:rPr>
                  </w:pPr>
                  <w:r>
                    <w:rPr>
                      <w:kern w:val="0"/>
                      <w:szCs w:val="21"/>
                      <w:u w:val="single"/>
                      <w:lang w:eastAsia="en-US" w:bidi="ar"/>
                    </w:rPr>
                    <w:t>总氮</w:t>
                  </w:r>
                </w:p>
              </w:tc>
              <w:tc>
                <w:tcPr>
                  <w:tcW w:w="1000" w:type="pct"/>
                  <w:vMerge w:val="continue"/>
                  <w:tcBorders>
                    <w:left w:val="single" w:color="auto" w:sz="4" w:space="0"/>
                    <w:right w:val="single" w:color="auto" w:sz="4" w:space="0"/>
                  </w:tcBorders>
                  <w:vAlign w:val="center"/>
                </w:tcPr>
                <w:p w14:paraId="023CC95B">
                  <w:pPr>
                    <w:jc w:val="center"/>
                    <w:rPr>
                      <w:snapToGrid w:val="0"/>
                      <w:szCs w:val="21"/>
                      <w:u w:val="single"/>
                      <w:lang w:eastAsia="en-US"/>
                    </w:rPr>
                  </w:pPr>
                </w:p>
              </w:tc>
              <w:tc>
                <w:tcPr>
                  <w:tcW w:w="1000" w:type="pct"/>
                  <w:tcBorders>
                    <w:top w:val="single" w:color="auto" w:sz="4" w:space="0"/>
                    <w:left w:val="single" w:color="auto" w:sz="4" w:space="0"/>
                    <w:bottom w:val="single" w:color="auto" w:sz="4" w:space="0"/>
                    <w:right w:val="single" w:color="auto" w:sz="4" w:space="0"/>
                  </w:tcBorders>
                  <w:vAlign w:val="center"/>
                </w:tcPr>
                <w:p w14:paraId="3B4047E1">
                  <w:pPr>
                    <w:widowControl/>
                    <w:jc w:val="center"/>
                    <w:textAlignment w:val="center"/>
                    <w:rPr>
                      <w:color w:val="000000"/>
                      <w:sz w:val="22"/>
                      <w:u w:val="single"/>
                    </w:rPr>
                  </w:pPr>
                  <w:r>
                    <w:rPr>
                      <w:color w:val="000000"/>
                      <w:kern w:val="0"/>
                      <w:szCs w:val="21"/>
                      <w:lang w:bidi="ar"/>
                    </w:rPr>
                    <w:t>7</w:t>
                  </w:r>
                </w:p>
              </w:tc>
              <w:tc>
                <w:tcPr>
                  <w:tcW w:w="1000" w:type="pct"/>
                  <w:tcBorders>
                    <w:top w:val="single" w:color="auto" w:sz="4" w:space="0"/>
                    <w:left w:val="single" w:color="auto" w:sz="4" w:space="0"/>
                    <w:bottom w:val="single" w:color="auto" w:sz="4" w:space="0"/>
                    <w:right w:val="single" w:color="auto" w:sz="12" w:space="0"/>
                  </w:tcBorders>
                  <w:vAlign w:val="center"/>
                </w:tcPr>
                <w:p w14:paraId="4A56F829">
                  <w:pPr>
                    <w:widowControl/>
                    <w:jc w:val="center"/>
                    <w:textAlignment w:val="center"/>
                    <w:rPr>
                      <w:color w:val="000000"/>
                      <w:szCs w:val="21"/>
                      <w:u w:val="single"/>
                    </w:rPr>
                  </w:pPr>
                  <w:r>
                    <w:rPr>
                      <w:color w:val="000000"/>
                      <w:kern w:val="0"/>
                      <w:szCs w:val="21"/>
                      <w:lang w:bidi="ar"/>
                    </w:rPr>
                    <w:t>0.000016</w:t>
                  </w:r>
                </w:p>
              </w:tc>
            </w:tr>
            <w:tr w14:paraId="76E2F7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999" w:type="pct"/>
                  <w:vMerge w:val="continue"/>
                  <w:tcBorders>
                    <w:left w:val="single" w:color="auto" w:sz="12" w:space="0"/>
                    <w:right w:val="single" w:color="auto" w:sz="4" w:space="0"/>
                  </w:tcBorders>
                  <w:vAlign w:val="center"/>
                </w:tcPr>
                <w:p w14:paraId="69A7684C">
                  <w:pPr>
                    <w:jc w:val="center"/>
                    <w:rPr>
                      <w:snapToGrid w:val="0"/>
                      <w:szCs w:val="21"/>
                      <w:u w:val="single"/>
                      <w:lang w:eastAsia="en-US"/>
                    </w:rPr>
                  </w:pPr>
                </w:p>
              </w:tc>
              <w:tc>
                <w:tcPr>
                  <w:tcW w:w="999" w:type="pct"/>
                  <w:tcBorders>
                    <w:top w:val="single" w:color="auto" w:sz="4" w:space="0"/>
                    <w:left w:val="single" w:color="auto" w:sz="4" w:space="0"/>
                    <w:bottom w:val="single" w:color="auto" w:sz="4" w:space="0"/>
                    <w:right w:val="single" w:color="auto" w:sz="4" w:space="0"/>
                  </w:tcBorders>
                  <w:vAlign w:val="center"/>
                </w:tcPr>
                <w:p w14:paraId="5BC72288">
                  <w:pPr>
                    <w:widowControl/>
                    <w:jc w:val="center"/>
                    <w:textAlignment w:val="center"/>
                    <w:rPr>
                      <w:kern w:val="0"/>
                      <w:szCs w:val="21"/>
                      <w:u w:val="single"/>
                      <w:lang w:eastAsia="en-US" w:bidi="ar"/>
                    </w:rPr>
                  </w:pPr>
                  <w:r>
                    <w:rPr>
                      <w:kern w:val="0"/>
                      <w:szCs w:val="21"/>
                      <w:u w:val="single"/>
                      <w:lang w:eastAsia="en-US" w:bidi="ar"/>
                    </w:rPr>
                    <w:t>总磷</w:t>
                  </w:r>
                </w:p>
              </w:tc>
              <w:tc>
                <w:tcPr>
                  <w:tcW w:w="1000" w:type="pct"/>
                  <w:vMerge w:val="continue"/>
                  <w:tcBorders>
                    <w:left w:val="single" w:color="auto" w:sz="4" w:space="0"/>
                    <w:right w:val="single" w:color="auto" w:sz="4" w:space="0"/>
                  </w:tcBorders>
                  <w:vAlign w:val="center"/>
                </w:tcPr>
                <w:p w14:paraId="3993F9A6">
                  <w:pPr>
                    <w:jc w:val="center"/>
                    <w:rPr>
                      <w:snapToGrid w:val="0"/>
                      <w:szCs w:val="21"/>
                      <w:u w:val="single"/>
                      <w:lang w:eastAsia="en-US"/>
                    </w:rPr>
                  </w:pPr>
                </w:p>
              </w:tc>
              <w:tc>
                <w:tcPr>
                  <w:tcW w:w="1000" w:type="pct"/>
                  <w:tcBorders>
                    <w:top w:val="single" w:color="auto" w:sz="4" w:space="0"/>
                    <w:left w:val="single" w:color="auto" w:sz="4" w:space="0"/>
                    <w:bottom w:val="single" w:color="auto" w:sz="4" w:space="0"/>
                    <w:right w:val="single" w:color="auto" w:sz="4" w:space="0"/>
                  </w:tcBorders>
                  <w:vAlign w:val="center"/>
                </w:tcPr>
                <w:p w14:paraId="2B15EBA8">
                  <w:pPr>
                    <w:widowControl/>
                    <w:jc w:val="center"/>
                    <w:textAlignment w:val="center"/>
                    <w:rPr>
                      <w:color w:val="000000"/>
                      <w:sz w:val="22"/>
                      <w:u w:val="single"/>
                    </w:rPr>
                  </w:pPr>
                  <w:r>
                    <w:rPr>
                      <w:color w:val="000000"/>
                      <w:kern w:val="0"/>
                      <w:szCs w:val="21"/>
                      <w:lang w:bidi="ar"/>
                    </w:rPr>
                    <w:t>300</w:t>
                  </w:r>
                </w:p>
              </w:tc>
              <w:tc>
                <w:tcPr>
                  <w:tcW w:w="1000" w:type="pct"/>
                  <w:tcBorders>
                    <w:top w:val="single" w:color="auto" w:sz="4" w:space="0"/>
                    <w:left w:val="single" w:color="auto" w:sz="4" w:space="0"/>
                    <w:bottom w:val="single" w:color="auto" w:sz="4" w:space="0"/>
                    <w:right w:val="single" w:color="auto" w:sz="12" w:space="0"/>
                  </w:tcBorders>
                  <w:vAlign w:val="center"/>
                </w:tcPr>
                <w:p w14:paraId="0FDFADBD">
                  <w:pPr>
                    <w:widowControl/>
                    <w:jc w:val="center"/>
                    <w:textAlignment w:val="center"/>
                    <w:rPr>
                      <w:color w:val="000000"/>
                      <w:szCs w:val="21"/>
                      <w:u w:val="single"/>
                    </w:rPr>
                  </w:pPr>
                  <w:r>
                    <w:rPr>
                      <w:color w:val="000000"/>
                      <w:kern w:val="0"/>
                      <w:szCs w:val="21"/>
                      <w:lang w:bidi="ar"/>
                    </w:rPr>
                    <w:t>0.0000028</w:t>
                  </w:r>
                </w:p>
              </w:tc>
            </w:tr>
            <w:tr w14:paraId="1E7987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999" w:type="pct"/>
                  <w:vMerge w:val="continue"/>
                  <w:tcBorders>
                    <w:left w:val="single" w:color="auto" w:sz="12" w:space="0"/>
                    <w:right w:val="single" w:color="auto" w:sz="4" w:space="0"/>
                  </w:tcBorders>
                  <w:vAlign w:val="center"/>
                </w:tcPr>
                <w:p w14:paraId="23F414AC">
                  <w:pPr>
                    <w:jc w:val="center"/>
                    <w:rPr>
                      <w:snapToGrid w:val="0"/>
                      <w:szCs w:val="21"/>
                      <w:u w:val="single"/>
                      <w:lang w:eastAsia="en-US"/>
                    </w:rPr>
                  </w:pPr>
                </w:p>
              </w:tc>
              <w:tc>
                <w:tcPr>
                  <w:tcW w:w="999" w:type="pct"/>
                  <w:tcBorders>
                    <w:top w:val="single" w:color="auto" w:sz="4" w:space="0"/>
                    <w:left w:val="single" w:color="auto" w:sz="4" w:space="0"/>
                    <w:bottom w:val="single" w:color="auto" w:sz="4" w:space="0"/>
                    <w:right w:val="single" w:color="auto" w:sz="4" w:space="0"/>
                  </w:tcBorders>
                  <w:vAlign w:val="center"/>
                </w:tcPr>
                <w:p w14:paraId="51773A63">
                  <w:pPr>
                    <w:widowControl/>
                    <w:jc w:val="center"/>
                    <w:textAlignment w:val="center"/>
                    <w:rPr>
                      <w:kern w:val="0"/>
                      <w:szCs w:val="21"/>
                      <w:u w:val="single"/>
                      <w:lang w:eastAsia="en-US" w:bidi="ar"/>
                    </w:rPr>
                  </w:pPr>
                  <w:r>
                    <w:rPr>
                      <w:kern w:val="0"/>
                      <w:szCs w:val="21"/>
                      <w:u w:val="single"/>
                      <w:lang w:eastAsia="en-US" w:bidi="ar"/>
                    </w:rPr>
                    <w:t>SS</w:t>
                  </w:r>
                </w:p>
              </w:tc>
              <w:tc>
                <w:tcPr>
                  <w:tcW w:w="1000" w:type="pct"/>
                  <w:vMerge w:val="continue"/>
                  <w:tcBorders>
                    <w:left w:val="single" w:color="auto" w:sz="4" w:space="0"/>
                    <w:right w:val="single" w:color="auto" w:sz="4" w:space="0"/>
                  </w:tcBorders>
                  <w:vAlign w:val="center"/>
                </w:tcPr>
                <w:p w14:paraId="20F05F08">
                  <w:pPr>
                    <w:jc w:val="center"/>
                    <w:rPr>
                      <w:snapToGrid w:val="0"/>
                      <w:szCs w:val="21"/>
                      <w:u w:val="single"/>
                      <w:lang w:eastAsia="en-US"/>
                    </w:rPr>
                  </w:pPr>
                </w:p>
              </w:tc>
              <w:tc>
                <w:tcPr>
                  <w:tcW w:w="1000" w:type="pct"/>
                  <w:tcBorders>
                    <w:top w:val="single" w:color="auto" w:sz="4" w:space="0"/>
                    <w:left w:val="single" w:color="auto" w:sz="4" w:space="0"/>
                    <w:bottom w:val="single" w:color="auto" w:sz="4" w:space="0"/>
                    <w:right w:val="single" w:color="auto" w:sz="4" w:space="0"/>
                  </w:tcBorders>
                  <w:vAlign w:val="center"/>
                </w:tcPr>
                <w:p w14:paraId="3FCA76F0">
                  <w:pPr>
                    <w:widowControl/>
                    <w:jc w:val="center"/>
                    <w:textAlignment w:val="center"/>
                    <w:rPr>
                      <w:color w:val="000000"/>
                      <w:sz w:val="22"/>
                      <w:u w:val="single"/>
                    </w:rPr>
                  </w:pPr>
                  <w:r>
                    <w:rPr>
                      <w:color w:val="000000"/>
                      <w:kern w:val="0"/>
                      <w:szCs w:val="21"/>
                      <w:lang w:bidi="ar"/>
                    </w:rPr>
                    <w:t>350</w:t>
                  </w:r>
                </w:p>
              </w:tc>
              <w:tc>
                <w:tcPr>
                  <w:tcW w:w="1000" w:type="pct"/>
                  <w:tcBorders>
                    <w:top w:val="single" w:color="auto" w:sz="4" w:space="0"/>
                    <w:left w:val="single" w:color="auto" w:sz="4" w:space="0"/>
                    <w:bottom w:val="single" w:color="auto" w:sz="4" w:space="0"/>
                    <w:right w:val="single" w:color="auto" w:sz="12" w:space="0"/>
                  </w:tcBorders>
                  <w:vAlign w:val="center"/>
                </w:tcPr>
                <w:p w14:paraId="6341A285">
                  <w:pPr>
                    <w:widowControl/>
                    <w:jc w:val="center"/>
                    <w:textAlignment w:val="center"/>
                    <w:rPr>
                      <w:color w:val="000000"/>
                      <w:szCs w:val="21"/>
                      <w:u w:val="single"/>
                    </w:rPr>
                  </w:pPr>
                  <w:r>
                    <w:rPr>
                      <w:color w:val="000000"/>
                      <w:kern w:val="0"/>
                      <w:szCs w:val="21"/>
                      <w:lang w:bidi="ar"/>
                    </w:rPr>
                    <w:t>0.00012</w:t>
                  </w:r>
                </w:p>
              </w:tc>
            </w:tr>
            <w:tr w14:paraId="034990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tcBorders>
                    <w:left w:val="single" w:color="auto" w:sz="12" w:space="0"/>
                    <w:right w:val="single" w:color="auto" w:sz="4" w:space="0"/>
                  </w:tcBorders>
                  <w:vAlign w:val="center"/>
                </w:tcPr>
                <w:p w14:paraId="6BB88C47">
                  <w:pPr>
                    <w:jc w:val="center"/>
                    <w:rPr>
                      <w:snapToGrid w:val="0"/>
                      <w:szCs w:val="21"/>
                      <w:u w:val="single"/>
                      <w:lang w:eastAsia="en-US"/>
                    </w:rPr>
                  </w:pPr>
                </w:p>
              </w:tc>
              <w:tc>
                <w:tcPr>
                  <w:tcW w:w="999" w:type="pct"/>
                  <w:tcBorders>
                    <w:top w:val="single" w:color="auto" w:sz="4" w:space="0"/>
                    <w:left w:val="single" w:color="auto" w:sz="4" w:space="0"/>
                    <w:bottom w:val="single" w:color="auto" w:sz="4" w:space="0"/>
                    <w:right w:val="single" w:color="auto" w:sz="4" w:space="0"/>
                  </w:tcBorders>
                  <w:vAlign w:val="center"/>
                </w:tcPr>
                <w:p w14:paraId="74E90F0C">
                  <w:pPr>
                    <w:widowControl/>
                    <w:jc w:val="center"/>
                    <w:textAlignment w:val="center"/>
                    <w:rPr>
                      <w:kern w:val="0"/>
                      <w:szCs w:val="21"/>
                      <w:u w:val="single"/>
                      <w:lang w:eastAsia="en-US" w:bidi="ar"/>
                    </w:rPr>
                  </w:pPr>
                  <w:r>
                    <w:rPr>
                      <w:kern w:val="0"/>
                      <w:szCs w:val="21"/>
                      <w:u w:val="single"/>
                      <w:lang w:eastAsia="en-US" w:bidi="ar"/>
                    </w:rPr>
                    <w:t>BOD</w:t>
                  </w:r>
                </w:p>
              </w:tc>
              <w:tc>
                <w:tcPr>
                  <w:tcW w:w="1000" w:type="pct"/>
                  <w:vMerge w:val="continue"/>
                  <w:tcBorders>
                    <w:left w:val="single" w:color="auto" w:sz="4" w:space="0"/>
                    <w:right w:val="single" w:color="auto" w:sz="4" w:space="0"/>
                  </w:tcBorders>
                  <w:vAlign w:val="center"/>
                </w:tcPr>
                <w:p w14:paraId="0A1BC0B8">
                  <w:pPr>
                    <w:jc w:val="center"/>
                    <w:rPr>
                      <w:snapToGrid w:val="0"/>
                      <w:szCs w:val="21"/>
                      <w:u w:val="single"/>
                      <w:lang w:eastAsia="en-US"/>
                    </w:rPr>
                  </w:pPr>
                </w:p>
              </w:tc>
              <w:tc>
                <w:tcPr>
                  <w:tcW w:w="1000" w:type="pct"/>
                  <w:tcBorders>
                    <w:top w:val="single" w:color="auto" w:sz="4" w:space="0"/>
                    <w:left w:val="single" w:color="auto" w:sz="4" w:space="0"/>
                    <w:bottom w:val="single" w:color="auto" w:sz="4" w:space="0"/>
                    <w:right w:val="single" w:color="auto" w:sz="4" w:space="0"/>
                  </w:tcBorders>
                  <w:vAlign w:val="center"/>
                </w:tcPr>
                <w:p w14:paraId="7D3381B8">
                  <w:pPr>
                    <w:widowControl/>
                    <w:jc w:val="center"/>
                    <w:textAlignment w:val="center"/>
                    <w:rPr>
                      <w:color w:val="000000"/>
                      <w:sz w:val="22"/>
                      <w:u w:val="single"/>
                    </w:rPr>
                  </w:pPr>
                  <w:r>
                    <w:rPr>
                      <w:color w:val="000000"/>
                      <w:kern w:val="0"/>
                      <w:szCs w:val="21"/>
                      <w:lang w:bidi="ar"/>
                    </w:rPr>
                    <w:t>30</w:t>
                  </w:r>
                </w:p>
              </w:tc>
              <w:tc>
                <w:tcPr>
                  <w:tcW w:w="1000" w:type="pct"/>
                  <w:tcBorders>
                    <w:top w:val="single" w:color="auto" w:sz="4" w:space="0"/>
                    <w:left w:val="single" w:color="auto" w:sz="4" w:space="0"/>
                    <w:bottom w:val="single" w:color="auto" w:sz="4" w:space="0"/>
                    <w:right w:val="single" w:color="auto" w:sz="12" w:space="0"/>
                  </w:tcBorders>
                  <w:vAlign w:val="center"/>
                </w:tcPr>
                <w:p w14:paraId="73401E57">
                  <w:pPr>
                    <w:widowControl/>
                    <w:jc w:val="center"/>
                    <w:textAlignment w:val="center"/>
                    <w:rPr>
                      <w:color w:val="000000"/>
                      <w:szCs w:val="21"/>
                      <w:u w:val="single"/>
                    </w:rPr>
                  </w:pPr>
                  <w:r>
                    <w:rPr>
                      <w:color w:val="000000"/>
                      <w:kern w:val="0"/>
                      <w:szCs w:val="21"/>
                      <w:lang w:bidi="ar"/>
                    </w:rPr>
                    <w:t>0.00014</w:t>
                  </w:r>
                </w:p>
              </w:tc>
            </w:tr>
            <w:tr w14:paraId="1AD7D4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tcBorders>
                    <w:left w:val="single" w:color="auto" w:sz="12" w:space="0"/>
                    <w:right w:val="single" w:color="auto" w:sz="4" w:space="0"/>
                  </w:tcBorders>
                  <w:vAlign w:val="center"/>
                </w:tcPr>
                <w:p w14:paraId="6ED09DB8">
                  <w:pPr>
                    <w:jc w:val="center"/>
                    <w:rPr>
                      <w:snapToGrid w:val="0"/>
                      <w:szCs w:val="21"/>
                      <w:u w:val="single"/>
                      <w:lang w:eastAsia="en-US"/>
                    </w:rPr>
                  </w:pPr>
                </w:p>
              </w:tc>
              <w:tc>
                <w:tcPr>
                  <w:tcW w:w="999" w:type="pct"/>
                  <w:tcBorders>
                    <w:top w:val="single" w:color="auto" w:sz="4" w:space="0"/>
                    <w:left w:val="single" w:color="auto" w:sz="4" w:space="0"/>
                    <w:bottom w:val="single" w:color="auto" w:sz="4" w:space="0"/>
                    <w:right w:val="single" w:color="auto" w:sz="4" w:space="0"/>
                  </w:tcBorders>
                  <w:vAlign w:val="center"/>
                </w:tcPr>
                <w:p w14:paraId="5AFAA683">
                  <w:pPr>
                    <w:widowControl/>
                    <w:jc w:val="center"/>
                    <w:textAlignment w:val="center"/>
                    <w:rPr>
                      <w:kern w:val="0"/>
                      <w:szCs w:val="21"/>
                      <w:u w:val="single"/>
                      <w:lang w:eastAsia="en-US" w:bidi="ar"/>
                    </w:rPr>
                  </w:pPr>
                  <w:r>
                    <w:rPr>
                      <w:kern w:val="0"/>
                      <w:szCs w:val="21"/>
                      <w:u w:val="single"/>
                      <w:lang w:eastAsia="en-US" w:bidi="ar"/>
                    </w:rPr>
                    <w:t>动植物油</w:t>
                  </w:r>
                </w:p>
              </w:tc>
              <w:tc>
                <w:tcPr>
                  <w:tcW w:w="1000" w:type="pct"/>
                  <w:vMerge w:val="continue"/>
                  <w:tcBorders>
                    <w:left w:val="single" w:color="auto" w:sz="4" w:space="0"/>
                    <w:right w:val="single" w:color="auto" w:sz="4" w:space="0"/>
                  </w:tcBorders>
                  <w:vAlign w:val="center"/>
                </w:tcPr>
                <w:p w14:paraId="3980CD1B">
                  <w:pPr>
                    <w:jc w:val="center"/>
                    <w:rPr>
                      <w:snapToGrid w:val="0"/>
                      <w:szCs w:val="21"/>
                      <w:u w:val="single"/>
                      <w:lang w:eastAsia="en-US"/>
                    </w:rPr>
                  </w:pPr>
                </w:p>
              </w:tc>
              <w:tc>
                <w:tcPr>
                  <w:tcW w:w="1000" w:type="pct"/>
                  <w:tcBorders>
                    <w:top w:val="single" w:color="auto" w:sz="4" w:space="0"/>
                    <w:left w:val="single" w:color="auto" w:sz="4" w:space="0"/>
                    <w:bottom w:val="single" w:color="auto" w:sz="4" w:space="0"/>
                    <w:right w:val="single" w:color="auto" w:sz="4" w:space="0"/>
                  </w:tcBorders>
                  <w:vAlign w:val="center"/>
                </w:tcPr>
                <w:p w14:paraId="3F4E9B2D">
                  <w:pPr>
                    <w:widowControl/>
                    <w:jc w:val="center"/>
                    <w:textAlignment w:val="center"/>
                    <w:rPr>
                      <w:color w:val="000000"/>
                      <w:sz w:val="22"/>
                      <w:u w:val="single"/>
                    </w:rPr>
                  </w:pPr>
                  <w:r>
                    <w:rPr>
                      <w:color w:val="000000"/>
                      <w:kern w:val="0"/>
                      <w:sz w:val="22"/>
                      <w:lang w:bidi="ar"/>
                    </w:rPr>
                    <w:t>200</w:t>
                  </w:r>
                </w:p>
              </w:tc>
              <w:tc>
                <w:tcPr>
                  <w:tcW w:w="1000" w:type="pct"/>
                  <w:tcBorders>
                    <w:top w:val="single" w:color="auto" w:sz="4" w:space="0"/>
                    <w:left w:val="single" w:color="auto" w:sz="4" w:space="0"/>
                    <w:bottom w:val="single" w:color="auto" w:sz="4" w:space="0"/>
                    <w:right w:val="single" w:color="auto" w:sz="12" w:space="0"/>
                  </w:tcBorders>
                  <w:vAlign w:val="center"/>
                </w:tcPr>
                <w:p w14:paraId="3C5EB6F8">
                  <w:pPr>
                    <w:widowControl/>
                    <w:jc w:val="center"/>
                    <w:textAlignment w:val="center"/>
                    <w:rPr>
                      <w:color w:val="000000"/>
                      <w:szCs w:val="21"/>
                      <w:u w:val="single"/>
                    </w:rPr>
                  </w:pPr>
                  <w:r>
                    <w:rPr>
                      <w:color w:val="000000"/>
                      <w:kern w:val="0"/>
                      <w:szCs w:val="21"/>
                      <w:lang w:bidi="ar"/>
                    </w:rPr>
                    <w:t>0.000012</w:t>
                  </w:r>
                </w:p>
              </w:tc>
            </w:tr>
            <w:tr w14:paraId="4038ED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tcBorders>
                    <w:left w:val="single" w:color="auto" w:sz="12" w:space="0"/>
                    <w:bottom w:val="single" w:color="auto" w:sz="4" w:space="0"/>
                    <w:right w:val="single" w:color="auto" w:sz="4" w:space="0"/>
                  </w:tcBorders>
                  <w:vAlign w:val="center"/>
                </w:tcPr>
                <w:p w14:paraId="72F0CAAB">
                  <w:pPr>
                    <w:jc w:val="center"/>
                    <w:rPr>
                      <w:snapToGrid w:val="0"/>
                      <w:szCs w:val="21"/>
                      <w:u w:val="single"/>
                      <w:lang w:eastAsia="en-US"/>
                    </w:rPr>
                  </w:pPr>
                </w:p>
              </w:tc>
              <w:tc>
                <w:tcPr>
                  <w:tcW w:w="999" w:type="pct"/>
                  <w:tcBorders>
                    <w:top w:val="single" w:color="auto" w:sz="4" w:space="0"/>
                    <w:left w:val="single" w:color="auto" w:sz="4" w:space="0"/>
                    <w:bottom w:val="single" w:color="auto" w:sz="4" w:space="0"/>
                    <w:right w:val="single" w:color="auto" w:sz="4" w:space="0"/>
                  </w:tcBorders>
                  <w:vAlign w:val="center"/>
                </w:tcPr>
                <w:p w14:paraId="3FCCEC06">
                  <w:pPr>
                    <w:widowControl/>
                    <w:jc w:val="center"/>
                    <w:textAlignment w:val="center"/>
                    <w:rPr>
                      <w:kern w:val="0"/>
                      <w:szCs w:val="21"/>
                      <w:u w:val="single"/>
                      <w:lang w:eastAsia="en-US" w:bidi="ar"/>
                    </w:rPr>
                  </w:pPr>
                  <w:r>
                    <w:rPr>
                      <w:kern w:val="0"/>
                      <w:szCs w:val="21"/>
                      <w:u w:val="single"/>
                      <w:lang w:eastAsia="en-US" w:bidi="ar"/>
                    </w:rPr>
                    <w:t>氯化物</w:t>
                  </w:r>
                </w:p>
              </w:tc>
              <w:tc>
                <w:tcPr>
                  <w:tcW w:w="1000" w:type="pct"/>
                  <w:vMerge w:val="continue"/>
                  <w:tcBorders>
                    <w:left w:val="single" w:color="auto" w:sz="4" w:space="0"/>
                    <w:bottom w:val="single" w:color="auto" w:sz="4" w:space="0"/>
                    <w:right w:val="single" w:color="auto" w:sz="4" w:space="0"/>
                  </w:tcBorders>
                  <w:vAlign w:val="center"/>
                </w:tcPr>
                <w:p w14:paraId="4ED54E13">
                  <w:pPr>
                    <w:jc w:val="center"/>
                    <w:rPr>
                      <w:snapToGrid w:val="0"/>
                      <w:szCs w:val="21"/>
                      <w:u w:val="single"/>
                      <w:lang w:eastAsia="en-US"/>
                    </w:rPr>
                  </w:pPr>
                </w:p>
              </w:tc>
              <w:tc>
                <w:tcPr>
                  <w:tcW w:w="1000" w:type="pct"/>
                  <w:tcBorders>
                    <w:top w:val="single" w:color="auto" w:sz="4" w:space="0"/>
                    <w:left w:val="single" w:color="auto" w:sz="4" w:space="0"/>
                    <w:bottom w:val="single" w:color="auto" w:sz="4" w:space="0"/>
                    <w:right w:val="single" w:color="auto" w:sz="4" w:space="0"/>
                  </w:tcBorders>
                  <w:vAlign w:val="center"/>
                </w:tcPr>
                <w:p w14:paraId="72740635">
                  <w:pPr>
                    <w:widowControl/>
                    <w:jc w:val="center"/>
                    <w:textAlignment w:val="center"/>
                    <w:rPr>
                      <w:color w:val="000000"/>
                      <w:sz w:val="22"/>
                      <w:u w:val="single"/>
                    </w:rPr>
                  </w:pPr>
                  <w:r>
                    <w:rPr>
                      <w:color w:val="000000"/>
                      <w:kern w:val="0"/>
                      <w:szCs w:val="21"/>
                      <w:lang w:bidi="ar"/>
                    </w:rPr>
                    <w:t>600</w:t>
                  </w:r>
                </w:p>
              </w:tc>
              <w:tc>
                <w:tcPr>
                  <w:tcW w:w="1000" w:type="pct"/>
                  <w:tcBorders>
                    <w:top w:val="single" w:color="auto" w:sz="4" w:space="0"/>
                    <w:left w:val="single" w:color="auto" w:sz="4" w:space="0"/>
                    <w:bottom w:val="single" w:color="auto" w:sz="4" w:space="0"/>
                    <w:right w:val="single" w:color="auto" w:sz="12" w:space="0"/>
                  </w:tcBorders>
                  <w:vAlign w:val="center"/>
                </w:tcPr>
                <w:p w14:paraId="4E5FD55B">
                  <w:pPr>
                    <w:widowControl/>
                    <w:jc w:val="center"/>
                    <w:textAlignment w:val="center"/>
                    <w:rPr>
                      <w:color w:val="000000"/>
                      <w:szCs w:val="21"/>
                      <w:u w:val="single"/>
                    </w:rPr>
                  </w:pPr>
                  <w:r>
                    <w:rPr>
                      <w:color w:val="000000"/>
                      <w:kern w:val="0"/>
                      <w:szCs w:val="21"/>
                      <w:lang w:bidi="ar"/>
                    </w:rPr>
                    <w:t>0.00008</w:t>
                  </w:r>
                </w:p>
              </w:tc>
            </w:tr>
            <w:tr w14:paraId="30A5B3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restart"/>
                  <w:tcBorders>
                    <w:top w:val="single" w:color="auto" w:sz="4" w:space="0"/>
                    <w:left w:val="single" w:color="auto" w:sz="12" w:space="0"/>
                    <w:bottom w:val="single" w:color="auto" w:sz="12" w:space="0"/>
                    <w:right w:val="single" w:color="auto" w:sz="4" w:space="0"/>
                  </w:tcBorders>
                  <w:vAlign w:val="center"/>
                </w:tcPr>
                <w:p w14:paraId="79803967">
                  <w:pPr>
                    <w:jc w:val="center"/>
                    <w:rPr>
                      <w:szCs w:val="21"/>
                      <w:u w:val="single"/>
                      <w:lang w:eastAsia="en-US"/>
                    </w:rPr>
                  </w:pPr>
                  <w:r>
                    <w:rPr>
                      <w:szCs w:val="21"/>
                      <w:u w:val="single"/>
                      <w:lang w:bidi="ar"/>
                    </w:rPr>
                    <w:t>生产</w:t>
                  </w:r>
                  <w:r>
                    <w:rPr>
                      <w:szCs w:val="21"/>
                      <w:u w:val="single"/>
                      <w:lang w:eastAsia="en-US" w:bidi="ar"/>
                    </w:rPr>
                    <w:t>废水</w:t>
                  </w:r>
                </w:p>
              </w:tc>
              <w:tc>
                <w:tcPr>
                  <w:tcW w:w="999" w:type="pct"/>
                  <w:tcBorders>
                    <w:top w:val="single" w:color="auto" w:sz="4" w:space="0"/>
                    <w:left w:val="single" w:color="auto" w:sz="4" w:space="0"/>
                    <w:bottom w:val="single" w:color="auto" w:sz="4" w:space="0"/>
                    <w:right w:val="single" w:color="auto" w:sz="4" w:space="0"/>
                  </w:tcBorders>
                  <w:vAlign w:val="center"/>
                </w:tcPr>
                <w:p w14:paraId="7E0835F7">
                  <w:pPr>
                    <w:adjustRightInd w:val="0"/>
                    <w:jc w:val="center"/>
                    <w:rPr>
                      <w:bCs/>
                      <w:szCs w:val="21"/>
                      <w:u w:val="single"/>
                      <w:lang w:eastAsia="en-US"/>
                    </w:rPr>
                  </w:pPr>
                  <w:r>
                    <w:rPr>
                      <w:bCs/>
                      <w:szCs w:val="21"/>
                      <w:u w:val="single"/>
                      <w:lang w:eastAsia="en-US" w:bidi="ar"/>
                    </w:rPr>
                    <w:t>pH</w:t>
                  </w:r>
                </w:p>
              </w:tc>
              <w:tc>
                <w:tcPr>
                  <w:tcW w:w="1000" w:type="pct"/>
                  <w:vMerge w:val="restart"/>
                  <w:tcBorders>
                    <w:top w:val="single" w:color="auto" w:sz="4" w:space="0"/>
                    <w:left w:val="single" w:color="auto" w:sz="4" w:space="0"/>
                    <w:bottom w:val="single" w:color="auto" w:sz="12" w:space="0"/>
                    <w:right w:val="single" w:color="auto" w:sz="4" w:space="0"/>
                  </w:tcBorders>
                  <w:vAlign w:val="center"/>
                </w:tcPr>
                <w:p w14:paraId="54072DF5">
                  <w:pPr>
                    <w:jc w:val="center"/>
                    <w:rPr>
                      <w:szCs w:val="21"/>
                      <w:u w:val="single"/>
                    </w:rPr>
                  </w:pPr>
                  <w:r>
                    <w:rPr>
                      <w:rFonts w:hint="eastAsia"/>
                      <w:szCs w:val="21"/>
                      <w:u w:val="single"/>
                      <w:lang w:bidi="ar"/>
                    </w:rPr>
                    <w:t>77868.5</w:t>
                  </w:r>
                </w:p>
              </w:tc>
              <w:tc>
                <w:tcPr>
                  <w:tcW w:w="1000" w:type="pct"/>
                  <w:tcBorders>
                    <w:top w:val="single" w:color="auto" w:sz="4" w:space="0"/>
                    <w:left w:val="single" w:color="auto" w:sz="4" w:space="0"/>
                    <w:bottom w:val="single" w:color="auto" w:sz="4" w:space="0"/>
                    <w:right w:val="single" w:color="auto" w:sz="4" w:space="0"/>
                  </w:tcBorders>
                  <w:vAlign w:val="center"/>
                </w:tcPr>
                <w:p w14:paraId="5D871A22">
                  <w:pPr>
                    <w:widowControl/>
                    <w:jc w:val="center"/>
                    <w:textAlignment w:val="center"/>
                    <w:rPr>
                      <w:bCs/>
                      <w:szCs w:val="21"/>
                      <w:u w:val="single"/>
                      <w:lang w:eastAsia="en-US" w:bidi="ar"/>
                    </w:rPr>
                  </w:pPr>
                  <w:r>
                    <w:rPr>
                      <w:kern w:val="0"/>
                      <w:szCs w:val="21"/>
                      <w:u w:val="single"/>
                      <w:lang w:eastAsia="en-US" w:bidi="ar"/>
                    </w:rPr>
                    <w:t>6-9</w:t>
                  </w:r>
                </w:p>
              </w:tc>
              <w:tc>
                <w:tcPr>
                  <w:tcW w:w="1000" w:type="pct"/>
                  <w:tcBorders>
                    <w:top w:val="single" w:color="auto" w:sz="4" w:space="0"/>
                    <w:left w:val="single" w:color="auto" w:sz="4" w:space="0"/>
                    <w:bottom w:val="single" w:color="auto" w:sz="4" w:space="0"/>
                    <w:right w:val="single" w:color="auto" w:sz="12" w:space="0"/>
                  </w:tcBorders>
                  <w:vAlign w:val="center"/>
                </w:tcPr>
                <w:p w14:paraId="007F6A42">
                  <w:pPr>
                    <w:adjustRightInd w:val="0"/>
                    <w:jc w:val="center"/>
                    <w:rPr>
                      <w:bCs/>
                      <w:szCs w:val="21"/>
                      <w:u w:val="single"/>
                      <w:lang w:eastAsia="en-US" w:bidi="ar"/>
                    </w:rPr>
                  </w:pPr>
                  <w:r>
                    <w:rPr>
                      <w:bCs/>
                      <w:szCs w:val="21"/>
                      <w:u w:val="single"/>
                      <w:lang w:eastAsia="en-US" w:bidi="ar"/>
                    </w:rPr>
                    <w:t>/</w:t>
                  </w:r>
                </w:p>
              </w:tc>
            </w:tr>
            <w:tr w14:paraId="5F8A68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tcBorders>
                    <w:top w:val="single" w:color="auto" w:sz="4" w:space="0"/>
                    <w:left w:val="single" w:color="auto" w:sz="12" w:space="0"/>
                    <w:bottom w:val="single" w:color="auto" w:sz="12" w:space="0"/>
                    <w:right w:val="single" w:color="auto" w:sz="4" w:space="0"/>
                  </w:tcBorders>
                  <w:vAlign w:val="center"/>
                </w:tcPr>
                <w:p w14:paraId="7393C0AE">
                  <w:pPr>
                    <w:jc w:val="center"/>
                    <w:rPr>
                      <w:snapToGrid w:val="0"/>
                      <w:szCs w:val="21"/>
                      <w:u w:val="single"/>
                      <w:lang w:eastAsia="en-US"/>
                    </w:rPr>
                  </w:pPr>
                </w:p>
              </w:tc>
              <w:tc>
                <w:tcPr>
                  <w:tcW w:w="999" w:type="pct"/>
                  <w:tcBorders>
                    <w:top w:val="single" w:color="auto" w:sz="4" w:space="0"/>
                    <w:left w:val="single" w:color="auto" w:sz="4" w:space="0"/>
                    <w:bottom w:val="single" w:color="auto" w:sz="4" w:space="0"/>
                    <w:right w:val="single" w:color="auto" w:sz="4" w:space="0"/>
                  </w:tcBorders>
                  <w:vAlign w:val="center"/>
                </w:tcPr>
                <w:p w14:paraId="34646073">
                  <w:pPr>
                    <w:widowControl/>
                    <w:jc w:val="center"/>
                    <w:textAlignment w:val="center"/>
                    <w:rPr>
                      <w:bCs/>
                      <w:szCs w:val="21"/>
                      <w:u w:val="single"/>
                      <w:lang w:eastAsia="en-US"/>
                    </w:rPr>
                  </w:pPr>
                  <w:r>
                    <w:rPr>
                      <w:kern w:val="0"/>
                      <w:szCs w:val="21"/>
                      <w:u w:val="single"/>
                      <w:lang w:eastAsia="en-US" w:bidi="ar"/>
                    </w:rPr>
                    <w:t>COD</w:t>
                  </w:r>
                </w:p>
              </w:tc>
              <w:tc>
                <w:tcPr>
                  <w:tcW w:w="1000" w:type="pct"/>
                  <w:vMerge w:val="continue"/>
                  <w:tcBorders>
                    <w:top w:val="single" w:color="auto" w:sz="4" w:space="0"/>
                    <w:left w:val="single" w:color="auto" w:sz="4" w:space="0"/>
                    <w:bottom w:val="single" w:color="auto" w:sz="12" w:space="0"/>
                    <w:right w:val="single" w:color="auto" w:sz="4" w:space="0"/>
                  </w:tcBorders>
                  <w:vAlign w:val="center"/>
                </w:tcPr>
                <w:p w14:paraId="79F885FB">
                  <w:pPr>
                    <w:jc w:val="center"/>
                    <w:rPr>
                      <w:snapToGrid w:val="0"/>
                      <w:szCs w:val="21"/>
                      <w:u w:val="single"/>
                      <w:lang w:eastAsia="en-US"/>
                    </w:rPr>
                  </w:pPr>
                </w:p>
              </w:tc>
              <w:tc>
                <w:tcPr>
                  <w:tcW w:w="1000" w:type="pct"/>
                  <w:tcBorders>
                    <w:top w:val="single" w:color="auto" w:sz="4" w:space="0"/>
                    <w:left w:val="single" w:color="auto" w:sz="4" w:space="0"/>
                    <w:bottom w:val="single" w:color="auto" w:sz="4" w:space="0"/>
                    <w:right w:val="single" w:color="auto" w:sz="4" w:space="0"/>
                  </w:tcBorders>
                  <w:vAlign w:val="center"/>
                </w:tcPr>
                <w:p w14:paraId="3943452C">
                  <w:pPr>
                    <w:widowControl/>
                    <w:jc w:val="center"/>
                    <w:textAlignment w:val="center"/>
                    <w:rPr>
                      <w:color w:val="000000"/>
                      <w:kern w:val="0"/>
                      <w:sz w:val="22"/>
                      <w:u w:val="single"/>
                    </w:rPr>
                  </w:pPr>
                  <w:r>
                    <w:rPr>
                      <w:color w:val="000000"/>
                      <w:kern w:val="0"/>
                      <w:sz w:val="22"/>
                      <w:u w:val="single"/>
                      <w:lang w:bidi="ar"/>
                    </w:rPr>
                    <w:t xml:space="preserve">3393.20 </w:t>
                  </w:r>
                </w:p>
              </w:tc>
              <w:tc>
                <w:tcPr>
                  <w:tcW w:w="1000" w:type="pct"/>
                  <w:tcBorders>
                    <w:top w:val="single" w:color="auto" w:sz="4" w:space="0"/>
                    <w:left w:val="single" w:color="auto" w:sz="4" w:space="0"/>
                    <w:bottom w:val="single" w:color="auto" w:sz="4" w:space="0"/>
                    <w:right w:val="single" w:color="auto" w:sz="12" w:space="0"/>
                  </w:tcBorders>
                  <w:vAlign w:val="center"/>
                </w:tcPr>
                <w:p w14:paraId="48DCAAF5">
                  <w:pPr>
                    <w:widowControl/>
                    <w:jc w:val="center"/>
                    <w:textAlignment w:val="center"/>
                    <w:rPr>
                      <w:color w:val="000000"/>
                      <w:kern w:val="0"/>
                      <w:sz w:val="22"/>
                      <w:u w:val="single"/>
                    </w:rPr>
                  </w:pPr>
                  <w:r>
                    <w:rPr>
                      <w:color w:val="000000"/>
                      <w:kern w:val="0"/>
                      <w:sz w:val="22"/>
                      <w:u w:val="single"/>
                      <w:lang w:bidi="ar"/>
                    </w:rPr>
                    <w:t xml:space="preserve">264.223 </w:t>
                  </w:r>
                </w:p>
              </w:tc>
            </w:tr>
            <w:tr w14:paraId="26A76A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tcBorders>
                    <w:top w:val="single" w:color="auto" w:sz="4" w:space="0"/>
                    <w:left w:val="single" w:color="auto" w:sz="12" w:space="0"/>
                    <w:bottom w:val="single" w:color="auto" w:sz="12" w:space="0"/>
                    <w:right w:val="single" w:color="auto" w:sz="4" w:space="0"/>
                  </w:tcBorders>
                  <w:vAlign w:val="center"/>
                </w:tcPr>
                <w:p w14:paraId="695C7C5A">
                  <w:pPr>
                    <w:jc w:val="center"/>
                    <w:rPr>
                      <w:snapToGrid w:val="0"/>
                      <w:szCs w:val="21"/>
                      <w:u w:val="single"/>
                      <w:lang w:eastAsia="en-US"/>
                    </w:rPr>
                  </w:pPr>
                </w:p>
              </w:tc>
              <w:tc>
                <w:tcPr>
                  <w:tcW w:w="999" w:type="pct"/>
                  <w:tcBorders>
                    <w:top w:val="single" w:color="auto" w:sz="4" w:space="0"/>
                    <w:left w:val="single" w:color="auto" w:sz="4" w:space="0"/>
                    <w:bottom w:val="single" w:color="auto" w:sz="4" w:space="0"/>
                    <w:right w:val="single" w:color="auto" w:sz="4" w:space="0"/>
                  </w:tcBorders>
                  <w:vAlign w:val="center"/>
                </w:tcPr>
                <w:p w14:paraId="7DEBA031">
                  <w:pPr>
                    <w:widowControl/>
                    <w:jc w:val="center"/>
                    <w:textAlignment w:val="center"/>
                    <w:rPr>
                      <w:bCs/>
                      <w:szCs w:val="21"/>
                      <w:u w:val="single"/>
                      <w:lang w:eastAsia="en-US"/>
                    </w:rPr>
                  </w:pPr>
                  <w:r>
                    <w:rPr>
                      <w:kern w:val="0"/>
                      <w:szCs w:val="21"/>
                      <w:u w:val="single"/>
                      <w:lang w:eastAsia="en-US" w:bidi="ar"/>
                    </w:rPr>
                    <w:t>氨氮</w:t>
                  </w:r>
                </w:p>
              </w:tc>
              <w:tc>
                <w:tcPr>
                  <w:tcW w:w="1000" w:type="pct"/>
                  <w:vMerge w:val="continue"/>
                  <w:tcBorders>
                    <w:top w:val="single" w:color="auto" w:sz="4" w:space="0"/>
                    <w:left w:val="single" w:color="auto" w:sz="4" w:space="0"/>
                    <w:bottom w:val="single" w:color="auto" w:sz="12" w:space="0"/>
                    <w:right w:val="single" w:color="auto" w:sz="4" w:space="0"/>
                  </w:tcBorders>
                  <w:vAlign w:val="center"/>
                </w:tcPr>
                <w:p w14:paraId="6C51BBDD">
                  <w:pPr>
                    <w:jc w:val="center"/>
                    <w:rPr>
                      <w:snapToGrid w:val="0"/>
                      <w:szCs w:val="21"/>
                      <w:u w:val="single"/>
                      <w:lang w:eastAsia="en-US"/>
                    </w:rPr>
                  </w:pPr>
                </w:p>
              </w:tc>
              <w:tc>
                <w:tcPr>
                  <w:tcW w:w="1000" w:type="pct"/>
                  <w:tcBorders>
                    <w:top w:val="single" w:color="auto" w:sz="4" w:space="0"/>
                    <w:left w:val="single" w:color="auto" w:sz="4" w:space="0"/>
                    <w:bottom w:val="single" w:color="auto" w:sz="4" w:space="0"/>
                    <w:right w:val="single" w:color="auto" w:sz="4" w:space="0"/>
                  </w:tcBorders>
                  <w:vAlign w:val="center"/>
                </w:tcPr>
                <w:p w14:paraId="2E773E5E">
                  <w:pPr>
                    <w:widowControl/>
                    <w:jc w:val="center"/>
                    <w:textAlignment w:val="center"/>
                    <w:rPr>
                      <w:color w:val="000000"/>
                      <w:sz w:val="22"/>
                      <w:u w:val="single"/>
                    </w:rPr>
                  </w:pPr>
                  <w:r>
                    <w:rPr>
                      <w:color w:val="000000"/>
                      <w:kern w:val="0"/>
                      <w:sz w:val="22"/>
                      <w:u w:val="single"/>
                      <w:lang w:bidi="ar"/>
                    </w:rPr>
                    <w:t xml:space="preserve">56.27 </w:t>
                  </w:r>
                </w:p>
              </w:tc>
              <w:tc>
                <w:tcPr>
                  <w:tcW w:w="1000" w:type="pct"/>
                  <w:tcBorders>
                    <w:top w:val="single" w:color="auto" w:sz="4" w:space="0"/>
                    <w:left w:val="single" w:color="auto" w:sz="4" w:space="0"/>
                    <w:bottom w:val="single" w:color="auto" w:sz="4" w:space="0"/>
                    <w:right w:val="single" w:color="auto" w:sz="12" w:space="0"/>
                  </w:tcBorders>
                  <w:vAlign w:val="center"/>
                </w:tcPr>
                <w:p w14:paraId="0CFA10BA">
                  <w:pPr>
                    <w:widowControl/>
                    <w:jc w:val="center"/>
                    <w:textAlignment w:val="center"/>
                    <w:rPr>
                      <w:color w:val="000000"/>
                      <w:sz w:val="22"/>
                      <w:u w:val="single"/>
                    </w:rPr>
                  </w:pPr>
                  <w:r>
                    <w:rPr>
                      <w:color w:val="000000"/>
                      <w:kern w:val="0"/>
                      <w:sz w:val="22"/>
                      <w:u w:val="single"/>
                      <w:lang w:bidi="ar"/>
                    </w:rPr>
                    <w:t xml:space="preserve">4.382 </w:t>
                  </w:r>
                </w:p>
              </w:tc>
            </w:tr>
            <w:tr w14:paraId="0C366B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tcBorders>
                    <w:top w:val="single" w:color="auto" w:sz="4" w:space="0"/>
                    <w:left w:val="single" w:color="auto" w:sz="12" w:space="0"/>
                    <w:bottom w:val="single" w:color="auto" w:sz="12" w:space="0"/>
                    <w:right w:val="single" w:color="auto" w:sz="4" w:space="0"/>
                  </w:tcBorders>
                  <w:vAlign w:val="center"/>
                </w:tcPr>
                <w:p w14:paraId="77AC8F75">
                  <w:pPr>
                    <w:jc w:val="center"/>
                    <w:rPr>
                      <w:snapToGrid w:val="0"/>
                      <w:szCs w:val="21"/>
                      <w:u w:val="single"/>
                      <w:lang w:eastAsia="en-US"/>
                    </w:rPr>
                  </w:pPr>
                </w:p>
              </w:tc>
              <w:tc>
                <w:tcPr>
                  <w:tcW w:w="999" w:type="pct"/>
                  <w:tcBorders>
                    <w:top w:val="single" w:color="auto" w:sz="4" w:space="0"/>
                    <w:left w:val="single" w:color="auto" w:sz="4" w:space="0"/>
                    <w:bottom w:val="single" w:color="auto" w:sz="4" w:space="0"/>
                    <w:right w:val="single" w:color="auto" w:sz="4" w:space="0"/>
                  </w:tcBorders>
                  <w:vAlign w:val="center"/>
                </w:tcPr>
                <w:p w14:paraId="2431C9D1">
                  <w:pPr>
                    <w:widowControl/>
                    <w:jc w:val="center"/>
                    <w:textAlignment w:val="center"/>
                    <w:rPr>
                      <w:bCs/>
                      <w:szCs w:val="21"/>
                      <w:u w:val="single"/>
                      <w:lang w:eastAsia="en-US"/>
                    </w:rPr>
                  </w:pPr>
                  <w:r>
                    <w:rPr>
                      <w:kern w:val="0"/>
                      <w:szCs w:val="21"/>
                      <w:u w:val="single"/>
                      <w:lang w:eastAsia="en-US" w:bidi="ar"/>
                    </w:rPr>
                    <w:t>总氮</w:t>
                  </w:r>
                </w:p>
              </w:tc>
              <w:tc>
                <w:tcPr>
                  <w:tcW w:w="1000" w:type="pct"/>
                  <w:vMerge w:val="continue"/>
                  <w:tcBorders>
                    <w:top w:val="single" w:color="auto" w:sz="4" w:space="0"/>
                    <w:left w:val="single" w:color="auto" w:sz="4" w:space="0"/>
                    <w:bottom w:val="single" w:color="auto" w:sz="12" w:space="0"/>
                    <w:right w:val="single" w:color="auto" w:sz="4" w:space="0"/>
                  </w:tcBorders>
                  <w:vAlign w:val="center"/>
                </w:tcPr>
                <w:p w14:paraId="20ABF633">
                  <w:pPr>
                    <w:jc w:val="center"/>
                    <w:rPr>
                      <w:snapToGrid w:val="0"/>
                      <w:szCs w:val="21"/>
                      <w:u w:val="single"/>
                      <w:lang w:eastAsia="en-US"/>
                    </w:rPr>
                  </w:pPr>
                </w:p>
              </w:tc>
              <w:tc>
                <w:tcPr>
                  <w:tcW w:w="1000" w:type="pct"/>
                  <w:tcBorders>
                    <w:top w:val="single" w:color="auto" w:sz="4" w:space="0"/>
                    <w:left w:val="single" w:color="auto" w:sz="4" w:space="0"/>
                    <w:bottom w:val="single" w:color="auto" w:sz="4" w:space="0"/>
                    <w:right w:val="single" w:color="auto" w:sz="4" w:space="0"/>
                  </w:tcBorders>
                  <w:vAlign w:val="center"/>
                </w:tcPr>
                <w:p w14:paraId="3276AAD1">
                  <w:pPr>
                    <w:widowControl/>
                    <w:jc w:val="center"/>
                    <w:textAlignment w:val="center"/>
                    <w:rPr>
                      <w:color w:val="000000"/>
                      <w:sz w:val="22"/>
                      <w:u w:val="single"/>
                    </w:rPr>
                  </w:pPr>
                  <w:r>
                    <w:rPr>
                      <w:color w:val="000000"/>
                      <w:kern w:val="0"/>
                      <w:sz w:val="22"/>
                      <w:u w:val="single"/>
                      <w:lang w:bidi="ar"/>
                    </w:rPr>
                    <w:t xml:space="preserve">166.53 </w:t>
                  </w:r>
                </w:p>
              </w:tc>
              <w:tc>
                <w:tcPr>
                  <w:tcW w:w="1000" w:type="pct"/>
                  <w:tcBorders>
                    <w:top w:val="single" w:color="auto" w:sz="4" w:space="0"/>
                    <w:left w:val="single" w:color="auto" w:sz="4" w:space="0"/>
                    <w:bottom w:val="single" w:color="auto" w:sz="4" w:space="0"/>
                    <w:right w:val="single" w:color="auto" w:sz="12" w:space="0"/>
                  </w:tcBorders>
                  <w:vAlign w:val="center"/>
                </w:tcPr>
                <w:p w14:paraId="54B65953">
                  <w:pPr>
                    <w:widowControl/>
                    <w:jc w:val="center"/>
                    <w:textAlignment w:val="center"/>
                    <w:rPr>
                      <w:color w:val="000000"/>
                      <w:sz w:val="22"/>
                      <w:u w:val="single"/>
                    </w:rPr>
                  </w:pPr>
                  <w:r>
                    <w:rPr>
                      <w:color w:val="000000"/>
                      <w:kern w:val="0"/>
                      <w:sz w:val="22"/>
                      <w:u w:val="single"/>
                      <w:lang w:bidi="ar"/>
                    </w:rPr>
                    <w:t xml:space="preserve">12.967 </w:t>
                  </w:r>
                </w:p>
              </w:tc>
            </w:tr>
            <w:tr w14:paraId="1C16CD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tcBorders>
                    <w:top w:val="single" w:color="auto" w:sz="4" w:space="0"/>
                    <w:left w:val="single" w:color="auto" w:sz="12" w:space="0"/>
                    <w:bottom w:val="single" w:color="auto" w:sz="12" w:space="0"/>
                    <w:right w:val="single" w:color="auto" w:sz="4" w:space="0"/>
                  </w:tcBorders>
                  <w:vAlign w:val="center"/>
                </w:tcPr>
                <w:p w14:paraId="080C8A82">
                  <w:pPr>
                    <w:jc w:val="center"/>
                    <w:rPr>
                      <w:snapToGrid w:val="0"/>
                      <w:szCs w:val="21"/>
                      <w:u w:val="single"/>
                      <w:lang w:eastAsia="en-US"/>
                    </w:rPr>
                  </w:pPr>
                </w:p>
              </w:tc>
              <w:tc>
                <w:tcPr>
                  <w:tcW w:w="999" w:type="pct"/>
                  <w:tcBorders>
                    <w:top w:val="single" w:color="auto" w:sz="4" w:space="0"/>
                    <w:left w:val="single" w:color="auto" w:sz="4" w:space="0"/>
                    <w:bottom w:val="single" w:color="auto" w:sz="4" w:space="0"/>
                    <w:right w:val="single" w:color="auto" w:sz="4" w:space="0"/>
                  </w:tcBorders>
                  <w:vAlign w:val="center"/>
                </w:tcPr>
                <w:p w14:paraId="615FF718">
                  <w:pPr>
                    <w:widowControl/>
                    <w:jc w:val="center"/>
                    <w:textAlignment w:val="center"/>
                    <w:rPr>
                      <w:bCs/>
                      <w:szCs w:val="21"/>
                      <w:u w:val="single"/>
                      <w:lang w:eastAsia="en-US"/>
                    </w:rPr>
                  </w:pPr>
                  <w:r>
                    <w:rPr>
                      <w:kern w:val="0"/>
                      <w:szCs w:val="21"/>
                      <w:u w:val="single"/>
                      <w:lang w:eastAsia="en-US" w:bidi="ar"/>
                    </w:rPr>
                    <w:t>总磷</w:t>
                  </w:r>
                </w:p>
              </w:tc>
              <w:tc>
                <w:tcPr>
                  <w:tcW w:w="1000" w:type="pct"/>
                  <w:vMerge w:val="continue"/>
                  <w:tcBorders>
                    <w:top w:val="single" w:color="auto" w:sz="4" w:space="0"/>
                    <w:left w:val="single" w:color="auto" w:sz="4" w:space="0"/>
                    <w:bottom w:val="single" w:color="auto" w:sz="12" w:space="0"/>
                    <w:right w:val="single" w:color="auto" w:sz="4" w:space="0"/>
                  </w:tcBorders>
                  <w:vAlign w:val="center"/>
                </w:tcPr>
                <w:p w14:paraId="77649433">
                  <w:pPr>
                    <w:jc w:val="center"/>
                    <w:rPr>
                      <w:snapToGrid w:val="0"/>
                      <w:szCs w:val="21"/>
                      <w:u w:val="single"/>
                      <w:lang w:eastAsia="en-US"/>
                    </w:rPr>
                  </w:pPr>
                </w:p>
              </w:tc>
              <w:tc>
                <w:tcPr>
                  <w:tcW w:w="1000" w:type="pct"/>
                  <w:tcBorders>
                    <w:top w:val="single" w:color="auto" w:sz="4" w:space="0"/>
                    <w:left w:val="single" w:color="auto" w:sz="4" w:space="0"/>
                    <w:bottom w:val="single" w:color="auto" w:sz="4" w:space="0"/>
                    <w:right w:val="single" w:color="auto" w:sz="4" w:space="0"/>
                  </w:tcBorders>
                  <w:vAlign w:val="center"/>
                </w:tcPr>
                <w:p w14:paraId="128D4439">
                  <w:pPr>
                    <w:widowControl/>
                    <w:jc w:val="center"/>
                    <w:textAlignment w:val="center"/>
                    <w:rPr>
                      <w:color w:val="000000"/>
                      <w:sz w:val="22"/>
                      <w:u w:val="single"/>
                    </w:rPr>
                  </w:pPr>
                  <w:r>
                    <w:rPr>
                      <w:color w:val="000000"/>
                      <w:kern w:val="0"/>
                      <w:sz w:val="22"/>
                      <w:u w:val="single"/>
                      <w:lang w:bidi="ar"/>
                    </w:rPr>
                    <w:t xml:space="preserve">52.94 </w:t>
                  </w:r>
                </w:p>
              </w:tc>
              <w:tc>
                <w:tcPr>
                  <w:tcW w:w="1000" w:type="pct"/>
                  <w:tcBorders>
                    <w:top w:val="single" w:color="auto" w:sz="4" w:space="0"/>
                    <w:left w:val="single" w:color="auto" w:sz="4" w:space="0"/>
                    <w:bottom w:val="single" w:color="auto" w:sz="4" w:space="0"/>
                    <w:right w:val="single" w:color="auto" w:sz="12" w:space="0"/>
                  </w:tcBorders>
                  <w:vAlign w:val="center"/>
                </w:tcPr>
                <w:p w14:paraId="5ADF772E">
                  <w:pPr>
                    <w:widowControl/>
                    <w:jc w:val="center"/>
                    <w:textAlignment w:val="center"/>
                    <w:rPr>
                      <w:color w:val="000000"/>
                      <w:sz w:val="22"/>
                      <w:u w:val="single"/>
                    </w:rPr>
                  </w:pPr>
                  <w:r>
                    <w:rPr>
                      <w:color w:val="000000"/>
                      <w:kern w:val="0"/>
                      <w:sz w:val="22"/>
                      <w:u w:val="single"/>
                      <w:lang w:bidi="ar"/>
                    </w:rPr>
                    <w:t xml:space="preserve">4.122 </w:t>
                  </w:r>
                </w:p>
              </w:tc>
            </w:tr>
            <w:tr w14:paraId="34C277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tcBorders>
                    <w:top w:val="single" w:color="auto" w:sz="4" w:space="0"/>
                    <w:left w:val="single" w:color="auto" w:sz="12" w:space="0"/>
                    <w:bottom w:val="single" w:color="auto" w:sz="12" w:space="0"/>
                    <w:right w:val="single" w:color="auto" w:sz="4" w:space="0"/>
                  </w:tcBorders>
                  <w:vAlign w:val="center"/>
                </w:tcPr>
                <w:p w14:paraId="32A9C852">
                  <w:pPr>
                    <w:jc w:val="center"/>
                    <w:rPr>
                      <w:snapToGrid w:val="0"/>
                      <w:szCs w:val="21"/>
                      <w:u w:val="single"/>
                      <w:lang w:eastAsia="en-US"/>
                    </w:rPr>
                  </w:pPr>
                </w:p>
              </w:tc>
              <w:tc>
                <w:tcPr>
                  <w:tcW w:w="999" w:type="pct"/>
                  <w:tcBorders>
                    <w:top w:val="single" w:color="auto" w:sz="4" w:space="0"/>
                    <w:left w:val="single" w:color="auto" w:sz="4" w:space="0"/>
                    <w:bottom w:val="single" w:color="auto" w:sz="4" w:space="0"/>
                    <w:right w:val="single" w:color="auto" w:sz="4" w:space="0"/>
                  </w:tcBorders>
                  <w:vAlign w:val="center"/>
                </w:tcPr>
                <w:p w14:paraId="689D868C">
                  <w:pPr>
                    <w:widowControl/>
                    <w:jc w:val="center"/>
                    <w:textAlignment w:val="center"/>
                    <w:rPr>
                      <w:kern w:val="0"/>
                      <w:szCs w:val="21"/>
                      <w:u w:val="single"/>
                      <w:lang w:eastAsia="en-US" w:bidi="ar"/>
                    </w:rPr>
                  </w:pPr>
                  <w:r>
                    <w:rPr>
                      <w:kern w:val="0"/>
                      <w:szCs w:val="21"/>
                      <w:u w:val="single"/>
                      <w:lang w:eastAsia="en-US" w:bidi="ar"/>
                    </w:rPr>
                    <w:t>SS</w:t>
                  </w:r>
                </w:p>
              </w:tc>
              <w:tc>
                <w:tcPr>
                  <w:tcW w:w="1000" w:type="pct"/>
                  <w:vMerge w:val="continue"/>
                  <w:tcBorders>
                    <w:top w:val="single" w:color="auto" w:sz="4" w:space="0"/>
                    <w:left w:val="single" w:color="auto" w:sz="4" w:space="0"/>
                    <w:bottom w:val="single" w:color="auto" w:sz="12" w:space="0"/>
                    <w:right w:val="single" w:color="auto" w:sz="4" w:space="0"/>
                  </w:tcBorders>
                  <w:vAlign w:val="center"/>
                </w:tcPr>
                <w:p w14:paraId="30397DE4">
                  <w:pPr>
                    <w:jc w:val="center"/>
                    <w:rPr>
                      <w:snapToGrid w:val="0"/>
                      <w:szCs w:val="21"/>
                      <w:u w:val="single"/>
                      <w:lang w:eastAsia="en-US"/>
                    </w:rPr>
                  </w:pPr>
                </w:p>
              </w:tc>
              <w:tc>
                <w:tcPr>
                  <w:tcW w:w="1000" w:type="pct"/>
                  <w:tcBorders>
                    <w:top w:val="single" w:color="auto" w:sz="4" w:space="0"/>
                    <w:left w:val="single" w:color="auto" w:sz="4" w:space="0"/>
                    <w:bottom w:val="single" w:color="auto" w:sz="4" w:space="0"/>
                    <w:right w:val="single" w:color="auto" w:sz="4" w:space="0"/>
                  </w:tcBorders>
                  <w:vAlign w:val="center"/>
                </w:tcPr>
                <w:p w14:paraId="56E61E5E">
                  <w:pPr>
                    <w:widowControl/>
                    <w:jc w:val="center"/>
                    <w:textAlignment w:val="center"/>
                    <w:rPr>
                      <w:color w:val="000000"/>
                      <w:sz w:val="22"/>
                      <w:u w:val="single"/>
                    </w:rPr>
                  </w:pPr>
                  <w:r>
                    <w:rPr>
                      <w:color w:val="000000"/>
                      <w:kern w:val="0"/>
                      <w:sz w:val="22"/>
                      <w:u w:val="single"/>
                      <w:lang w:bidi="ar"/>
                    </w:rPr>
                    <w:t xml:space="preserve">477.60 </w:t>
                  </w:r>
                </w:p>
              </w:tc>
              <w:tc>
                <w:tcPr>
                  <w:tcW w:w="1000" w:type="pct"/>
                  <w:tcBorders>
                    <w:top w:val="single" w:color="auto" w:sz="4" w:space="0"/>
                    <w:left w:val="single" w:color="auto" w:sz="4" w:space="0"/>
                    <w:bottom w:val="single" w:color="auto" w:sz="4" w:space="0"/>
                    <w:right w:val="single" w:color="auto" w:sz="12" w:space="0"/>
                  </w:tcBorders>
                  <w:vAlign w:val="center"/>
                </w:tcPr>
                <w:p w14:paraId="6E13DACF">
                  <w:pPr>
                    <w:widowControl/>
                    <w:jc w:val="center"/>
                    <w:textAlignment w:val="center"/>
                    <w:rPr>
                      <w:color w:val="000000"/>
                      <w:sz w:val="22"/>
                      <w:u w:val="single"/>
                    </w:rPr>
                  </w:pPr>
                  <w:r>
                    <w:rPr>
                      <w:color w:val="000000"/>
                      <w:kern w:val="0"/>
                      <w:sz w:val="22"/>
                      <w:u w:val="single"/>
                      <w:lang w:bidi="ar"/>
                    </w:rPr>
                    <w:t xml:space="preserve">37.190 </w:t>
                  </w:r>
                </w:p>
              </w:tc>
            </w:tr>
            <w:tr w14:paraId="5CA3D7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tcBorders>
                    <w:top w:val="single" w:color="auto" w:sz="4" w:space="0"/>
                    <w:left w:val="single" w:color="auto" w:sz="12" w:space="0"/>
                    <w:bottom w:val="single" w:color="auto" w:sz="12" w:space="0"/>
                    <w:right w:val="single" w:color="auto" w:sz="4" w:space="0"/>
                  </w:tcBorders>
                  <w:vAlign w:val="center"/>
                </w:tcPr>
                <w:p w14:paraId="4A2804C8">
                  <w:pPr>
                    <w:jc w:val="center"/>
                    <w:rPr>
                      <w:snapToGrid w:val="0"/>
                      <w:szCs w:val="21"/>
                      <w:u w:val="single"/>
                      <w:lang w:eastAsia="en-US"/>
                    </w:rPr>
                  </w:pPr>
                </w:p>
              </w:tc>
              <w:tc>
                <w:tcPr>
                  <w:tcW w:w="999" w:type="pct"/>
                  <w:tcBorders>
                    <w:top w:val="single" w:color="auto" w:sz="4" w:space="0"/>
                    <w:left w:val="single" w:color="auto" w:sz="4" w:space="0"/>
                    <w:bottom w:val="single" w:color="auto" w:sz="4" w:space="0"/>
                    <w:right w:val="single" w:color="auto" w:sz="4" w:space="0"/>
                  </w:tcBorders>
                  <w:vAlign w:val="center"/>
                </w:tcPr>
                <w:p w14:paraId="3D0AF43A">
                  <w:pPr>
                    <w:widowControl/>
                    <w:jc w:val="center"/>
                    <w:textAlignment w:val="center"/>
                    <w:rPr>
                      <w:kern w:val="0"/>
                      <w:szCs w:val="21"/>
                      <w:u w:val="single"/>
                      <w:lang w:eastAsia="en-US" w:bidi="ar"/>
                    </w:rPr>
                  </w:pPr>
                  <w:r>
                    <w:rPr>
                      <w:kern w:val="0"/>
                      <w:szCs w:val="21"/>
                      <w:u w:val="single"/>
                      <w:lang w:eastAsia="en-US" w:bidi="ar"/>
                    </w:rPr>
                    <w:t>BOD</w:t>
                  </w:r>
                </w:p>
              </w:tc>
              <w:tc>
                <w:tcPr>
                  <w:tcW w:w="1000" w:type="pct"/>
                  <w:vMerge w:val="continue"/>
                  <w:tcBorders>
                    <w:top w:val="single" w:color="auto" w:sz="4" w:space="0"/>
                    <w:left w:val="single" w:color="auto" w:sz="4" w:space="0"/>
                    <w:bottom w:val="single" w:color="auto" w:sz="12" w:space="0"/>
                    <w:right w:val="single" w:color="auto" w:sz="4" w:space="0"/>
                  </w:tcBorders>
                  <w:vAlign w:val="center"/>
                </w:tcPr>
                <w:p w14:paraId="3A01A2C4">
                  <w:pPr>
                    <w:jc w:val="center"/>
                    <w:rPr>
                      <w:snapToGrid w:val="0"/>
                      <w:szCs w:val="21"/>
                      <w:u w:val="single"/>
                      <w:lang w:eastAsia="en-US"/>
                    </w:rPr>
                  </w:pPr>
                </w:p>
              </w:tc>
              <w:tc>
                <w:tcPr>
                  <w:tcW w:w="1000" w:type="pct"/>
                  <w:tcBorders>
                    <w:top w:val="single" w:color="auto" w:sz="4" w:space="0"/>
                    <w:left w:val="single" w:color="auto" w:sz="4" w:space="0"/>
                    <w:bottom w:val="single" w:color="auto" w:sz="4" w:space="0"/>
                    <w:right w:val="single" w:color="auto" w:sz="4" w:space="0"/>
                  </w:tcBorders>
                  <w:vAlign w:val="center"/>
                </w:tcPr>
                <w:p w14:paraId="2B849802">
                  <w:pPr>
                    <w:widowControl/>
                    <w:jc w:val="center"/>
                    <w:textAlignment w:val="center"/>
                    <w:rPr>
                      <w:color w:val="000000"/>
                      <w:sz w:val="22"/>
                      <w:u w:val="single"/>
                    </w:rPr>
                  </w:pPr>
                  <w:r>
                    <w:rPr>
                      <w:color w:val="000000"/>
                      <w:kern w:val="0"/>
                      <w:sz w:val="22"/>
                      <w:u w:val="single"/>
                      <w:lang w:bidi="ar"/>
                    </w:rPr>
                    <w:t xml:space="preserve">1771.05 </w:t>
                  </w:r>
                </w:p>
              </w:tc>
              <w:tc>
                <w:tcPr>
                  <w:tcW w:w="1000" w:type="pct"/>
                  <w:tcBorders>
                    <w:top w:val="single" w:color="auto" w:sz="4" w:space="0"/>
                    <w:left w:val="single" w:color="auto" w:sz="4" w:space="0"/>
                    <w:bottom w:val="single" w:color="auto" w:sz="4" w:space="0"/>
                    <w:right w:val="single" w:color="auto" w:sz="12" w:space="0"/>
                  </w:tcBorders>
                  <w:vAlign w:val="center"/>
                </w:tcPr>
                <w:p w14:paraId="4918AADE">
                  <w:pPr>
                    <w:widowControl/>
                    <w:jc w:val="center"/>
                    <w:textAlignment w:val="center"/>
                    <w:rPr>
                      <w:color w:val="000000"/>
                      <w:sz w:val="22"/>
                      <w:u w:val="single"/>
                    </w:rPr>
                  </w:pPr>
                  <w:r>
                    <w:rPr>
                      <w:color w:val="000000"/>
                      <w:kern w:val="0"/>
                      <w:sz w:val="22"/>
                      <w:u w:val="single"/>
                      <w:lang w:bidi="ar"/>
                    </w:rPr>
                    <w:t xml:space="preserve">137.909 </w:t>
                  </w:r>
                </w:p>
              </w:tc>
            </w:tr>
            <w:tr w14:paraId="491DB2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tcBorders>
                    <w:top w:val="single" w:color="auto" w:sz="4" w:space="0"/>
                    <w:left w:val="single" w:color="auto" w:sz="12" w:space="0"/>
                    <w:bottom w:val="single" w:color="auto" w:sz="12" w:space="0"/>
                    <w:right w:val="single" w:color="auto" w:sz="4" w:space="0"/>
                  </w:tcBorders>
                  <w:vAlign w:val="center"/>
                </w:tcPr>
                <w:p w14:paraId="68BCB854">
                  <w:pPr>
                    <w:jc w:val="center"/>
                    <w:rPr>
                      <w:snapToGrid w:val="0"/>
                      <w:szCs w:val="21"/>
                      <w:u w:val="single"/>
                      <w:lang w:eastAsia="en-US"/>
                    </w:rPr>
                  </w:pPr>
                </w:p>
              </w:tc>
              <w:tc>
                <w:tcPr>
                  <w:tcW w:w="999" w:type="pct"/>
                  <w:tcBorders>
                    <w:top w:val="single" w:color="auto" w:sz="4" w:space="0"/>
                    <w:left w:val="single" w:color="auto" w:sz="4" w:space="0"/>
                    <w:bottom w:val="single" w:color="auto" w:sz="4" w:space="0"/>
                    <w:right w:val="single" w:color="auto" w:sz="4" w:space="0"/>
                  </w:tcBorders>
                  <w:vAlign w:val="center"/>
                </w:tcPr>
                <w:p w14:paraId="15B58D06">
                  <w:pPr>
                    <w:widowControl/>
                    <w:jc w:val="center"/>
                    <w:textAlignment w:val="center"/>
                    <w:rPr>
                      <w:kern w:val="0"/>
                      <w:szCs w:val="21"/>
                      <w:u w:val="single"/>
                      <w:lang w:eastAsia="en-US" w:bidi="ar"/>
                    </w:rPr>
                  </w:pPr>
                  <w:r>
                    <w:rPr>
                      <w:kern w:val="0"/>
                      <w:szCs w:val="21"/>
                      <w:u w:val="single"/>
                      <w:lang w:eastAsia="en-US" w:bidi="ar"/>
                    </w:rPr>
                    <w:t>动植物油</w:t>
                  </w:r>
                </w:p>
              </w:tc>
              <w:tc>
                <w:tcPr>
                  <w:tcW w:w="1000" w:type="pct"/>
                  <w:vMerge w:val="continue"/>
                  <w:tcBorders>
                    <w:top w:val="single" w:color="auto" w:sz="4" w:space="0"/>
                    <w:left w:val="single" w:color="auto" w:sz="4" w:space="0"/>
                    <w:bottom w:val="single" w:color="auto" w:sz="12" w:space="0"/>
                    <w:right w:val="single" w:color="auto" w:sz="4" w:space="0"/>
                  </w:tcBorders>
                  <w:vAlign w:val="center"/>
                </w:tcPr>
                <w:p w14:paraId="779D9AC3">
                  <w:pPr>
                    <w:jc w:val="center"/>
                    <w:rPr>
                      <w:snapToGrid w:val="0"/>
                      <w:szCs w:val="21"/>
                      <w:u w:val="single"/>
                      <w:lang w:eastAsia="en-US"/>
                    </w:rPr>
                  </w:pPr>
                </w:p>
              </w:tc>
              <w:tc>
                <w:tcPr>
                  <w:tcW w:w="1000" w:type="pct"/>
                  <w:tcBorders>
                    <w:top w:val="single" w:color="auto" w:sz="4" w:space="0"/>
                    <w:left w:val="single" w:color="auto" w:sz="4" w:space="0"/>
                    <w:bottom w:val="single" w:color="auto" w:sz="4" w:space="0"/>
                    <w:right w:val="single" w:color="auto" w:sz="4" w:space="0"/>
                  </w:tcBorders>
                  <w:vAlign w:val="center"/>
                </w:tcPr>
                <w:p w14:paraId="7DF5C1C4">
                  <w:pPr>
                    <w:widowControl/>
                    <w:jc w:val="center"/>
                    <w:textAlignment w:val="center"/>
                    <w:rPr>
                      <w:color w:val="000000"/>
                      <w:sz w:val="22"/>
                      <w:u w:val="single"/>
                    </w:rPr>
                  </w:pPr>
                  <w:r>
                    <w:rPr>
                      <w:color w:val="000000"/>
                      <w:kern w:val="0"/>
                      <w:sz w:val="22"/>
                      <w:u w:val="single"/>
                      <w:lang w:bidi="ar"/>
                    </w:rPr>
                    <w:t xml:space="preserve">274.47 </w:t>
                  </w:r>
                </w:p>
              </w:tc>
              <w:tc>
                <w:tcPr>
                  <w:tcW w:w="1000" w:type="pct"/>
                  <w:tcBorders>
                    <w:top w:val="single" w:color="auto" w:sz="4" w:space="0"/>
                    <w:left w:val="single" w:color="auto" w:sz="4" w:space="0"/>
                    <w:bottom w:val="single" w:color="auto" w:sz="4" w:space="0"/>
                    <w:right w:val="single" w:color="auto" w:sz="12" w:space="0"/>
                  </w:tcBorders>
                  <w:vAlign w:val="center"/>
                </w:tcPr>
                <w:p w14:paraId="245EC3E4">
                  <w:pPr>
                    <w:widowControl/>
                    <w:jc w:val="center"/>
                    <w:textAlignment w:val="center"/>
                    <w:rPr>
                      <w:color w:val="000000"/>
                      <w:sz w:val="22"/>
                      <w:u w:val="single"/>
                    </w:rPr>
                  </w:pPr>
                  <w:r>
                    <w:rPr>
                      <w:color w:val="000000"/>
                      <w:kern w:val="0"/>
                      <w:sz w:val="22"/>
                      <w:u w:val="single"/>
                      <w:lang w:bidi="ar"/>
                    </w:rPr>
                    <w:t xml:space="preserve">21.373 </w:t>
                  </w:r>
                </w:p>
              </w:tc>
            </w:tr>
            <w:tr w14:paraId="24820A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tcBorders>
                    <w:top w:val="single" w:color="auto" w:sz="4" w:space="0"/>
                    <w:left w:val="single" w:color="auto" w:sz="12" w:space="0"/>
                    <w:bottom w:val="single" w:color="auto" w:sz="4" w:space="0"/>
                    <w:right w:val="single" w:color="auto" w:sz="4" w:space="0"/>
                  </w:tcBorders>
                  <w:vAlign w:val="center"/>
                </w:tcPr>
                <w:p w14:paraId="211EC106">
                  <w:pPr>
                    <w:jc w:val="center"/>
                    <w:rPr>
                      <w:snapToGrid w:val="0"/>
                      <w:szCs w:val="21"/>
                      <w:u w:val="single"/>
                      <w:lang w:eastAsia="en-US"/>
                    </w:rPr>
                  </w:pPr>
                </w:p>
              </w:tc>
              <w:tc>
                <w:tcPr>
                  <w:tcW w:w="999" w:type="pct"/>
                  <w:tcBorders>
                    <w:top w:val="single" w:color="auto" w:sz="4" w:space="0"/>
                    <w:left w:val="single" w:color="auto" w:sz="4" w:space="0"/>
                    <w:bottom w:val="single" w:color="auto" w:sz="4" w:space="0"/>
                    <w:right w:val="single" w:color="auto" w:sz="4" w:space="0"/>
                  </w:tcBorders>
                  <w:vAlign w:val="center"/>
                </w:tcPr>
                <w:p w14:paraId="44FE72B8">
                  <w:pPr>
                    <w:widowControl/>
                    <w:jc w:val="center"/>
                    <w:textAlignment w:val="center"/>
                    <w:rPr>
                      <w:kern w:val="0"/>
                      <w:szCs w:val="21"/>
                      <w:u w:val="single"/>
                      <w:lang w:eastAsia="en-US" w:bidi="ar"/>
                    </w:rPr>
                  </w:pPr>
                  <w:r>
                    <w:rPr>
                      <w:kern w:val="0"/>
                      <w:szCs w:val="21"/>
                      <w:u w:val="single"/>
                      <w:lang w:eastAsia="en-US" w:bidi="ar"/>
                    </w:rPr>
                    <w:t>氯化物</w:t>
                  </w:r>
                </w:p>
              </w:tc>
              <w:tc>
                <w:tcPr>
                  <w:tcW w:w="1000" w:type="pct"/>
                  <w:vMerge w:val="continue"/>
                  <w:tcBorders>
                    <w:top w:val="single" w:color="auto" w:sz="4" w:space="0"/>
                    <w:left w:val="single" w:color="auto" w:sz="4" w:space="0"/>
                    <w:bottom w:val="single" w:color="auto" w:sz="4" w:space="0"/>
                    <w:right w:val="single" w:color="auto" w:sz="4" w:space="0"/>
                  </w:tcBorders>
                  <w:vAlign w:val="center"/>
                </w:tcPr>
                <w:p w14:paraId="5540E958">
                  <w:pPr>
                    <w:jc w:val="center"/>
                    <w:rPr>
                      <w:snapToGrid w:val="0"/>
                      <w:szCs w:val="21"/>
                      <w:u w:val="single"/>
                      <w:lang w:eastAsia="en-US"/>
                    </w:rPr>
                  </w:pPr>
                </w:p>
              </w:tc>
              <w:tc>
                <w:tcPr>
                  <w:tcW w:w="1000" w:type="pct"/>
                  <w:tcBorders>
                    <w:top w:val="single" w:color="auto" w:sz="4" w:space="0"/>
                    <w:left w:val="single" w:color="auto" w:sz="4" w:space="0"/>
                    <w:bottom w:val="single" w:color="auto" w:sz="4" w:space="0"/>
                    <w:right w:val="single" w:color="auto" w:sz="4" w:space="0"/>
                  </w:tcBorders>
                  <w:vAlign w:val="center"/>
                </w:tcPr>
                <w:p w14:paraId="008D8298">
                  <w:pPr>
                    <w:widowControl/>
                    <w:jc w:val="center"/>
                    <w:textAlignment w:val="center"/>
                    <w:rPr>
                      <w:color w:val="000000"/>
                      <w:sz w:val="22"/>
                      <w:u w:val="single"/>
                    </w:rPr>
                  </w:pPr>
                  <w:r>
                    <w:rPr>
                      <w:rFonts w:hint="eastAsia"/>
                      <w:color w:val="000000"/>
                      <w:kern w:val="0"/>
                      <w:sz w:val="22"/>
                      <w:u w:val="single"/>
                      <w:lang w:bidi="ar"/>
                    </w:rPr>
                    <w:t>641.18</w:t>
                  </w:r>
                </w:p>
              </w:tc>
              <w:tc>
                <w:tcPr>
                  <w:tcW w:w="1000" w:type="pct"/>
                  <w:tcBorders>
                    <w:top w:val="single" w:color="auto" w:sz="4" w:space="0"/>
                    <w:left w:val="single" w:color="auto" w:sz="4" w:space="0"/>
                    <w:bottom w:val="single" w:color="auto" w:sz="4" w:space="0"/>
                    <w:right w:val="single" w:color="auto" w:sz="12" w:space="0"/>
                  </w:tcBorders>
                  <w:vAlign w:val="center"/>
                </w:tcPr>
                <w:p w14:paraId="7637F055">
                  <w:pPr>
                    <w:widowControl/>
                    <w:jc w:val="center"/>
                    <w:textAlignment w:val="center"/>
                    <w:rPr>
                      <w:color w:val="000000"/>
                      <w:sz w:val="22"/>
                      <w:u w:val="single"/>
                    </w:rPr>
                  </w:pPr>
                  <w:r>
                    <w:rPr>
                      <w:color w:val="000000"/>
                      <w:kern w:val="0"/>
                      <w:sz w:val="22"/>
                      <w:u w:val="single"/>
                      <w:lang w:bidi="ar"/>
                    </w:rPr>
                    <w:t>49.</w:t>
                  </w:r>
                  <w:r>
                    <w:rPr>
                      <w:rFonts w:hint="eastAsia"/>
                      <w:color w:val="000000"/>
                      <w:kern w:val="0"/>
                      <w:sz w:val="22"/>
                      <w:u w:val="single"/>
                      <w:lang w:bidi="ar"/>
                    </w:rPr>
                    <w:t>928</w:t>
                  </w:r>
                  <w:r>
                    <w:rPr>
                      <w:color w:val="000000"/>
                      <w:kern w:val="0"/>
                      <w:sz w:val="22"/>
                      <w:u w:val="single"/>
                      <w:lang w:bidi="ar"/>
                    </w:rPr>
                    <w:t xml:space="preserve"> </w:t>
                  </w:r>
                </w:p>
              </w:tc>
            </w:tr>
          </w:tbl>
          <w:p w14:paraId="3926BED5">
            <w:pPr>
              <w:tabs>
                <w:tab w:val="left" w:pos="2196"/>
              </w:tabs>
              <w:spacing w:line="360" w:lineRule="auto"/>
              <w:jc w:val="center"/>
              <w:rPr>
                <w:b/>
                <w:sz w:val="24"/>
                <w:szCs w:val="24"/>
              </w:rPr>
            </w:pPr>
            <w:r>
              <w:rPr>
                <w:b/>
                <w:sz w:val="24"/>
                <w:szCs w:val="24"/>
              </w:rPr>
              <w:t>表4-12  废水污染物信息表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350"/>
              <w:gridCol w:w="927"/>
              <w:gridCol w:w="1013"/>
              <w:gridCol w:w="803"/>
              <w:gridCol w:w="1952"/>
              <w:gridCol w:w="1162"/>
              <w:gridCol w:w="1286"/>
            </w:tblGrid>
            <w:tr w14:paraId="48DEB0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blHeader/>
                <w:jc w:val="center"/>
              </w:trPr>
              <w:tc>
                <w:tcPr>
                  <w:tcW w:w="794" w:type="pct"/>
                  <w:vMerge w:val="restart"/>
                  <w:vAlign w:val="center"/>
                </w:tcPr>
                <w:p w14:paraId="688201DF">
                  <w:pPr>
                    <w:jc w:val="center"/>
                    <w:rPr>
                      <w:b/>
                      <w:szCs w:val="21"/>
                      <w:u w:val="single"/>
                    </w:rPr>
                  </w:pPr>
                  <w:r>
                    <w:rPr>
                      <w:b/>
                      <w:szCs w:val="21"/>
                      <w:u w:val="single"/>
                    </w:rPr>
                    <w:t>废水名称</w:t>
                  </w:r>
                </w:p>
              </w:tc>
              <w:tc>
                <w:tcPr>
                  <w:tcW w:w="545" w:type="pct"/>
                  <w:vMerge w:val="restart"/>
                  <w:vAlign w:val="center"/>
                </w:tcPr>
                <w:p w14:paraId="50FE8729">
                  <w:pPr>
                    <w:jc w:val="center"/>
                    <w:rPr>
                      <w:b/>
                      <w:szCs w:val="21"/>
                      <w:u w:val="single"/>
                    </w:rPr>
                  </w:pPr>
                  <w:r>
                    <w:rPr>
                      <w:b/>
                      <w:szCs w:val="21"/>
                      <w:u w:val="single"/>
                    </w:rPr>
                    <w:t>污染物</w:t>
                  </w:r>
                </w:p>
              </w:tc>
              <w:tc>
                <w:tcPr>
                  <w:tcW w:w="1069" w:type="pct"/>
                  <w:gridSpan w:val="2"/>
                  <w:vAlign w:val="center"/>
                </w:tcPr>
                <w:p w14:paraId="0E4AA3C6">
                  <w:pPr>
                    <w:jc w:val="center"/>
                    <w:rPr>
                      <w:b/>
                      <w:szCs w:val="21"/>
                      <w:u w:val="single"/>
                    </w:rPr>
                  </w:pPr>
                  <w:r>
                    <w:rPr>
                      <w:b/>
                      <w:szCs w:val="21"/>
                      <w:u w:val="single"/>
                    </w:rPr>
                    <w:t>污染物产生情况</w:t>
                  </w:r>
                </w:p>
              </w:tc>
              <w:tc>
                <w:tcPr>
                  <w:tcW w:w="1149" w:type="pct"/>
                  <w:vMerge w:val="restart"/>
                  <w:vAlign w:val="center"/>
                </w:tcPr>
                <w:p w14:paraId="71EBDF52">
                  <w:pPr>
                    <w:jc w:val="center"/>
                    <w:rPr>
                      <w:b/>
                      <w:szCs w:val="21"/>
                      <w:u w:val="single"/>
                    </w:rPr>
                  </w:pPr>
                  <w:r>
                    <w:rPr>
                      <w:b/>
                      <w:szCs w:val="21"/>
                      <w:u w:val="single"/>
                    </w:rPr>
                    <w:t>治理措施</w:t>
                  </w:r>
                </w:p>
              </w:tc>
              <w:tc>
                <w:tcPr>
                  <w:tcW w:w="1441" w:type="pct"/>
                  <w:gridSpan w:val="2"/>
                  <w:vAlign w:val="center"/>
                </w:tcPr>
                <w:p w14:paraId="388C9039">
                  <w:pPr>
                    <w:jc w:val="center"/>
                    <w:rPr>
                      <w:b/>
                      <w:szCs w:val="21"/>
                      <w:u w:val="single"/>
                    </w:rPr>
                  </w:pPr>
                  <w:r>
                    <w:rPr>
                      <w:b/>
                      <w:szCs w:val="21"/>
                      <w:u w:val="single"/>
                    </w:rPr>
                    <w:t>污染物排放情况</w:t>
                  </w:r>
                </w:p>
              </w:tc>
            </w:tr>
            <w:tr w14:paraId="27F147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blHeader/>
                <w:jc w:val="center"/>
              </w:trPr>
              <w:tc>
                <w:tcPr>
                  <w:tcW w:w="794" w:type="pct"/>
                  <w:vMerge w:val="continue"/>
                  <w:vAlign w:val="center"/>
                </w:tcPr>
                <w:p w14:paraId="7003B81E">
                  <w:pPr>
                    <w:jc w:val="center"/>
                    <w:rPr>
                      <w:b/>
                      <w:szCs w:val="21"/>
                      <w:u w:val="single"/>
                    </w:rPr>
                  </w:pPr>
                </w:p>
              </w:tc>
              <w:tc>
                <w:tcPr>
                  <w:tcW w:w="545" w:type="pct"/>
                  <w:vMerge w:val="continue"/>
                  <w:vAlign w:val="center"/>
                </w:tcPr>
                <w:p w14:paraId="592D3B35">
                  <w:pPr>
                    <w:jc w:val="center"/>
                    <w:rPr>
                      <w:b/>
                      <w:szCs w:val="21"/>
                      <w:u w:val="single"/>
                    </w:rPr>
                  </w:pPr>
                </w:p>
              </w:tc>
              <w:tc>
                <w:tcPr>
                  <w:tcW w:w="596" w:type="pct"/>
                  <w:vAlign w:val="center"/>
                </w:tcPr>
                <w:p w14:paraId="563396A4">
                  <w:pPr>
                    <w:jc w:val="center"/>
                    <w:rPr>
                      <w:b/>
                      <w:szCs w:val="21"/>
                      <w:u w:val="single"/>
                    </w:rPr>
                  </w:pPr>
                  <w:r>
                    <w:rPr>
                      <w:b/>
                      <w:szCs w:val="21"/>
                      <w:u w:val="single"/>
                    </w:rPr>
                    <w:t>产生浓度</w:t>
                  </w:r>
                </w:p>
                <w:p w14:paraId="42B1269F">
                  <w:pPr>
                    <w:jc w:val="center"/>
                    <w:rPr>
                      <w:b/>
                      <w:szCs w:val="21"/>
                      <w:u w:val="single"/>
                    </w:rPr>
                  </w:pPr>
                  <w:r>
                    <w:rPr>
                      <w:b/>
                      <w:szCs w:val="21"/>
                      <w:u w:val="single"/>
                    </w:rPr>
                    <w:t>mg/L</w:t>
                  </w:r>
                </w:p>
              </w:tc>
              <w:tc>
                <w:tcPr>
                  <w:tcW w:w="472" w:type="pct"/>
                  <w:vAlign w:val="center"/>
                </w:tcPr>
                <w:p w14:paraId="0AF1E04F">
                  <w:pPr>
                    <w:jc w:val="center"/>
                    <w:rPr>
                      <w:b/>
                      <w:szCs w:val="21"/>
                      <w:u w:val="single"/>
                    </w:rPr>
                  </w:pPr>
                  <w:r>
                    <w:rPr>
                      <w:b/>
                      <w:szCs w:val="21"/>
                      <w:u w:val="single"/>
                    </w:rPr>
                    <w:t>产生量t/a</w:t>
                  </w:r>
                </w:p>
              </w:tc>
              <w:tc>
                <w:tcPr>
                  <w:tcW w:w="1149" w:type="pct"/>
                  <w:vMerge w:val="continue"/>
                  <w:vAlign w:val="center"/>
                </w:tcPr>
                <w:p w14:paraId="0E6F8AB3">
                  <w:pPr>
                    <w:jc w:val="center"/>
                    <w:rPr>
                      <w:b/>
                      <w:szCs w:val="21"/>
                      <w:u w:val="single"/>
                    </w:rPr>
                  </w:pPr>
                </w:p>
              </w:tc>
              <w:tc>
                <w:tcPr>
                  <w:tcW w:w="684" w:type="pct"/>
                  <w:vAlign w:val="center"/>
                </w:tcPr>
                <w:p w14:paraId="5C3353AD">
                  <w:pPr>
                    <w:jc w:val="center"/>
                    <w:rPr>
                      <w:b/>
                      <w:szCs w:val="21"/>
                      <w:u w:val="single"/>
                    </w:rPr>
                  </w:pPr>
                  <w:r>
                    <w:rPr>
                      <w:b/>
                      <w:szCs w:val="21"/>
                      <w:u w:val="single"/>
                    </w:rPr>
                    <w:t>处理后浓度</w:t>
                  </w:r>
                </w:p>
                <w:p w14:paraId="4760A16D">
                  <w:pPr>
                    <w:jc w:val="center"/>
                    <w:rPr>
                      <w:b/>
                      <w:szCs w:val="21"/>
                      <w:u w:val="single"/>
                    </w:rPr>
                  </w:pPr>
                  <w:r>
                    <w:rPr>
                      <w:b/>
                      <w:szCs w:val="21"/>
                      <w:u w:val="single"/>
                    </w:rPr>
                    <w:t>mg/L</w:t>
                  </w:r>
                </w:p>
              </w:tc>
              <w:tc>
                <w:tcPr>
                  <w:tcW w:w="757" w:type="pct"/>
                  <w:vAlign w:val="center"/>
                </w:tcPr>
                <w:p w14:paraId="39890F64">
                  <w:pPr>
                    <w:jc w:val="center"/>
                    <w:rPr>
                      <w:b/>
                      <w:szCs w:val="21"/>
                      <w:u w:val="single"/>
                    </w:rPr>
                  </w:pPr>
                  <w:r>
                    <w:rPr>
                      <w:b/>
                      <w:szCs w:val="21"/>
                      <w:u w:val="single"/>
                    </w:rPr>
                    <w:t>排放量t/a</w:t>
                  </w:r>
                </w:p>
              </w:tc>
            </w:tr>
            <w:tr w14:paraId="6C191D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94" w:type="pct"/>
                  <w:vMerge w:val="restart"/>
                  <w:vAlign w:val="center"/>
                </w:tcPr>
                <w:p w14:paraId="7E70ACFE">
                  <w:pPr>
                    <w:pStyle w:val="93"/>
                    <w:rPr>
                      <w:color w:val="000000"/>
                      <w:szCs w:val="21"/>
                      <w:u w:val="single"/>
                    </w:rPr>
                  </w:pPr>
                  <w:r>
                    <w:rPr>
                      <w:color w:val="000000"/>
                      <w:szCs w:val="21"/>
                      <w:u w:val="single"/>
                    </w:rPr>
                    <w:t>生活污水</w:t>
                  </w:r>
                </w:p>
                <w:p w14:paraId="650CA286">
                  <w:pPr>
                    <w:pStyle w:val="93"/>
                    <w:rPr>
                      <w:color w:val="000000"/>
                      <w:szCs w:val="21"/>
                      <w:u w:val="single"/>
                    </w:rPr>
                  </w:pPr>
                  <w:r>
                    <w:rPr>
                      <w:color w:val="000000"/>
                      <w:szCs w:val="21"/>
                      <w:u w:val="single"/>
                    </w:rPr>
                    <w:t>1200</w:t>
                  </w:r>
                  <w:r>
                    <w:rPr>
                      <w:szCs w:val="21"/>
                      <w:u w:val="single"/>
                    </w:rPr>
                    <w:t xml:space="preserve"> m</w:t>
                  </w:r>
                  <w:r>
                    <w:rPr>
                      <w:szCs w:val="21"/>
                      <w:u w:val="single"/>
                      <w:vertAlign w:val="superscript"/>
                    </w:rPr>
                    <w:t>3</w:t>
                  </w:r>
                  <w:r>
                    <w:rPr>
                      <w:szCs w:val="21"/>
                      <w:u w:val="single"/>
                    </w:rPr>
                    <w:t>/a</w:t>
                  </w:r>
                </w:p>
              </w:tc>
              <w:tc>
                <w:tcPr>
                  <w:tcW w:w="545" w:type="pct"/>
                  <w:vAlign w:val="center"/>
                </w:tcPr>
                <w:p w14:paraId="461184FD">
                  <w:pPr>
                    <w:widowControl/>
                    <w:jc w:val="center"/>
                    <w:textAlignment w:val="center"/>
                    <w:rPr>
                      <w:kern w:val="0"/>
                      <w:szCs w:val="21"/>
                      <w:u w:val="single"/>
                      <w:lang w:bidi="ar"/>
                    </w:rPr>
                  </w:pPr>
                  <w:r>
                    <w:rPr>
                      <w:kern w:val="0"/>
                      <w:szCs w:val="21"/>
                      <w:u w:val="single"/>
                      <w:lang w:bidi="ar"/>
                    </w:rPr>
                    <w:t>pH</w:t>
                  </w:r>
                </w:p>
              </w:tc>
              <w:tc>
                <w:tcPr>
                  <w:tcW w:w="596" w:type="pct"/>
                  <w:vAlign w:val="center"/>
                </w:tcPr>
                <w:p w14:paraId="33A23221">
                  <w:pPr>
                    <w:widowControl/>
                    <w:jc w:val="center"/>
                    <w:textAlignment w:val="center"/>
                    <w:rPr>
                      <w:kern w:val="0"/>
                      <w:szCs w:val="21"/>
                      <w:u w:val="single"/>
                      <w:lang w:bidi="ar"/>
                    </w:rPr>
                  </w:pPr>
                  <w:r>
                    <w:rPr>
                      <w:kern w:val="0"/>
                      <w:szCs w:val="21"/>
                      <w:u w:val="single"/>
                      <w:lang w:bidi="ar"/>
                    </w:rPr>
                    <w:t>6-9</w:t>
                  </w:r>
                </w:p>
              </w:tc>
              <w:tc>
                <w:tcPr>
                  <w:tcW w:w="472" w:type="pct"/>
                  <w:vAlign w:val="center"/>
                </w:tcPr>
                <w:p w14:paraId="64DAD0E5">
                  <w:pPr>
                    <w:widowControl/>
                    <w:jc w:val="center"/>
                    <w:textAlignment w:val="center"/>
                    <w:rPr>
                      <w:kern w:val="0"/>
                      <w:szCs w:val="21"/>
                      <w:u w:val="single"/>
                      <w:lang w:bidi="ar"/>
                    </w:rPr>
                  </w:pPr>
                  <w:r>
                    <w:rPr>
                      <w:kern w:val="0"/>
                      <w:szCs w:val="21"/>
                      <w:u w:val="single"/>
                      <w:lang w:bidi="ar"/>
                    </w:rPr>
                    <w:t>/</w:t>
                  </w:r>
                </w:p>
              </w:tc>
              <w:tc>
                <w:tcPr>
                  <w:tcW w:w="1149" w:type="pct"/>
                  <w:vMerge w:val="restart"/>
                  <w:vAlign w:val="center"/>
                </w:tcPr>
                <w:p w14:paraId="77FC0286">
                  <w:pPr>
                    <w:jc w:val="center"/>
                    <w:rPr>
                      <w:color w:val="000000"/>
                      <w:szCs w:val="21"/>
                      <w:u w:val="single"/>
                    </w:rPr>
                  </w:pPr>
                  <w:r>
                    <w:rPr>
                      <w:color w:val="000000"/>
                      <w:szCs w:val="21"/>
                      <w:u w:val="single"/>
                    </w:rPr>
                    <w:t>隔油池+化粪池</w:t>
                  </w:r>
                </w:p>
              </w:tc>
              <w:tc>
                <w:tcPr>
                  <w:tcW w:w="684" w:type="pct"/>
                  <w:vAlign w:val="center"/>
                </w:tcPr>
                <w:p w14:paraId="15553511">
                  <w:pPr>
                    <w:widowControl/>
                    <w:jc w:val="center"/>
                    <w:textAlignment w:val="center"/>
                    <w:rPr>
                      <w:kern w:val="0"/>
                      <w:szCs w:val="21"/>
                      <w:u w:val="single"/>
                      <w:lang w:bidi="ar"/>
                    </w:rPr>
                  </w:pPr>
                  <w:r>
                    <w:rPr>
                      <w:kern w:val="0"/>
                      <w:szCs w:val="21"/>
                      <w:u w:val="single"/>
                      <w:lang w:bidi="ar"/>
                    </w:rPr>
                    <w:t>6-9</w:t>
                  </w:r>
                </w:p>
              </w:tc>
              <w:tc>
                <w:tcPr>
                  <w:tcW w:w="757" w:type="pct"/>
                  <w:vAlign w:val="center"/>
                </w:tcPr>
                <w:p w14:paraId="57A09CEE">
                  <w:pPr>
                    <w:widowControl/>
                    <w:jc w:val="center"/>
                    <w:textAlignment w:val="center"/>
                    <w:rPr>
                      <w:kern w:val="0"/>
                      <w:szCs w:val="21"/>
                      <w:u w:val="single"/>
                      <w:lang w:bidi="ar"/>
                    </w:rPr>
                  </w:pPr>
                  <w:r>
                    <w:rPr>
                      <w:kern w:val="0"/>
                      <w:szCs w:val="21"/>
                      <w:u w:val="single"/>
                      <w:lang w:bidi="ar"/>
                    </w:rPr>
                    <w:t>/</w:t>
                  </w:r>
                </w:p>
              </w:tc>
            </w:tr>
            <w:tr w14:paraId="1B5FFC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94" w:type="pct"/>
                  <w:vMerge w:val="continue"/>
                  <w:vAlign w:val="center"/>
                </w:tcPr>
                <w:p w14:paraId="2A8F41A9">
                  <w:pPr>
                    <w:pStyle w:val="93"/>
                    <w:rPr>
                      <w:color w:val="000000"/>
                      <w:szCs w:val="21"/>
                      <w:u w:val="single"/>
                    </w:rPr>
                  </w:pPr>
                </w:p>
              </w:tc>
              <w:tc>
                <w:tcPr>
                  <w:tcW w:w="545" w:type="pct"/>
                  <w:vAlign w:val="center"/>
                </w:tcPr>
                <w:p w14:paraId="666699D7">
                  <w:pPr>
                    <w:adjustRightInd w:val="0"/>
                    <w:jc w:val="center"/>
                    <w:rPr>
                      <w:bCs/>
                      <w:szCs w:val="21"/>
                      <w:u w:val="single"/>
                      <w:lang w:eastAsia="en-US" w:bidi="ar"/>
                    </w:rPr>
                  </w:pPr>
                  <w:r>
                    <w:rPr>
                      <w:kern w:val="0"/>
                      <w:szCs w:val="21"/>
                      <w:u w:val="single"/>
                      <w:lang w:bidi="ar"/>
                    </w:rPr>
                    <w:t>COD</w:t>
                  </w:r>
                </w:p>
              </w:tc>
              <w:tc>
                <w:tcPr>
                  <w:tcW w:w="596" w:type="pct"/>
                  <w:vAlign w:val="center"/>
                </w:tcPr>
                <w:p w14:paraId="37A2C4C7">
                  <w:pPr>
                    <w:adjustRightInd w:val="0"/>
                    <w:jc w:val="center"/>
                    <w:rPr>
                      <w:bCs/>
                      <w:szCs w:val="21"/>
                      <w:u w:val="single"/>
                      <w:lang w:eastAsia="en-US" w:bidi="ar"/>
                    </w:rPr>
                  </w:pPr>
                  <w:r>
                    <w:rPr>
                      <w:kern w:val="0"/>
                      <w:szCs w:val="21"/>
                      <w:u w:val="single"/>
                      <w:lang w:bidi="ar"/>
                    </w:rPr>
                    <w:t>350</w:t>
                  </w:r>
                </w:p>
              </w:tc>
              <w:tc>
                <w:tcPr>
                  <w:tcW w:w="802" w:type="dxa"/>
                  <w:vAlign w:val="center"/>
                </w:tcPr>
                <w:p w14:paraId="1D1ACD1F">
                  <w:pPr>
                    <w:widowControl/>
                    <w:jc w:val="center"/>
                    <w:textAlignment w:val="center"/>
                    <w:rPr>
                      <w:color w:val="000000"/>
                      <w:kern w:val="0"/>
                      <w:szCs w:val="21"/>
                      <w:u w:val="single"/>
                    </w:rPr>
                  </w:pPr>
                  <w:r>
                    <w:rPr>
                      <w:color w:val="000000"/>
                      <w:kern w:val="0"/>
                      <w:szCs w:val="21"/>
                      <w:u w:val="single"/>
                      <w:lang w:bidi="ar"/>
                    </w:rPr>
                    <w:t xml:space="preserve">0.672 </w:t>
                  </w:r>
                </w:p>
              </w:tc>
              <w:tc>
                <w:tcPr>
                  <w:tcW w:w="1149" w:type="pct"/>
                  <w:vMerge w:val="continue"/>
                  <w:vAlign w:val="center"/>
                </w:tcPr>
                <w:p w14:paraId="74E7F156">
                  <w:pPr>
                    <w:jc w:val="center"/>
                    <w:rPr>
                      <w:color w:val="000000"/>
                      <w:szCs w:val="21"/>
                      <w:u w:val="single"/>
                    </w:rPr>
                  </w:pPr>
                </w:p>
              </w:tc>
              <w:tc>
                <w:tcPr>
                  <w:tcW w:w="684" w:type="pct"/>
                  <w:vAlign w:val="center"/>
                </w:tcPr>
                <w:p w14:paraId="1D6AE3F7">
                  <w:pPr>
                    <w:pStyle w:val="50"/>
                    <w:adjustRightInd/>
                    <w:snapToGrid/>
                    <w:spacing w:beforeLines="0" w:line="240" w:lineRule="auto"/>
                    <w:rPr>
                      <w:rFonts w:ascii="Times New Roman" w:hAnsi="Times New Roman" w:eastAsia="等线"/>
                      <w:kern w:val="0"/>
                      <w:szCs w:val="21"/>
                      <w:u w:val="single"/>
                    </w:rPr>
                  </w:pPr>
                  <w:r>
                    <w:rPr>
                      <w:rFonts w:ascii="Times New Roman" w:hAnsi="Times New Roman" w:eastAsia="等线"/>
                      <w:kern w:val="0"/>
                      <w:szCs w:val="21"/>
                      <w:u w:val="single"/>
                    </w:rPr>
                    <w:t>500</w:t>
                  </w:r>
                </w:p>
              </w:tc>
              <w:tc>
                <w:tcPr>
                  <w:tcW w:w="1286" w:type="dxa"/>
                  <w:vAlign w:val="center"/>
                </w:tcPr>
                <w:p w14:paraId="1E5FD125">
                  <w:pPr>
                    <w:widowControl/>
                    <w:jc w:val="center"/>
                    <w:textAlignment w:val="center"/>
                    <w:rPr>
                      <w:color w:val="000000"/>
                      <w:kern w:val="0"/>
                      <w:szCs w:val="21"/>
                      <w:u w:val="single"/>
                    </w:rPr>
                  </w:pPr>
                  <w:r>
                    <w:rPr>
                      <w:color w:val="000000"/>
                      <w:kern w:val="0"/>
                      <w:szCs w:val="21"/>
                      <w:u w:val="single"/>
                      <w:lang w:bidi="ar"/>
                    </w:rPr>
                    <w:t>0.000336</w:t>
                  </w:r>
                </w:p>
              </w:tc>
            </w:tr>
            <w:tr w14:paraId="5354C3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94" w:type="pct"/>
                  <w:vMerge w:val="continue"/>
                  <w:vAlign w:val="center"/>
                </w:tcPr>
                <w:p w14:paraId="761ED536">
                  <w:pPr>
                    <w:pStyle w:val="93"/>
                    <w:rPr>
                      <w:color w:val="000000"/>
                      <w:szCs w:val="21"/>
                      <w:u w:val="single"/>
                    </w:rPr>
                  </w:pPr>
                </w:p>
              </w:tc>
              <w:tc>
                <w:tcPr>
                  <w:tcW w:w="545" w:type="pct"/>
                  <w:vAlign w:val="center"/>
                </w:tcPr>
                <w:p w14:paraId="3E9EC29B">
                  <w:pPr>
                    <w:adjustRightInd w:val="0"/>
                    <w:jc w:val="center"/>
                    <w:rPr>
                      <w:bCs/>
                      <w:szCs w:val="21"/>
                      <w:u w:val="single"/>
                      <w:lang w:eastAsia="en-US" w:bidi="ar"/>
                    </w:rPr>
                  </w:pPr>
                  <w:r>
                    <w:rPr>
                      <w:kern w:val="0"/>
                      <w:szCs w:val="21"/>
                      <w:u w:val="single"/>
                      <w:lang w:bidi="ar"/>
                    </w:rPr>
                    <w:t>氨氮</w:t>
                  </w:r>
                </w:p>
              </w:tc>
              <w:tc>
                <w:tcPr>
                  <w:tcW w:w="596" w:type="pct"/>
                  <w:vAlign w:val="center"/>
                </w:tcPr>
                <w:p w14:paraId="468DA540">
                  <w:pPr>
                    <w:adjustRightInd w:val="0"/>
                    <w:jc w:val="center"/>
                    <w:rPr>
                      <w:bCs/>
                      <w:szCs w:val="21"/>
                      <w:u w:val="single"/>
                      <w:lang w:eastAsia="en-US" w:bidi="ar"/>
                    </w:rPr>
                  </w:pPr>
                  <w:r>
                    <w:rPr>
                      <w:kern w:val="0"/>
                      <w:szCs w:val="21"/>
                      <w:u w:val="single"/>
                      <w:lang w:bidi="ar"/>
                    </w:rPr>
                    <w:t>40</w:t>
                  </w:r>
                </w:p>
              </w:tc>
              <w:tc>
                <w:tcPr>
                  <w:tcW w:w="802" w:type="dxa"/>
                  <w:vAlign w:val="center"/>
                </w:tcPr>
                <w:p w14:paraId="44F11331">
                  <w:pPr>
                    <w:widowControl/>
                    <w:jc w:val="center"/>
                    <w:textAlignment w:val="center"/>
                    <w:rPr>
                      <w:color w:val="000000"/>
                      <w:szCs w:val="21"/>
                      <w:u w:val="single"/>
                    </w:rPr>
                  </w:pPr>
                  <w:r>
                    <w:rPr>
                      <w:color w:val="000000"/>
                      <w:kern w:val="0"/>
                      <w:szCs w:val="21"/>
                      <w:u w:val="single"/>
                      <w:lang w:bidi="ar"/>
                    </w:rPr>
                    <w:t xml:space="preserve">0.077 </w:t>
                  </w:r>
                </w:p>
              </w:tc>
              <w:tc>
                <w:tcPr>
                  <w:tcW w:w="1149" w:type="pct"/>
                  <w:vMerge w:val="continue"/>
                  <w:vAlign w:val="center"/>
                </w:tcPr>
                <w:p w14:paraId="317268A7">
                  <w:pPr>
                    <w:jc w:val="center"/>
                    <w:rPr>
                      <w:color w:val="000000"/>
                      <w:szCs w:val="21"/>
                      <w:u w:val="single"/>
                    </w:rPr>
                  </w:pPr>
                </w:p>
              </w:tc>
              <w:tc>
                <w:tcPr>
                  <w:tcW w:w="684" w:type="pct"/>
                  <w:vAlign w:val="center"/>
                </w:tcPr>
                <w:p w14:paraId="22F4A064">
                  <w:pPr>
                    <w:pStyle w:val="50"/>
                    <w:adjustRightInd/>
                    <w:snapToGrid/>
                    <w:spacing w:beforeLines="0" w:line="240" w:lineRule="auto"/>
                    <w:rPr>
                      <w:rFonts w:ascii="Times New Roman" w:hAnsi="Times New Roman" w:eastAsia="等线"/>
                      <w:kern w:val="0"/>
                      <w:szCs w:val="21"/>
                      <w:u w:val="single"/>
                    </w:rPr>
                  </w:pPr>
                  <w:r>
                    <w:rPr>
                      <w:rFonts w:ascii="Times New Roman" w:hAnsi="Times New Roman" w:eastAsia="等线"/>
                      <w:kern w:val="0"/>
                      <w:szCs w:val="21"/>
                      <w:u w:val="single"/>
                    </w:rPr>
                    <w:t>/</w:t>
                  </w:r>
                </w:p>
              </w:tc>
              <w:tc>
                <w:tcPr>
                  <w:tcW w:w="1286" w:type="dxa"/>
                  <w:vAlign w:val="center"/>
                </w:tcPr>
                <w:p w14:paraId="4F0FC4F6">
                  <w:pPr>
                    <w:jc w:val="center"/>
                    <w:rPr>
                      <w:color w:val="000000"/>
                      <w:szCs w:val="21"/>
                      <w:u w:val="single"/>
                    </w:rPr>
                  </w:pPr>
                </w:p>
              </w:tc>
            </w:tr>
            <w:tr w14:paraId="0BB144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94" w:type="pct"/>
                  <w:vMerge w:val="continue"/>
                  <w:vAlign w:val="center"/>
                </w:tcPr>
                <w:p w14:paraId="3062968B">
                  <w:pPr>
                    <w:pStyle w:val="93"/>
                    <w:rPr>
                      <w:color w:val="000000"/>
                      <w:szCs w:val="21"/>
                      <w:u w:val="single"/>
                    </w:rPr>
                  </w:pPr>
                </w:p>
              </w:tc>
              <w:tc>
                <w:tcPr>
                  <w:tcW w:w="545" w:type="pct"/>
                  <w:vAlign w:val="center"/>
                </w:tcPr>
                <w:p w14:paraId="6A6C3AC9">
                  <w:pPr>
                    <w:adjustRightInd w:val="0"/>
                    <w:jc w:val="center"/>
                    <w:rPr>
                      <w:bCs/>
                      <w:szCs w:val="21"/>
                      <w:u w:val="single"/>
                      <w:lang w:eastAsia="en-US" w:bidi="ar"/>
                    </w:rPr>
                  </w:pPr>
                  <w:r>
                    <w:rPr>
                      <w:kern w:val="0"/>
                      <w:szCs w:val="21"/>
                      <w:u w:val="single"/>
                      <w:lang w:bidi="ar"/>
                    </w:rPr>
                    <w:t>总氮</w:t>
                  </w:r>
                </w:p>
              </w:tc>
              <w:tc>
                <w:tcPr>
                  <w:tcW w:w="596" w:type="pct"/>
                  <w:vAlign w:val="center"/>
                </w:tcPr>
                <w:p w14:paraId="12E8A58C">
                  <w:pPr>
                    <w:adjustRightInd w:val="0"/>
                    <w:jc w:val="center"/>
                    <w:rPr>
                      <w:bCs/>
                      <w:szCs w:val="21"/>
                      <w:u w:val="single"/>
                      <w:lang w:eastAsia="en-US" w:bidi="ar"/>
                    </w:rPr>
                  </w:pPr>
                  <w:r>
                    <w:rPr>
                      <w:kern w:val="0"/>
                      <w:szCs w:val="21"/>
                      <w:u w:val="single"/>
                      <w:lang w:bidi="ar"/>
                    </w:rPr>
                    <w:t>60</w:t>
                  </w:r>
                </w:p>
              </w:tc>
              <w:tc>
                <w:tcPr>
                  <w:tcW w:w="802" w:type="dxa"/>
                  <w:vAlign w:val="center"/>
                </w:tcPr>
                <w:p w14:paraId="06892D36">
                  <w:pPr>
                    <w:widowControl/>
                    <w:jc w:val="center"/>
                    <w:textAlignment w:val="center"/>
                    <w:rPr>
                      <w:color w:val="000000"/>
                      <w:szCs w:val="21"/>
                      <w:u w:val="single"/>
                    </w:rPr>
                  </w:pPr>
                  <w:r>
                    <w:rPr>
                      <w:color w:val="000000"/>
                      <w:kern w:val="0"/>
                      <w:szCs w:val="21"/>
                      <w:u w:val="single"/>
                      <w:lang w:bidi="ar"/>
                    </w:rPr>
                    <w:t xml:space="preserve">0.115 </w:t>
                  </w:r>
                </w:p>
              </w:tc>
              <w:tc>
                <w:tcPr>
                  <w:tcW w:w="1149" w:type="pct"/>
                  <w:vMerge w:val="continue"/>
                  <w:vAlign w:val="center"/>
                </w:tcPr>
                <w:p w14:paraId="500A92E7">
                  <w:pPr>
                    <w:jc w:val="center"/>
                    <w:rPr>
                      <w:color w:val="000000"/>
                      <w:szCs w:val="21"/>
                      <w:u w:val="single"/>
                    </w:rPr>
                  </w:pPr>
                </w:p>
              </w:tc>
              <w:tc>
                <w:tcPr>
                  <w:tcW w:w="684" w:type="pct"/>
                  <w:vAlign w:val="center"/>
                </w:tcPr>
                <w:p w14:paraId="3889F9F4">
                  <w:pPr>
                    <w:pStyle w:val="50"/>
                    <w:adjustRightInd/>
                    <w:snapToGrid/>
                    <w:spacing w:beforeLines="0" w:line="240" w:lineRule="auto"/>
                    <w:rPr>
                      <w:rFonts w:ascii="Times New Roman" w:hAnsi="Times New Roman" w:eastAsia="等线"/>
                      <w:kern w:val="0"/>
                      <w:szCs w:val="21"/>
                      <w:u w:val="single"/>
                    </w:rPr>
                  </w:pPr>
                  <w:r>
                    <w:rPr>
                      <w:rFonts w:ascii="Times New Roman" w:hAnsi="Times New Roman" w:eastAsia="等线"/>
                      <w:kern w:val="0"/>
                      <w:szCs w:val="21"/>
                      <w:u w:val="single"/>
                    </w:rPr>
                    <w:t>/</w:t>
                  </w:r>
                </w:p>
              </w:tc>
              <w:tc>
                <w:tcPr>
                  <w:tcW w:w="1286" w:type="dxa"/>
                  <w:vAlign w:val="center"/>
                </w:tcPr>
                <w:p w14:paraId="6BE3536F">
                  <w:pPr>
                    <w:jc w:val="center"/>
                    <w:rPr>
                      <w:rFonts w:eastAsia="等线"/>
                      <w:szCs w:val="21"/>
                      <w:u w:val="single"/>
                    </w:rPr>
                  </w:pPr>
                </w:p>
              </w:tc>
            </w:tr>
            <w:tr w14:paraId="149DB3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94" w:type="pct"/>
                  <w:vMerge w:val="continue"/>
                  <w:vAlign w:val="center"/>
                </w:tcPr>
                <w:p w14:paraId="7DBD422C">
                  <w:pPr>
                    <w:pStyle w:val="93"/>
                    <w:rPr>
                      <w:color w:val="000000"/>
                      <w:szCs w:val="21"/>
                      <w:u w:val="single"/>
                    </w:rPr>
                  </w:pPr>
                </w:p>
              </w:tc>
              <w:tc>
                <w:tcPr>
                  <w:tcW w:w="545" w:type="pct"/>
                  <w:vAlign w:val="center"/>
                </w:tcPr>
                <w:p w14:paraId="2FE4944B">
                  <w:pPr>
                    <w:adjustRightInd w:val="0"/>
                    <w:jc w:val="center"/>
                    <w:rPr>
                      <w:bCs/>
                      <w:szCs w:val="21"/>
                      <w:u w:val="single"/>
                      <w:lang w:eastAsia="en-US" w:bidi="ar"/>
                    </w:rPr>
                  </w:pPr>
                  <w:r>
                    <w:rPr>
                      <w:kern w:val="0"/>
                      <w:szCs w:val="21"/>
                      <w:u w:val="single"/>
                      <w:lang w:bidi="ar"/>
                    </w:rPr>
                    <w:t>总磷</w:t>
                  </w:r>
                </w:p>
              </w:tc>
              <w:tc>
                <w:tcPr>
                  <w:tcW w:w="596" w:type="pct"/>
                  <w:vAlign w:val="center"/>
                </w:tcPr>
                <w:p w14:paraId="1236BDF4">
                  <w:pPr>
                    <w:adjustRightInd w:val="0"/>
                    <w:jc w:val="center"/>
                    <w:rPr>
                      <w:bCs/>
                      <w:szCs w:val="21"/>
                      <w:u w:val="single"/>
                      <w:lang w:eastAsia="en-US" w:bidi="ar"/>
                    </w:rPr>
                  </w:pPr>
                  <w:r>
                    <w:rPr>
                      <w:kern w:val="0"/>
                      <w:szCs w:val="21"/>
                      <w:u w:val="single"/>
                      <w:lang w:bidi="ar"/>
                    </w:rPr>
                    <w:t>5</w:t>
                  </w:r>
                </w:p>
              </w:tc>
              <w:tc>
                <w:tcPr>
                  <w:tcW w:w="802" w:type="dxa"/>
                  <w:vAlign w:val="center"/>
                </w:tcPr>
                <w:p w14:paraId="60D9ADF3">
                  <w:pPr>
                    <w:widowControl/>
                    <w:jc w:val="center"/>
                    <w:textAlignment w:val="center"/>
                    <w:rPr>
                      <w:color w:val="000000"/>
                      <w:szCs w:val="21"/>
                      <w:u w:val="single"/>
                    </w:rPr>
                  </w:pPr>
                  <w:r>
                    <w:rPr>
                      <w:color w:val="000000"/>
                      <w:kern w:val="0"/>
                      <w:szCs w:val="21"/>
                      <w:u w:val="single"/>
                      <w:lang w:bidi="ar"/>
                    </w:rPr>
                    <w:t xml:space="preserve">0.010 </w:t>
                  </w:r>
                </w:p>
              </w:tc>
              <w:tc>
                <w:tcPr>
                  <w:tcW w:w="1149" w:type="pct"/>
                  <w:vMerge w:val="continue"/>
                  <w:vAlign w:val="center"/>
                </w:tcPr>
                <w:p w14:paraId="0E3F7504">
                  <w:pPr>
                    <w:jc w:val="center"/>
                    <w:rPr>
                      <w:color w:val="000000"/>
                      <w:szCs w:val="21"/>
                      <w:u w:val="single"/>
                    </w:rPr>
                  </w:pPr>
                </w:p>
              </w:tc>
              <w:tc>
                <w:tcPr>
                  <w:tcW w:w="684" w:type="pct"/>
                  <w:vAlign w:val="center"/>
                </w:tcPr>
                <w:p w14:paraId="0D91A381">
                  <w:pPr>
                    <w:pStyle w:val="50"/>
                    <w:adjustRightInd/>
                    <w:snapToGrid/>
                    <w:spacing w:beforeLines="0" w:line="240" w:lineRule="auto"/>
                    <w:rPr>
                      <w:rFonts w:ascii="Times New Roman" w:hAnsi="Times New Roman" w:eastAsia="等线"/>
                      <w:kern w:val="0"/>
                      <w:szCs w:val="21"/>
                      <w:u w:val="single"/>
                    </w:rPr>
                  </w:pPr>
                  <w:r>
                    <w:rPr>
                      <w:rFonts w:ascii="Times New Roman" w:hAnsi="Times New Roman" w:eastAsia="等线"/>
                      <w:kern w:val="0"/>
                      <w:szCs w:val="21"/>
                      <w:u w:val="single"/>
                    </w:rPr>
                    <w:t>/</w:t>
                  </w:r>
                </w:p>
              </w:tc>
              <w:tc>
                <w:tcPr>
                  <w:tcW w:w="1286" w:type="dxa"/>
                  <w:vAlign w:val="center"/>
                </w:tcPr>
                <w:p w14:paraId="67073882">
                  <w:pPr>
                    <w:jc w:val="center"/>
                    <w:rPr>
                      <w:rFonts w:eastAsia="等线"/>
                      <w:szCs w:val="21"/>
                      <w:u w:val="single"/>
                    </w:rPr>
                  </w:pPr>
                </w:p>
              </w:tc>
            </w:tr>
            <w:tr w14:paraId="43A6CE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794" w:type="pct"/>
                  <w:vMerge w:val="continue"/>
                  <w:vAlign w:val="center"/>
                </w:tcPr>
                <w:p w14:paraId="748CEEF0">
                  <w:pPr>
                    <w:pStyle w:val="93"/>
                    <w:rPr>
                      <w:color w:val="000000"/>
                      <w:szCs w:val="21"/>
                      <w:u w:val="single"/>
                    </w:rPr>
                  </w:pPr>
                </w:p>
              </w:tc>
              <w:tc>
                <w:tcPr>
                  <w:tcW w:w="545" w:type="pct"/>
                  <w:vAlign w:val="center"/>
                </w:tcPr>
                <w:p w14:paraId="36B72F17">
                  <w:pPr>
                    <w:adjustRightInd w:val="0"/>
                    <w:jc w:val="center"/>
                    <w:rPr>
                      <w:bCs/>
                      <w:szCs w:val="21"/>
                      <w:u w:val="single"/>
                      <w:lang w:eastAsia="en-US" w:bidi="ar"/>
                    </w:rPr>
                  </w:pPr>
                  <w:r>
                    <w:rPr>
                      <w:kern w:val="0"/>
                      <w:szCs w:val="21"/>
                      <w:u w:val="single"/>
                      <w:lang w:bidi="ar"/>
                    </w:rPr>
                    <w:t>SS</w:t>
                  </w:r>
                </w:p>
              </w:tc>
              <w:tc>
                <w:tcPr>
                  <w:tcW w:w="596" w:type="pct"/>
                  <w:vAlign w:val="center"/>
                </w:tcPr>
                <w:p w14:paraId="7E8249BA">
                  <w:pPr>
                    <w:adjustRightInd w:val="0"/>
                    <w:jc w:val="center"/>
                    <w:rPr>
                      <w:bCs/>
                      <w:szCs w:val="21"/>
                      <w:u w:val="single"/>
                      <w:lang w:eastAsia="en-US" w:bidi="ar"/>
                    </w:rPr>
                  </w:pPr>
                  <w:r>
                    <w:rPr>
                      <w:kern w:val="0"/>
                      <w:szCs w:val="21"/>
                      <w:u w:val="single"/>
                      <w:lang w:bidi="ar"/>
                    </w:rPr>
                    <w:t>300</w:t>
                  </w:r>
                </w:p>
              </w:tc>
              <w:tc>
                <w:tcPr>
                  <w:tcW w:w="802" w:type="dxa"/>
                  <w:vAlign w:val="center"/>
                </w:tcPr>
                <w:p w14:paraId="621120AC">
                  <w:pPr>
                    <w:widowControl/>
                    <w:jc w:val="center"/>
                    <w:textAlignment w:val="center"/>
                    <w:rPr>
                      <w:color w:val="000000"/>
                      <w:szCs w:val="21"/>
                      <w:u w:val="single"/>
                    </w:rPr>
                  </w:pPr>
                  <w:r>
                    <w:rPr>
                      <w:color w:val="000000"/>
                      <w:kern w:val="0"/>
                      <w:szCs w:val="21"/>
                      <w:u w:val="single"/>
                      <w:lang w:bidi="ar"/>
                    </w:rPr>
                    <w:t xml:space="preserve">0.576 </w:t>
                  </w:r>
                </w:p>
              </w:tc>
              <w:tc>
                <w:tcPr>
                  <w:tcW w:w="1149" w:type="pct"/>
                  <w:vMerge w:val="continue"/>
                  <w:vAlign w:val="center"/>
                </w:tcPr>
                <w:p w14:paraId="2FDBB168">
                  <w:pPr>
                    <w:jc w:val="center"/>
                    <w:rPr>
                      <w:color w:val="000000"/>
                      <w:szCs w:val="21"/>
                      <w:u w:val="single"/>
                    </w:rPr>
                  </w:pPr>
                </w:p>
              </w:tc>
              <w:tc>
                <w:tcPr>
                  <w:tcW w:w="684" w:type="pct"/>
                  <w:vAlign w:val="center"/>
                </w:tcPr>
                <w:p w14:paraId="4913472D">
                  <w:pPr>
                    <w:pStyle w:val="50"/>
                    <w:adjustRightInd/>
                    <w:snapToGrid/>
                    <w:spacing w:beforeLines="0" w:line="240" w:lineRule="auto"/>
                    <w:rPr>
                      <w:rFonts w:ascii="Times New Roman" w:hAnsi="Times New Roman" w:eastAsia="等线"/>
                      <w:kern w:val="0"/>
                      <w:szCs w:val="21"/>
                      <w:u w:val="single"/>
                    </w:rPr>
                  </w:pPr>
                  <w:r>
                    <w:rPr>
                      <w:rFonts w:ascii="Times New Roman" w:hAnsi="Times New Roman" w:eastAsia="等线"/>
                      <w:kern w:val="0"/>
                      <w:szCs w:val="21"/>
                      <w:u w:val="single"/>
                    </w:rPr>
                    <w:t>400</w:t>
                  </w:r>
                </w:p>
              </w:tc>
              <w:tc>
                <w:tcPr>
                  <w:tcW w:w="1286" w:type="dxa"/>
                  <w:vAlign w:val="center"/>
                </w:tcPr>
                <w:p w14:paraId="7D7F5BE2">
                  <w:pPr>
                    <w:widowControl/>
                    <w:jc w:val="center"/>
                    <w:textAlignment w:val="center"/>
                    <w:rPr>
                      <w:color w:val="000000"/>
                      <w:szCs w:val="21"/>
                      <w:u w:val="single"/>
                    </w:rPr>
                  </w:pPr>
                  <w:r>
                    <w:rPr>
                      <w:color w:val="000000"/>
                      <w:kern w:val="0"/>
                      <w:szCs w:val="21"/>
                      <w:u w:val="single"/>
                      <w:lang w:bidi="ar"/>
                    </w:rPr>
                    <w:t>0.0002304</w:t>
                  </w:r>
                </w:p>
              </w:tc>
            </w:tr>
            <w:tr w14:paraId="674330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94" w:type="pct"/>
                  <w:vMerge w:val="continue"/>
                  <w:vAlign w:val="center"/>
                </w:tcPr>
                <w:p w14:paraId="6037915E">
                  <w:pPr>
                    <w:pStyle w:val="93"/>
                    <w:rPr>
                      <w:color w:val="000000"/>
                      <w:szCs w:val="21"/>
                      <w:u w:val="single"/>
                    </w:rPr>
                  </w:pPr>
                </w:p>
              </w:tc>
              <w:tc>
                <w:tcPr>
                  <w:tcW w:w="545" w:type="pct"/>
                  <w:vAlign w:val="center"/>
                </w:tcPr>
                <w:p w14:paraId="2DD657F7">
                  <w:pPr>
                    <w:adjustRightInd w:val="0"/>
                    <w:jc w:val="center"/>
                    <w:rPr>
                      <w:bCs/>
                      <w:szCs w:val="21"/>
                      <w:u w:val="single"/>
                      <w:lang w:eastAsia="en-US" w:bidi="ar"/>
                    </w:rPr>
                  </w:pPr>
                  <w:r>
                    <w:rPr>
                      <w:kern w:val="0"/>
                      <w:szCs w:val="21"/>
                      <w:u w:val="single"/>
                      <w:lang w:bidi="ar"/>
                    </w:rPr>
                    <w:t>BOD</w:t>
                  </w:r>
                </w:p>
              </w:tc>
              <w:tc>
                <w:tcPr>
                  <w:tcW w:w="596" w:type="pct"/>
                  <w:vAlign w:val="center"/>
                </w:tcPr>
                <w:p w14:paraId="1733E128">
                  <w:pPr>
                    <w:adjustRightInd w:val="0"/>
                    <w:jc w:val="center"/>
                    <w:rPr>
                      <w:bCs/>
                      <w:szCs w:val="21"/>
                      <w:u w:val="single"/>
                      <w:lang w:eastAsia="en-US" w:bidi="ar"/>
                    </w:rPr>
                  </w:pPr>
                  <w:r>
                    <w:rPr>
                      <w:kern w:val="0"/>
                      <w:szCs w:val="21"/>
                      <w:u w:val="single"/>
                      <w:lang w:bidi="ar"/>
                    </w:rPr>
                    <w:t>250</w:t>
                  </w:r>
                </w:p>
              </w:tc>
              <w:tc>
                <w:tcPr>
                  <w:tcW w:w="802" w:type="dxa"/>
                  <w:vAlign w:val="center"/>
                </w:tcPr>
                <w:p w14:paraId="1E2744DA">
                  <w:pPr>
                    <w:widowControl/>
                    <w:jc w:val="center"/>
                    <w:textAlignment w:val="center"/>
                    <w:rPr>
                      <w:color w:val="000000"/>
                      <w:szCs w:val="21"/>
                      <w:u w:val="single"/>
                    </w:rPr>
                  </w:pPr>
                  <w:r>
                    <w:rPr>
                      <w:color w:val="000000"/>
                      <w:kern w:val="0"/>
                      <w:szCs w:val="21"/>
                      <w:u w:val="single"/>
                      <w:lang w:bidi="ar"/>
                    </w:rPr>
                    <w:t xml:space="preserve">0.480 </w:t>
                  </w:r>
                </w:p>
              </w:tc>
              <w:tc>
                <w:tcPr>
                  <w:tcW w:w="1149" w:type="pct"/>
                  <w:vMerge w:val="continue"/>
                  <w:vAlign w:val="center"/>
                </w:tcPr>
                <w:p w14:paraId="78372579">
                  <w:pPr>
                    <w:jc w:val="center"/>
                    <w:rPr>
                      <w:color w:val="000000"/>
                      <w:szCs w:val="21"/>
                      <w:u w:val="single"/>
                    </w:rPr>
                  </w:pPr>
                </w:p>
              </w:tc>
              <w:tc>
                <w:tcPr>
                  <w:tcW w:w="684" w:type="pct"/>
                  <w:vAlign w:val="center"/>
                </w:tcPr>
                <w:p w14:paraId="2F4F22A4">
                  <w:pPr>
                    <w:pStyle w:val="50"/>
                    <w:adjustRightInd/>
                    <w:snapToGrid/>
                    <w:spacing w:beforeLines="0" w:line="240" w:lineRule="auto"/>
                    <w:rPr>
                      <w:rFonts w:ascii="Times New Roman" w:hAnsi="Times New Roman" w:eastAsia="等线"/>
                      <w:kern w:val="0"/>
                      <w:szCs w:val="21"/>
                      <w:u w:val="single"/>
                    </w:rPr>
                  </w:pPr>
                  <w:r>
                    <w:rPr>
                      <w:rFonts w:ascii="Times New Roman" w:hAnsi="Times New Roman" w:eastAsia="等线"/>
                      <w:kern w:val="0"/>
                      <w:szCs w:val="21"/>
                      <w:u w:val="single"/>
                    </w:rPr>
                    <w:t>300</w:t>
                  </w:r>
                </w:p>
              </w:tc>
              <w:tc>
                <w:tcPr>
                  <w:tcW w:w="1286" w:type="dxa"/>
                  <w:vAlign w:val="center"/>
                </w:tcPr>
                <w:p w14:paraId="3827E958">
                  <w:pPr>
                    <w:widowControl/>
                    <w:jc w:val="center"/>
                    <w:textAlignment w:val="center"/>
                    <w:rPr>
                      <w:color w:val="000000"/>
                      <w:szCs w:val="21"/>
                      <w:u w:val="single"/>
                    </w:rPr>
                  </w:pPr>
                  <w:r>
                    <w:rPr>
                      <w:color w:val="000000"/>
                      <w:kern w:val="0"/>
                      <w:szCs w:val="21"/>
                      <w:u w:val="single"/>
                      <w:lang w:bidi="ar"/>
                    </w:rPr>
                    <w:t>0.000144</w:t>
                  </w:r>
                </w:p>
              </w:tc>
            </w:tr>
            <w:tr w14:paraId="64A7DD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94" w:type="pct"/>
                  <w:vMerge w:val="continue"/>
                  <w:vAlign w:val="center"/>
                </w:tcPr>
                <w:p w14:paraId="46C87379">
                  <w:pPr>
                    <w:pStyle w:val="93"/>
                    <w:rPr>
                      <w:color w:val="000000"/>
                      <w:szCs w:val="21"/>
                      <w:u w:val="single"/>
                    </w:rPr>
                  </w:pPr>
                </w:p>
              </w:tc>
              <w:tc>
                <w:tcPr>
                  <w:tcW w:w="545" w:type="pct"/>
                  <w:vAlign w:val="center"/>
                </w:tcPr>
                <w:p w14:paraId="218DB453">
                  <w:pPr>
                    <w:adjustRightInd w:val="0"/>
                    <w:jc w:val="center"/>
                    <w:rPr>
                      <w:bCs/>
                      <w:szCs w:val="21"/>
                      <w:u w:val="single"/>
                      <w:lang w:eastAsia="en-US" w:bidi="ar"/>
                    </w:rPr>
                  </w:pPr>
                  <w:r>
                    <w:rPr>
                      <w:kern w:val="0"/>
                      <w:szCs w:val="21"/>
                      <w:u w:val="single"/>
                      <w:lang w:bidi="ar"/>
                    </w:rPr>
                    <w:t>动植物油</w:t>
                  </w:r>
                </w:p>
              </w:tc>
              <w:tc>
                <w:tcPr>
                  <w:tcW w:w="596" w:type="pct"/>
                  <w:vAlign w:val="center"/>
                </w:tcPr>
                <w:p w14:paraId="246CDA41">
                  <w:pPr>
                    <w:adjustRightInd w:val="0"/>
                    <w:jc w:val="center"/>
                    <w:rPr>
                      <w:bCs/>
                      <w:szCs w:val="21"/>
                      <w:u w:val="single"/>
                      <w:lang w:eastAsia="en-US" w:bidi="ar"/>
                    </w:rPr>
                  </w:pPr>
                  <w:r>
                    <w:rPr>
                      <w:kern w:val="0"/>
                      <w:szCs w:val="21"/>
                      <w:u w:val="single"/>
                      <w:lang w:bidi="ar"/>
                    </w:rPr>
                    <w:t>50</w:t>
                  </w:r>
                </w:p>
              </w:tc>
              <w:tc>
                <w:tcPr>
                  <w:tcW w:w="802" w:type="dxa"/>
                  <w:vAlign w:val="center"/>
                </w:tcPr>
                <w:p w14:paraId="3B333EDA">
                  <w:pPr>
                    <w:widowControl/>
                    <w:jc w:val="center"/>
                    <w:textAlignment w:val="center"/>
                    <w:rPr>
                      <w:color w:val="000000"/>
                      <w:szCs w:val="21"/>
                      <w:u w:val="single"/>
                    </w:rPr>
                  </w:pPr>
                  <w:r>
                    <w:rPr>
                      <w:color w:val="000000"/>
                      <w:kern w:val="0"/>
                      <w:szCs w:val="21"/>
                      <w:u w:val="single"/>
                      <w:lang w:bidi="ar"/>
                    </w:rPr>
                    <w:t xml:space="preserve">0.096 </w:t>
                  </w:r>
                </w:p>
              </w:tc>
              <w:tc>
                <w:tcPr>
                  <w:tcW w:w="1149" w:type="pct"/>
                  <w:vMerge w:val="continue"/>
                  <w:vAlign w:val="center"/>
                </w:tcPr>
                <w:p w14:paraId="548AFD7F">
                  <w:pPr>
                    <w:jc w:val="center"/>
                    <w:rPr>
                      <w:color w:val="000000"/>
                      <w:szCs w:val="21"/>
                      <w:u w:val="single"/>
                    </w:rPr>
                  </w:pPr>
                </w:p>
              </w:tc>
              <w:tc>
                <w:tcPr>
                  <w:tcW w:w="684" w:type="pct"/>
                  <w:vAlign w:val="center"/>
                </w:tcPr>
                <w:p w14:paraId="6A06C48A">
                  <w:pPr>
                    <w:pStyle w:val="50"/>
                    <w:adjustRightInd/>
                    <w:snapToGrid/>
                    <w:spacing w:beforeLines="0" w:line="240" w:lineRule="auto"/>
                    <w:rPr>
                      <w:rFonts w:ascii="Times New Roman" w:hAnsi="Times New Roman" w:eastAsia="等线"/>
                      <w:kern w:val="0"/>
                      <w:szCs w:val="21"/>
                      <w:u w:val="single"/>
                    </w:rPr>
                  </w:pPr>
                  <w:r>
                    <w:rPr>
                      <w:rFonts w:ascii="Times New Roman" w:hAnsi="Times New Roman" w:eastAsia="等线"/>
                      <w:kern w:val="0"/>
                      <w:szCs w:val="21"/>
                      <w:u w:val="single"/>
                    </w:rPr>
                    <w:t>100</w:t>
                  </w:r>
                </w:p>
              </w:tc>
              <w:tc>
                <w:tcPr>
                  <w:tcW w:w="1286" w:type="dxa"/>
                  <w:vAlign w:val="center"/>
                </w:tcPr>
                <w:p w14:paraId="02A9AB20">
                  <w:pPr>
                    <w:widowControl/>
                    <w:jc w:val="center"/>
                    <w:textAlignment w:val="center"/>
                    <w:rPr>
                      <w:color w:val="000000"/>
                      <w:szCs w:val="21"/>
                      <w:u w:val="single"/>
                    </w:rPr>
                  </w:pPr>
                  <w:r>
                    <w:rPr>
                      <w:color w:val="000000"/>
                      <w:kern w:val="0"/>
                      <w:szCs w:val="21"/>
                      <w:u w:val="single"/>
                      <w:lang w:bidi="ar"/>
                    </w:rPr>
                    <w:t>0.0000096</w:t>
                  </w:r>
                </w:p>
              </w:tc>
            </w:tr>
            <w:tr w14:paraId="518A88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94" w:type="pct"/>
                  <w:vMerge w:val="restart"/>
                  <w:vAlign w:val="center"/>
                </w:tcPr>
                <w:p w14:paraId="2FD79279">
                  <w:pPr>
                    <w:pStyle w:val="93"/>
                    <w:rPr>
                      <w:szCs w:val="21"/>
                      <w:u w:val="single"/>
                      <w:lang w:bidi="ar"/>
                    </w:rPr>
                  </w:pPr>
                  <w:r>
                    <w:rPr>
                      <w:szCs w:val="21"/>
                      <w:u w:val="single"/>
                      <w:lang w:bidi="ar"/>
                    </w:rPr>
                    <w:t>生产废水</w:t>
                  </w:r>
                  <w:r>
                    <w:rPr>
                      <w:rFonts w:hint="eastAsia"/>
                      <w:szCs w:val="21"/>
                      <w:u w:val="single"/>
                      <w:lang w:bidi="ar"/>
                    </w:rPr>
                    <w:t>（含锅炉废水）</w:t>
                  </w:r>
                </w:p>
                <w:p w14:paraId="35F3BC15">
                  <w:pPr>
                    <w:pStyle w:val="93"/>
                    <w:rPr>
                      <w:color w:val="000000"/>
                      <w:szCs w:val="21"/>
                      <w:u w:val="single"/>
                    </w:rPr>
                  </w:pPr>
                  <w:r>
                    <w:rPr>
                      <w:rFonts w:hint="eastAsia"/>
                      <w:szCs w:val="21"/>
                      <w:u w:val="single"/>
                      <w:lang w:bidi="ar"/>
                    </w:rPr>
                    <w:t>77868.5</w:t>
                  </w:r>
                  <w:r>
                    <w:rPr>
                      <w:szCs w:val="21"/>
                      <w:u w:val="single"/>
                    </w:rPr>
                    <w:t>m</w:t>
                  </w:r>
                  <w:r>
                    <w:rPr>
                      <w:szCs w:val="21"/>
                      <w:u w:val="single"/>
                      <w:vertAlign w:val="superscript"/>
                    </w:rPr>
                    <w:t>3</w:t>
                  </w:r>
                  <w:r>
                    <w:rPr>
                      <w:szCs w:val="21"/>
                      <w:u w:val="single"/>
                    </w:rPr>
                    <w:t>/a</w:t>
                  </w:r>
                </w:p>
              </w:tc>
              <w:tc>
                <w:tcPr>
                  <w:tcW w:w="545" w:type="pct"/>
                  <w:vAlign w:val="center"/>
                </w:tcPr>
                <w:p w14:paraId="524193ED">
                  <w:pPr>
                    <w:adjustRightInd w:val="0"/>
                    <w:jc w:val="center"/>
                    <w:rPr>
                      <w:bCs/>
                      <w:szCs w:val="21"/>
                      <w:u w:val="single"/>
                      <w:lang w:eastAsia="en-US"/>
                    </w:rPr>
                  </w:pPr>
                  <w:r>
                    <w:rPr>
                      <w:bCs/>
                      <w:szCs w:val="21"/>
                      <w:u w:val="single"/>
                      <w:lang w:eastAsia="en-US" w:bidi="ar"/>
                    </w:rPr>
                    <w:t>pH</w:t>
                  </w:r>
                </w:p>
              </w:tc>
              <w:tc>
                <w:tcPr>
                  <w:tcW w:w="596" w:type="pct"/>
                  <w:vAlign w:val="center"/>
                </w:tcPr>
                <w:p w14:paraId="18560492">
                  <w:pPr>
                    <w:widowControl/>
                    <w:jc w:val="center"/>
                    <w:textAlignment w:val="center"/>
                    <w:rPr>
                      <w:bCs/>
                      <w:szCs w:val="21"/>
                      <w:u w:val="single"/>
                      <w:lang w:bidi="ar"/>
                    </w:rPr>
                  </w:pPr>
                  <w:r>
                    <w:rPr>
                      <w:kern w:val="0"/>
                      <w:szCs w:val="21"/>
                      <w:u w:val="single"/>
                      <w:lang w:bidi="ar"/>
                    </w:rPr>
                    <w:t>6-9</w:t>
                  </w:r>
                </w:p>
              </w:tc>
              <w:tc>
                <w:tcPr>
                  <w:tcW w:w="472" w:type="pct"/>
                  <w:vAlign w:val="center"/>
                </w:tcPr>
                <w:p w14:paraId="169C6C52">
                  <w:pPr>
                    <w:adjustRightInd w:val="0"/>
                    <w:jc w:val="center"/>
                    <w:rPr>
                      <w:bCs/>
                      <w:szCs w:val="21"/>
                      <w:u w:val="single"/>
                      <w:lang w:bidi="ar"/>
                    </w:rPr>
                  </w:pPr>
                  <w:r>
                    <w:rPr>
                      <w:bCs/>
                      <w:szCs w:val="21"/>
                      <w:u w:val="single"/>
                      <w:lang w:bidi="ar"/>
                    </w:rPr>
                    <w:t>/</w:t>
                  </w:r>
                </w:p>
              </w:tc>
              <w:tc>
                <w:tcPr>
                  <w:tcW w:w="1149" w:type="pct"/>
                  <w:vMerge w:val="restart"/>
                  <w:vAlign w:val="center"/>
                </w:tcPr>
                <w:p w14:paraId="3788602A">
                  <w:pPr>
                    <w:jc w:val="center"/>
                    <w:rPr>
                      <w:color w:val="000000"/>
                      <w:szCs w:val="21"/>
                      <w:u w:val="single"/>
                    </w:rPr>
                  </w:pPr>
                  <w:r>
                    <w:rPr>
                      <w:color w:val="000000"/>
                      <w:szCs w:val="21"/>
                      <w:u w:val="single"/>
                    </w:rPr>
                    <w:t>依托湖南华益科技发展有限公司（原名湖南华益食品有限公司）自建污水处理设施处理（</w:t>
                  </w:r>
                  <w:r>
                    <w:rPr>
                      <w:rFonts w:hint="eastAsia" w:ascii="宋体" w:hAnsi="宋体" w:cs="宋体"/>
                      <w:szCs w:val="21"/>
                      <w:u w:val="single"/>
                    </w:rPr>
                    <w:t>“</w:t>
                  </w:r>
                  <w:r>
                    <w:rPr>
                      <w:rFonts w:hint="eastAsia" w:ascii="宋体" w:hAnsi="宋体" w:cs="宋体"/>
                      <w:color w:val="000000"/>
                      <w:szCs w:val="21"/>
                      <w:u w:val="single"/>
                    </w:rPr>
                    <w:t>格栅井+调节池+加药沉淀+两级水解酸化+两级接触氧化+竖流沉淀</w:t>
                  </w:r>
                  <w:r>
                    <w:rPr>
                      <w:rFonts w:hint="eastAsia" w:ascii="宋体" w:hAnsi="宋体" w:cs="宋体"/>
                      <w:szCs w:val="21"/>
                      <w:u w:val="single"/>
                    </w:rPr>
                    <w:t>”</w:t>
                  </w:r>
                  <w:r>
                    <w:rPr>
                      <w:color w:val="000000"/>
                      <w:szCs w:val="21"/>
                      <w:u w:val="single"/>
                    </w:rPr>
                    <w:t>）</w:t>
                  </w:r>
                </w:p>
              </w:tc>
              <w:tc>
                <w:tcPr>
                  <w:tcW w:w="684" w:type="pct"/>
                  <w:vAlign w:val="center"/>
                </w:tcPr>
                <w:p w14:paraId="77DCE2A1">
                  <w:pPr>
                    <w:widowControl/>
                    <w:jc w:val="center"/>
                    <w:textAlignment w:val="center"/>
                    <w:rPr>
                      <w:kern w:val="0"/>
                      <w:szCs w:val="21"/>
                      <w:u w:val="single"/>
                      <w:lang w:bidi="ar"/>
                    </w:rPr>
                  </w:pPr>
                  <w:r>
                    <w:rPr>
                      <w:kern w:val="0"/>
                      <w:szCs w:val="21"/>
                      <w:u w:val="single"/>
                      <w:lang w:bidi="ar"/>
                    </w:rPr>
                    <w:t>6-9</w:t>
                  </w:r>
                </w:p>
              </w:tc>
              <w:tc>
                <w:tcPr>
                  <w:tcW w:w="757" w:type="pct"/>
                  <w:vAlign w:val="center"/>
                </w:tcPr>
                <w:p w14:paraId="4CA847F5">
                  <w:pPr>
                    <w:jc w:val="center"/>
                    <w:rPr>
                      <w:rFonts w:eastAsia="等线"/>
                      <w:szCs w:val="21"/>
                      <w:u w:val="single"/>
                      <w:lang w:bidi="ar"/>
                    </w:rPr>
                  </w:pPr>
                  <w:r>
                    <w:rPr>
                      <w:rFonts w:eastAsia="等线"/>
                      <w:szCs w:val="21"/>
                      <w:u w:val="single"/>
                      <w:lang w:bidi="ar"/>
                    </w:rPr>
                    <w:t>/</w:t>
                  </w:r>
                </w:p>
              </w:tc>
            </w:tr>
            <w:tr w14:paraId="107E97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94" w:type="pct"/>
                  <w:vMerge w:val="continue"/>
                  <w:vAlign w:val="center"/>
                </w:tcPr>
                <w:p w14:paraId="5BFF2726">
                  <w:pPr>
                    <w:pStyle w:val="93"/>
                    <w:rPr>
                      <w:color w:val="000000"/>
                      <w:szCs w:val="21"/>
                      <w:u w:val="single"/>
                    </w:rPr>
                  </w:pPr>
                </w:p>
              </w:tc>
              <w:tc>
                <w:tcPr>
                  <w:tcW w:w="545" w:type="pct"/>
                  <w:vAlign w:val="center"/>
                </w:tcPr>
                <w:p w14:paraId="4F60E222">
                  <w:pPr>
                    <w:widowControl/>
                    <w:jc w:val="center"/>
                    <w:textAlignment w:val="center"/>
                    <w:rPr>
                      <w:bCs/>
                      <w:szCs w:val="21"/>
                      <w:u w:val="single"/>
                    </w:rPr>
                  </w:pPr>
                  <w:r>
                    <w:rPr>
                      <w:kern w:val="0"/>
                      <w:szCs w:val="21"/>
                      <w:u w:val="single"/>
                      <w:lang w:bidi="ar"/>
                    </w:rPr>
                    <w:t>COD</w:t>
                  </w:r>
                </w:p>
              </w:tc>
              <w:tc>
                <w:tcPr>
                  <w:tcW w:w="1014" w:type="dxa"/>
                  <w:vAlign w:val="center"/>
                </w:tcPr>
                <w:p w14:paraId="06AC939A">
                  <w:pPr>
                    <w:widowControl/>
                    <w:jc w:val="center"/>
                    <w:textAlignment w:val="center"/>
                    <w:rPr>
                      <w:color w:val="000000"/>
                      <w:kern w:val="0"/>
                      <w:szCs w:val="21"/>
                      <w:u w:val="single"/>
                    </w:rPr>
                  </w:pPr>
                  <w:r>
                    <w:rPr>
                      <w:color w:val="000000"/>
                      <w:kern w:val="0"/>
                      <w:szCs w:val="21"/>
                      <w:u w:val="single"/>
                      <w:lang w:bidi="ar"/>
                    </w:rPr>
                    <w:t xml:space="preserve">3393.20 </w:t>
                  </w:r>
                </w:p>
              </w:tc>
              <w:tc>
                <w:tcPr>
                  <w:tcW w:w="802" w:type="dxa"/>
                  <w:vAlign w:val="center"/>
                </w:tcPr>
                <w:p w14:paraId="2701B7A9">
                  <w:pPr>
                    <w:widowControl/>
                    <w:jc w:val="center"/>
                    <w:textAlignment w:val="center"/>
                    <w:rPr>
                      <w:color w:val="000000"/>
                      <w:kern w:val="0"/>
                      <w:szCs w:val="21"/>
                      <w:u w:val="single"/>
                    </w:rPr>
                  </w:pPr>
                  <w:r>
                    <w:rPr>
                      <w:color w:val="000000"/>
                      <w:kern w:val="0"/>
                      <w:szCs w:val="21"/>
                      <w:u w:val="single"/>
                      <w:lang w:bidi="ar"/>
                    </w:rPr>
                    <w:t xml:space="preserve">264.223 </w:t>
                  </w:r>
                </w:p>
              </w:tc>
              <w:tc>
                <w:tcPr>
                  <w:tcW w:w="1149" w:type="pct"/>
                  <w:vMerge w:val="continue"/>
                  <w:vAlign w:val="center"/>
                </w:tcPr>
                <w:p w14:paraId="32A19357">
                  <w:pPr>
                    <w:jc w:val="center"/>
                    <w:rPr>
                      <w:color w:val="000000"/>
                      <w:szCs w:val="21"/>
                      <w:u w:val="single"/>
                    </w:rPr>
                  </w:pPr>
                </w:p>
              </w:tc>
              <w:tc>
                <w:tcPr>
                  <w:tcW w:w="684" w:type="pct"/>
                  <w:vAlign w:val="center"/>
                </w:tcPr>
                <w:p w14:paraId="06DB001D">
                  <w:pPr>
                    <w:pStyle w:val="50"/>
                    <w:adjustRightInd/>
                    <w:snapToGrid/>
                    <w:spacing w:beforeLines="0" w:line="240" w:lineRule="auto"/>
                    <w:rPr>
                      <w:rFonts w:ascii="Times New Roman" w:hAnsi="Times New Roman" w:eastAsia="等线"/>
                      <w:kern w:val="0"/>
                      <w:szCs w:val="21"/>
                      <w:u w:val="single"/>
                    </w:rPr>
                  </w:pPr>
                  <w:r>
                    <w:rPr>
                      <w:rFonts w:ascii="Times New Roman" w:hAnsi="Times New Roman" w:eastAsia="等线"/>
                      <w:kern w:val="0"/>
                      <w:szCs w:val="21"/>
                      <w:u w:val="single"/>
                    </w:rPr>
                    <w:t>500</w:t>
                  </w:r>
                </w:p>
              </w:tc>
              <w:tc>
                <w:tcPr>
                  <w:tcW w:w="757" w:type="pct"/>
                  <w:vAlign w:val="center"/>
                </w:tcPr>
                <w:p w14:paraId="6FF4FD9A">
                  <w:pPr>
                    <w:jc w:val="center"/>
                    <w:rPr>
                      <w:rFonts w:eastAsia="等线"/>
                      <w:szCs w:val="21"/>
                      <w:u w:val="single"/>
                      <w:lang w:bidi="ar"/>
                    </w:rPr>
                  </w:pPr>
                  <w:r>
                    <w:rPr>
                      <w:rFonts w:eastAsia="等线"/>
                      <w:szCs w:val="21"/>
                      <w:u w:val="single"/>
                      <w:lang w:bidi="ar"/>
                    </w:rPr>
                    <w:t>0.132</w:t>
                  </w:r>
                </w:p>
              </w:tc>
            </w:tr>
            <w:tr w14:paraId="12A9C1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94" w:type="pct"/>
                  <w:vMerge w:val="continue"/>
                  <w:vAlign w:val="center"/>
                </w:tcPr>
                <w:p w14:paraId="630B31E6">
                  <w:pPr>
                    <w:pStyle w:val="93"/>
                    <w:rPr>
                      <w:color w:val="000000"/>
                      <w:szCs w:val="21"/>
                      <w:u w:val="single"/>
                    </w:rPr>
                  </w:pPr>
                </w:p>
              </w:tc>
              <w:tc>
                <w:tcPr>
                  <w:tcW w:w="545" w:type="pct"/>
                  <w:vAlign w:val="center"/>
                </w:tcPr>
                <w:p w14:paraId="0DB15A2C">
                  <w:pPr>
                    <w:widowControl/>
                    <w:jc w:val="center"/>
                    <w:textAlignment w:val="center"/>
                    <w:rPr>
                      <w:bCs/>
                      <w:szCs w:val="21"/>
                      <w:u w:val="single"/>
                    </w:rPr>
                  </w:pPr>
                  <w:r>
                    <w:rPr>
                      <w:kern w:val="0"/>
                      <w:szCs w:val="21"/>
                      <w:u w:val="single"/>
                      <w:lang w:bidi="ar"/>
                    </w:rPr>
                    <w:t>氨氮</w:t>
                  </w:r>
                </w:p>
              </w:tc>
              <w:tc>
                <w:tcPr>
                  <w:tcW w:w="1014" w:type="dxa"/>
                  <w:vAlign w:val="center"/>
                </w:tcPr>
                <w:p w14:paraId="0DED89FF">
                  <w:pPr>
                    <w:widowControl/>
                    <w:jc w:val="center"/>
                    <w:textAlignment w:val="center"/>
                    <w:rPr>
                      <w:color w:val="000000"/>
                      <w:szCs w:val="21"/>
                      <w:u w:val="single"/>
                    </w:rPr>
                  </w:pPr>
                  <w:r>
                    <w:rPr>
                      <w:color w:val="000000"/>
                      <w:kern w:val="0"/>
                      <w:szCs w:val="21"/>
                      <w:u w:val="single"/>
                      <w:lang w:bidi="ar"/>
                    </w:rPr>
                    <w:t xml:space="preserve">56.27 </w:t>
                  </w:r>
                </w:p>
              </w:tc>
              <w:tc>
                <w:tcPr>
                  <w:tcW w:w="802" w:type="dxa"/>
                  <w:vAlign w:val="center"/>
                </w:tcPr>
                <w:p w14:paraId="2CE07583">
                  <w:pPr>
                    <w:widowControl/>
                    <w:jc w:val="center"/>
                    <w:textAlignment w:val="center"/>
                    <w:rPr>
                      <w:color w:val="000000"/>
                      <w:szCs w:val="21"/>
                      <w:u w:val="single"/>
                    </w:rPr>
                  </w:pPr>
                  <w:r>
                    <w:rPr>
                      <w:color w:val="000000"/>
                      <w:kern w:val="0"/>
                      <w:szCs w:val="21"/>
                      <w:u w:val="single"/>
                      <w:lang w:bidi="ar"/>
                    </w:rPr>
                    <w:t xml:space="preserve">4.382 </w:t>
                  </w:r>
                </w:p>
              </w:tc>
              <w:tc>
                <w:tcPr>
                  <w:tcW w:w="1149" w:type="pct"/>
                  <w:vMerge w:val="continue"/>
                  <w:vAlign w:val="center"/>
                </w:tcPr>
                <w:p w14:paraId="3B369DC8">
                  <w:pPr>
                    <w:jc w:val="center"/>
                    <w:rPr>
                      <w:color w:val="000000"/>
                      <w:szCs w:val="21"/>
                      <w:u w:val="single"/>
                    </w:rPr>
                  </w:pPr>
                </w:p>
              </w:tc>
              <w:tc>
                <w:tcPr>
                  <w:tcW w:w="684" w:type="pct"/>
                  <w:vAlign w:val="center"/>
                </w:tcPr>
                <w:p w14:paraId="4A398E71">
                  <w:pPr>
                    <w:pStyle w:val="50"/>
                    <w:adjustRightInd/>
                    <w:snapToGrid/>
                    <w:spacing w:beforeLines="0" w:line="240" w:lineRule="auto"/>
                    <w:rPr>
                      <w:rFonts w:ascii="Times New Roman" w:hAnsi="Times New Roman" w:eastAsia="等线"/>
                      <w:kern w:val="0"/>
                      <w:szCs w:val="21"/>
                      <w:u w:val="single"/>
                    </w:rPr>
                  </w:pPr>
                  <w:r>
                    <w:rPr>
                      <w:rFonts w:ascii="Times New Roman" w:hAnsi="Times New Roman" w:eastAsia="等线"/>
                      <w:kern w:val="0"/>
                      <w:szCs w:val="21"/>
                      <w:u w:val="single"/>
                    </w:rPr>
                    <w:t>/</w:t>
                  </w:r>
                </w:p>
              </w:tc>
              <w:tc>
                <w:tcPr>
                  <w:tcW w:w="757" w:type="pct"/>
                  <w:vAlign w:val="center"/>
                </w:tcPr>
                <w:p w14:paraId="06A4482C">
                  <w:pPr>
                    <w:jc w:val="center"/>
                    <w:rPr>
                      <w:rFonts w:eastAsia="等线"/>
                      <w:szCs w:val="21"/>
                      <w:u w:val="single"/>
                      <w:lang w:bidi="ar"/>
                    </w:rPr>
                  </w:pPr>
                </w:p>
              </w:tc>
            </w:tr>
            <w:tr w14:paraId="471C64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94" w:type="pct"/>
                  <w:vMerge w:val="continue"/>
                  <w:vAlign w:val="center"/>
                </w:tcPr>
                <w:p w14:paraId="15CF1901">
                  <w:pPr>
                    <w:pStyle w:val="93"/>
                    <w:rPr>
                      <w:color w:val="000000"/>
                      <w:szCs w:val="21"/>
                      <w:u w:val="single"/>
                    </w:rPr>
                  </w:pPr>
                </w:p>
              </w:tc>
              <w:tc>
                <w:tcPr>
                  <w:tcW w:w="545" w:type="pct"/>
                  <w:vAlign w:val="center"/>
                </w:tcPr>
                <w:p w14:paraId="4723DFB0">
                  <w:pPr>
                    <w:widowControl/>
                    <w:jc w:val="center"/>
                    <w:textAlignment w:val="center"/>
                    <w:rPr>
                      <w:bCs/>
                      <w:szCs w:val="21"/>
                      <w:u w:val="single"/>
                    </w:rPr>
                  </w:pPr>
                  <w:r>
                    <w:rPr>
                      <w:kern w:val="0"/>
                      <w:szCs w:val="21"/>
                      <w:u w:val="single"/>
                      <w:lang w:bidi="ar"/>
                    </w:rPr>
                    <w:t>总氮</w:t>
                  </w:r>
                </w:p>
              </w:tc>
              <w:tc>
                <w:tcPr>
                  <w:tcW w:w="1014" w:type="dxa"/>
                  <w:vAlign w:val="center"/>
                </w:tcPr>
                <w:p w14:paraId="49DBDFC3">
                  <w:pPr>
                    <w:widowControl/>
                    <w:jc w:val="center"/>
                    <w:textAlignment w:val="center"/>
                    <w:rPr>
                      <w:color w:val="000000"/>
                      <w:szCs w:val="21"/>
                      <w:u w:val="single"/>
                    </w:rPr>
                  </w:pPr>
                  <w:r>
                    <w:rPr>
                      <w:color w:val="000000"/>
                      <w:kern w:val="0"/>
                      <w:szCs w:val="21"/>
                      <w:u w:val="single"/>
                      <w:lang w:bidi="ar"/>
                    </w:rPr>
                    <w:t xml:space="preserve">166.53 </w:t>
                  </w:r>
                </w:p>
              </w:tc>
              <w:tc>
                <w:tcPr>
                  <w:tcW w:w="802" w:type="dxa"/>
                  <w:vAlign w:val="center"/>
                </w:tcPr>
                <w:p w14:paraId="034DB44E">
                  <w:pPr>
                    <w:widowControl/>
                    <w:jc w:val="center"/>
                    <w:textAlignment w:val="center"/>
                    <w:rPr>
                      <w:color w:val="000000"/>
                      <w:szCs w:val="21"/>
                      <w:u w:val="single"/>
                    </w:rPr>
                  </w:pPr>
                  <w:r>
                    <w:rPr>
                      <w:color w:val="000000"/>
                      <w:kern w:val="0"/>
                      <w:szCs w:val="21"/>
                      <w:u w:val="single"/>
                      <w:lang w:bidi="ar"/>
                    </w:rPr>
                    <w:t xml:space="preserve">12.967 </w:t>
                  </w:r>
                </w:p>
              </w:tc>
              <w:tc>
                <w:tcPr>
                  <w:tcW w:w="1149" w:type="pct"/>
                  <w:vMerge w:val="continue"/>
                  <w:vAlign w:val="center"/>
                </w:tcPr>
                <w:p w14:paraId="2DE4EF30">
                  <w:pPr>
                    <w:jc w:val="center"/>
                    <w:rPr>
                      <w:color w:val="000000"/>
                      <w:szCs w:val="21"/>
                      <w:u w:val="single"/>
                    </w:rPr>
                  </w:pPr>
                </w:p>
              </w:tc>
              <w:tc>
                <w:tcPr>
                  <w:tcW w:w="684" w:type="pct"/>
                  <w:vAlign w:val="center"/>
                </w:tcPr>
                <w:p w14:paraId="6ECC036D">
                  <w:pPr>
                    <w:pStyle w:val="50"/>
                    <w:adjustRightInd/>
                    <w:snapToGrid/>
                    <w:spacing w:beforeLines="0" w:line="240" w:lineRule="auto"/>
                    <w:rPr>
                      <w:rFonts w:ascii="Times New Roman" w:hAnsi="Times New Roman" w:eastAsia="等线"/>
                      <w:kern w:val="0"/>
                      <w:szCs w:val="21"/>
                      <w:u w:val="single"/>
                    </w:rPr>
                  </w:pPr>
                  <w:r>
                    <w:rPr>
                      <w:rFonts w:ascii="Times New Roman" w:hAnsi="Times New Roman" w:eastAsia="等线"/>
                      <w:kern w:val="0"/>
                      <w:szCs w:val="21"/>
                      <w:u w:val="single"/>
                    </w:rPr>
                    <w:t>/</w:t>
                  </w:r>
                </w:p>
              </w:tc>
              <w:tc>
                <w:tcPr>
                  <w:tcW w:w="757" w:type="pct"/>
                  <w:vAlign w:val="center"/>
                </w:tcPr>
                <w:p w14:paraId="23CF35D8">
                  <w:pPr>
                    <w:jc w:val="center"/>
                    <w:rPr>
                      <w:rFonts w:eastAsia="等线"/>
                      <w:szCs w:val="21"/>
                      <w:u w:val="single"/>
                      <w:lang w:bidi="ar"/>
                    </w:rPr>
                  </w:pPr>
                </w:p>
              </w:tc>
            </w:tr>
            <w:tr w14:paraId="0DA2AE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94" w:type="pct"/>
                  <w:vMerge w:val="continue"/>
                  <w:vAlign w:val="center"/>
                </w:tcPr>
                <w:p w14:paraId="5BF11A10">
                  <w:pPr>
                    <w:pStyle w:val="93"/>
                    <w:rPr>
                      <w:color w:val="000000"/>
                      <w:szCs w:val="21"/>
                      <w:u w:val="single"/>
                    </w:rPr>
                  </w:pPr>
                </w:p>
              </w:tc>
              <w:tc>
                <w:tcPr>
                  <w:tcW w:w="545" w:type="pct"/>
                  <w:vAlign w:val="center"/>
                </w:tcPr>
                <w:p w14:paraId="3E11BDD6">
                  <w:pPr>
                    <w:widowControl/>
                    <w:jc w:val="center"/>
                    <w:textAlignment w:val="center"/>
                    <w:rPr>
                      <w:bCs/>
                      <w:szCs w:val="21"/>
                      <w:u w:val="single"/>
                    </w:rPr>
                  </w:pPr>
                  <w:r>
                    <w:rPr>
                      <w:kern w:val="0"/>
                      <w:szCs w:val="21"/>
                      <w:u w:val="single"/>
                      <w:lang w:bidi="ar"/>
                    </w:rPr>
                    <w:t>总磷</w:t>
                  </w:r>
                </w:p>
              </w:tc>
              <w:tc>
                <w:tcPr>
                  <w:tcW w:w="1014" w:type="dxa"/>
                  <w:vAlign w:val="center"/>
                </w:tcPr>
                <w:p w14:paraId="41379E65">
                  <w:pPr>
                    <w:widowControl/>
                    <w:jc w:val="center"/>
                    <w:textAlignment w:val="center"/>
                    <w:rPr>
                      <w:color w:val="000000"/>
                      <w:szCs w:val="21"/>
                      <w:u w:val="single"/>
                    </w:rPr>
                  </w:pPr>
                  <w:r>
                    <w:rPr>
                      <w:color w:val="000000"/>
                      <w:kern w:val="0"/>
                      <w:szCs w:val="21"/>
                      <w:u w:val="single"/>
                      <w:lang w:bidi="ar"/>
                    </w:rPr>
                    <w:t xml:space="preserve">52.94 </w:t>
                  </w:r>
                </w:p>
              </w:tc>
              <w:tc>
                <w:tcPr>
                  <w:tcW w:w="802" w:type="dxa"/>
                  <w:vAlign w:val="center"/>
                </w:tcPr>
                <w:p w14:paraId="39A0F9D7">
                  <w:pPr>
                    <w:widowControl/>
                    <w:jc w:val="center"/>
                    <w:textAlignment w:val="center"/>
                    <w:rPr>
                      <w:color w:val="000000"/>
                      <w:szCs w:val="21"/>
                      <w:u w:val="single"/>
                    </w:rPr>
                  </w:pPr>
                  <w:r>
                    <w:rPr>
                      <w:color w:val="000000"/>
                      <w:kern w:val="0"/>
                      <w:szCs w:val="21"/>
                      <w:u w:val="single"/>
                      <w:lang w:bidi="ar"/>
                    </w:rPr>
                    <w:t xml:space="preserve">4.122 </w:t>
                  </w:r>
                </w:p>
              </w:tc>
              <w:tc>
                <w:tcPr>
                  <w:tcW w:w="1149" w:type="pct"/>
                  <w:vMerge w:val="continue"/>
                  <w:vAlign w:val="center"/>
                </w:tcPr>
                <w:p w14:paraId="34AEB58F">
                  <w:pPr>
                    <w:jc w:val="center"/>
                    <w:rPr>
                      <w:color w:val="000000"/>
                      <w:szCs w:val="21"/>
                      <w:u w:val="single"/>
                    </w:rPr>
                  </w:pPr>
                </w:p>
              </w:tc>
              <w:tc>
                <w:tcPr>
                  <w:tcW w:w="684" w:type="pct"/>
                  <w:vAlign w:val="center"/>
                </w:tcPr>
                <w:p w14:paraId="6944FD1D">
                  <w:pPr>
                    <w:pStyle w:val="50"/>
                    <w:adjustRightInd/>
                    <w:snapToGrid/>
                    <w:spacing w:beforeLines="0" w:line="240" w:lineRule="auto"/>
                    <w:rPr>
                      <w:rFonts w:ascii="Times New Roman" w:hAnsi="Times New Roman" w:eastAsia="等线"/>
                      <w:kern w:val="0"/>
                      <w:szCs w:val="21"/>
                      <w:u w:val="single"/>
                    </w:rPr>
                  </w:pPr>
                  <w:r>
                    <w:rPr>
                      <w:rFonts w:ascii="Times New Roman" w:hAnsi="Times New Roman" w:eastAsia="等线"/>
                      <w:kern w:val="0"/>
                      <w:szCs w:val="21"/>
                      <w:u w:val="single"/>
                    </w:rPr>
                    <w:t>/</w:t>
                  </w:r>
                </w:p>
              </w:tc>
              <w:tc>
                <w:tcPr>
                  <w:tcW w:w="757" w:type="pct"/>
                  <w:vAlign w:val="center"/>
                </w:tcPr>
                <w:p w14:paraId="7109D138">
                  <w:pPr>
                    <w:jc w:val="center"/>
                    <w:rPr>
                      <w:rFonts w:eastAsia="等线"/>
                      <w:szCs w:val="21"/>
                      <w:u w:val="single"/>
                      <w:lang w:bidi="ar"/>
                    </w:rPr>
                  </w:pPr>
                </w:p>
              </w:tc>
            </w:tr>
            <w:tr w14:paraId="3497C0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94" w:type="pct"/>
                  <w:vMerge w:val="continue"/>
                  <w:vAlign w:val="center"/>
                </w:tcPr>
                <w:p w14:paraId="1AB16B69">
                  <w:pPr>
                    <w:pStyle w:val="93"/>
                    <w:rPr>
                      <w:color w:val="000000"/>
                      <w:szCs w:val="21"/>
                      <w:u w:val="single"/>
                    </w:rPr>
                  </w:pPr>
                </w:p>
              </w:tc>
              <w:tc>
                <w:tcPr>
                  <w:tcW w:w="545" w:type="pct"/>
                  <w:vAlign w:val="center"/>
                </w:tcPr>
                <w:p w14:paraId="66F14F72">
                  <w:pPr>
                    <w:widowControl/>
                    <w:jc w:val="center"/>
                    <w:textAlignment w:val="center"/>
                    <w:rPr>
                      <w:kern w:val="0"/>
                      <w:szCs w:val="21"/>
                      <w:u w:val="single"/>
                      <w:lang w:bidi="ar"/>
                    </w:rPr>
                  </w:pPr>
                  <w:r>
                    <w:rPr>
                      <w:kern w:val="0"/>
                      <w:szCs w:val="21"/>
                      <w:u w:val="single"/>
                      <w:lang w:bidi="ar"/>
                    </w:rPr>
                    <w:t>SS</w:t>
                  </w:r>
                </w:p>
              </w:tc>
              <w:tc>
                <w:tcPr>
                  <w:tcW w:w="1014" w:type="dxa"/>
                  <w:vAlign w:val="center"/>
                </w:tcPr>
                <w:p w14:paraId="3E3EABE9">
                  <w:pPr>
                    <w:widowControl/>
                    <w:jc w:val="center"/>
                    <w:textAlignment w:val="center"/>
                    <w:rPr>
                      <w:color w:val="000000"/>
                      <w:szCs w:val="21"/>
                      <w:u w:val="single"/>
                    </w:rPr>
                  </w:pPr>
                  <w:r>
                    <w:rPr>
                      <w:color w:val="000000"/>
                      <w:kern w:val="0"/>
                      <w:szCs w:val="21"/>
                      <w:u w:val="single"/>
                      <w:lang w:bidi="ar"/>
                    </w:rPr>
                    <w:t xml:space="preserve">477.60 </w:t>
                  </w:r>
                </w:p>
              </w:tc>
              <w:tc>
                <w:tcPr>
                  <w:tcW w:w="802" w:type="dxa"/>
                  <w:vAlign w:val="center"/>
                </w:tcPr>
                <w:p w14:paraId="66C3A733">
                  <w:pPr>
                    <w:widowControl/>
                    <w:jc w:val="center"/>
                    <w:textAlignment w:val="center"/>
                    <w:rPr>
                      <w:color w:val="000000"/>
                      <w:szCs w:val="21"/>
                      <w:u w:val="single"/>
                    </w:rPr>
                  </w:pPr>
                  <w:r>
                    <w:rPr>
                      <w:color w:val="000000"/>
                      <w:kern w:val="0"/>
                      <w:szCs w:val="21"/>
                      <w:u w:val="single"/>
                      <w:lang w:bidi="ar"/>
                    </w:rPr>
                    <w:t xml:space="preserve">37.190 </w:t>
                  </w:r>
                </w:p>
              </w:tc>
              <w:tc>
                <w:tcPr>
                  <w:tcW w:w="1149" w:type="pct"/>
                  <w:vMerge w:val="continue"/>
                  <w:vAlign w:val="center"/>
                </w:tcPr>
                <w:p w14:paraId="7D2AA86C">
                  <w:pPr>
                    <w:jc w:val="center"/>
                    <w:rPr>
                      <w:color w:val="000000"/>
                      <w:szCs w:val="21"/>
                      <w:u w:val="single"/>
                    </w:rPr>
                  </w:pPr>
                </w:p>
              </w:tc>
              <w:tc>
                <w:tcPr>
                  <w:tcW w:w="684" w:type="pct"/>
                  <w:vAlign w:val="center"/>
                </w:tcPr>
                <w:p w14:paraId="6E59434D">
                  <w:pPr>
                    <w:pStyle w:val="50"/>
                    <w:adjustRightInd/>
                    <w:snapToGrid/>
                    <w:spacing w:beforeLines="0" w:line="240" w:lineRule="auto"/>
                    <w:rPr>
                      <w:rFonts w:ascii="Times New Roman" w:hAnsi="Times New Roman" w:eastAsia="等线"/>
                      <w:kern w:val="0"/>
                      <w:szCs w:val="21"/>
                      <w:u w:val="single"/>
                    </w:rPr>
                  </w:pPr>
                  <w:r>
                    <w:rPr>
                      <w:rFonts w:ascii="Times New Roman" w:hAnsi="Times New Roman" w:eastAsia="等线"/>
                      <w:kern w:val="0"/>
                      <w:szCs w:val="21"/>
                      <w:u w:val="single"/>
                    </w:rPr>
                    <w:t>400</w:t>
                  </w:r>
                </w:p>
              </w:tc>
              <w:tc>
                <w:tcPr>
                  <w:tcW w:w="757" w:type="pct"/>
                  <w:vAlign w:val="center"/>
                </w:tcPr>
                <w:p w14:paraId="6E649031">
                  <w:pPr>
                    <w:jc w:val="center"/>
                    <w:rPr>
                      <w:rFonts w:eastAsia="等线"/>
                      <w:szCs w:val="21"/>
                      <w:u w:val="single"/>
                      <w:lang w:bidi="ar"/>
                    </w:rPr>
                  </w:pPr>
                  <w:r>
                    <w:rPr>
                      <w:rFonts w:eastAsia="等线"/>
                      <w:szCs w:val="21"/>
                      <w:u w:val="single"/>
                      <w:lang w:bidi="ar"/>
                    </w:rPr>
                    <w:t>0.015</w:t>
                  </w:r>
                </w:p>
              </w:tc>
            </w:tr>
            <w:tr w14:paraId="15E0D5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94" w:type="pct"/>
                  <w:vMerge w:val="continue"/>
                  <w:vAlign w:val="center"/>
                </w:tcPr>
                <w:p w14:paraId="38DE58B2">
                  <w:pPr>
                    <w:pStyle w:val="93"/>
                    <w:rPr>
                      <w:color w:val="000000"/>
                      <w:szCs w:val="21"/>
                      <w:u w:val="single"/>
                    </w:rPr>
                  </w:pPr>
                </w:p>
              </w:tc>
              <w:tc>
                <w:tcPr>
                  <w:tcW w:w="545" w:type="pct"/>
                  <w:vAlign w:val="center"/>
                </w:tcPr>
                <w:p w14:paraId="2B9603B4">
                  <w:pPr>
                    <w:widowControl/>
                    <w:jc w:val="center"/>
                    <w:textAlignment w:val="center"/>
                    <w:rPr>
                      <w:kern w:val="0"/>
                      <w:szCs w:val="21"/>
                      <w:u w:val="single"/>
                      <w:lang w:bidi="ar"/>
                    </w:rPr>
                  </w:pPr>
                  <w:r>
                    <w:rPr>
                      <w:kern w:val="0"/>
                      <w:szCs w:val="21"/>
                      <w:u w:val="single"/>
                      <w:lang w:bidi="ar"/>
                    </w:rPr>
                    <w:t>BOD</w:t>
                  </w:r>
                </w:p>
              </w:tc>
              <w:tc>
                <w:tcPr>
                  <w:tcW w:w="1014" w:type="dxa"/>
                  <w:vAlign w:val="center"/>
                </w:tcPr>
                <w:p w14:paraId="34375535">
                  <w:pPr>
                    <w:widowControl/>
                    <w:jc w:val="center"/>
                    <w:textAlignment w:val="center"/>
                    <w:rPr>
                      <w:color w:val="000000"/>
                      <w:szCs w:val="21"/>
                      <w:u w:val="single"/>
                    </w:rPr>
                  </w:pPr>
                  <w:r>
                    <w:rPr>
                      <w:color w:val="000000"/>
                      <w:kern w:val="0"/>
                      <w:szCs w:val="21"/>
                      <w:u w:val="single"/>
                      <w:lang w:bidi="ar"/>
                    </w:rPr>
                    <w:t xml:space="preserve">1771.05 </w:t>
                  </w:r>
                </w:p>
              </w:tc>
              <w:tc>
                <w:tcPr>
                  <w:tcW w:w="802" w:type="dxa"/>
                  <w:vAlign w:val="center"/>
                </w:tcPr>
                <w:p w14:paraId="2095376F">
                  <w:pPr>
                    <w:widowControl/>
                    <w:jc w:val="center"/>
                    <w:textAlignment w:val="center"/>
                    <w:rPr>
                      <w:color w:val="000000"/>
                      <w:szCs w:val="21"/>
                      <w:u w:val="single"/>
                    </w:rPr>
                  </w:pPr>
                  <w:r>
                    <w:rPr>
                      <w:color w:val="000000"/>
                      <w:kern w:val="0"/>
                      <w:szCs w:val="21"/>
                      <w:u w:val="single"/>
                      <w:lang w:bidi="ar"/>
                    </w:rPr>
                    <w:t xml:space="preserve">137.909 </w:t>
                  </w:r>
                </w:p>
              </w:tc>
              <w:tc>
                <w:tcPr>
                  <w:tcW w:w="1149" w:type="pct"/>
                  <w:vMerge w:val="continue"/>
                  <w:vAlign w:val="center"/>
                </w:tcPr>
                <w:p w14:paraId="0BD94273">
                  <w:pPr>
                    <w:jc w:val="center"/>
                    <w:rPr>
                      <w:color w:val="000000"/>
                      <w:szCs w:val="21"/>
                      <w:u w:val="single"/>
                    </w:rPr>
                  </w:pPr>
                </w:p>
              </w:tc>
              <w:tc>
                <w:tcPr>
                  <w:tcW w:w="684" w:type="pct"/>
                  <w:vAlign w:val="center"/>
                </w:tcPr>
                <w:p w14:paraId="09A96870">
                  <w:pPr>
                    <w:pStyle w:val="50"/>
                    <w:adjustRightInd/>
                    <w:snapToGrid/>
                    <w:spacing w:beforeLines="0" w:line="240" w:lineRule="auto"/>
                    <w:rPr>
                      <w:rFonts w:ascii="Times New Roman" w:hAnsi="Times New Roman" w:eastAsia="等线"/>
                      <w:kern w:val="0"/>
                      <w:szCs w:val="21"/>
                      <w:u w:val="single"/>
                    </w:rPr>
                  </w:pPr>
                  <w:r>
                    <w:rPr>
                      <w:rFonts w:ascii="Times New Roman" w:hAnsi="Times New Roman" w:eastAsia="等线"/>
                      <w:kern w:val="0"/>
                      <w:szCs w:val="21"/>
                      <w:u w:val="single"/>
                    </w:rPr>
                    <w:t>300</w:t>
                  </w:r>
                </w:p>
              </w:tc>
              <w:tc>
                <w:tcPr>
                  <w:tcW w:w="757" w:type="pct"/>
                  <w:vAlign w:val="center"/>
                </w:tcPr>
                <w:p w14:paraId="331CC786">
                  <w:pPr>
                    <w:jc w:val="center"/>
                    <w:rPr>
                      <w:rFonts w:eastAsia="等线"/>
                      <w:szCs w:val="21"/>
                      <w:u w:val="single"/>
                      <w:lang w:bidi="ar"/>
                    </w:rPr>
                  </w:pPr>
                  <w:r>
                    <w:rPr>
                      <w:rFonts w:eastAsia="等线"/>
                      <w:szCs w:val="21"/>
                      <w:u w:val="single"/>
                      <w:lang w:bidi="ar"/>
                    </w:rPr>
                    <w:t>0.042</w:t>
                  </w:r>
                </w:p>
              </w:tc>
            </w:tr>
            <w:tr w14:paraId="0C0302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94" w:type="pct"/>
                  <w:vMerge w:val="continue"/>
                  <w:vAlign w:val="center"/>
                </w:tcPr>
                <w:p w14:paraId="6A9FC994">
                  <w:pPr>
                    <w:pStyle w:val="93"/>
                    <w:rPr>
                      <w:color w:val="000000"/>
                      <w:szCs w:val="21"/>
                      <w:u w:val="single"/>
                    </w:rPr>
                  </w:pPr>
                </w:p>
              </w:tc>
              <w:tc>
                <w:tcPr>
                  <w:tcW w:w="545" w:type="pct"/>
                  <w:vAlign w:val="center"/>
                </w:tcPr>
                <w:p w14:paraId="06744BDC">
                  <w:pPr>
                    <w:widowControl/>
                    <w:jc w:val="center"/>
                    <w:textAlignment w:val="center"/>
                    <w:rPr>
                      <w:kern w:val="0"/>
                      <w:szCs w:val="21"/>
                      <w:u w:val="single"/>
                      <w:lang w:bidi="ar"/>
                    </w:rPr>
                  </w:pPr>
                  <w:r>
                    <w:rPr>
                      <w:kern w:val="0"/>
                      <w:szCs w:val="21"/>
                      <w:u w:val="single"/>
                      <w:lang w:bidi="ar"/>
                    </w:rPr>
                    <w:t>动植物油</w:t>
                  </w:r>
                </w:p>
              </w:tc>
              <w:tc>
                <w:tcPr>
                  <w:tcW w:w="1014" w:type="dxa"/>
                  <w:vAlign w:val="center"/>
                </w:tcPr>
                <w:p w14:paraId="220CE66A">
                  <w:pPr>
                    <w:widowControl/>
                    <w:jc w:val="center"/>
                    <w:textAlignment w:val="center"/>
                    <w:rPr>
                      <w:color w:val="000000"/>
                      <w:szCs w:val="21"/>
                      <w:u w:val="single"/>
                    </w:rPr>
                  </w:pPr>
                  <w:r>
                    <w:rPr>
                      <w:color w:val="000000"/>
                      <w:kern w:val="0"/>
                      <w:szCs w:val="21"/>
                      <w:u w:val="single"/>
                      <w:lang w:bidi="ar"/>
                    </w:rPr>
                    <w:t xml:space="preserve">274.47 </w:t>
                  </w:r>
                </w:p>
              </w:tc>
              <w:tc>
                <w:tcPr>
                  <w:tcW w:w="802" w:type="dxa"/>
                  <w:vAlign w:val="center"/>
                </w:tcPr>
                <w:p w14:paraId="1AAC6409">
                  <w:pPr>
                    <w:widowControl/>
                    <w:jc w:val="center"/>
                    <w:textAlignment w:val="center"/>
                    <w:rPr>
                      <w:color w:val="000000"/>
                      <w:szCs w:val="21"/>
                      <w:u w:val="single"/>
                    </w:rPr>
                  </w:pPr>
                  <w:r>
                    <w:rPr>
                      <w:color w:val="000000"/>
                      <w:kern w:val="0"/>
                      <w:szCs w:val="21"/>
                      <w:u w:val="single"/>
                      <w:lang w:bidi="ar"/>
                    </w:rPr>
                    <w:t xml:space="preserve">21.373 </w:t>
                  </w:r>
                </w:p>
              </w:tc>
              <w:tc>
                <w:tcPr>
                  <w:tcW w:w="1149" w:type="pct"/>
                  <w:vMerge w:val="continue"/>
                  <w:vAlign w:val="center"/>
                </w:tcPr>
                <w:p w14:paraId="7645EB4F">
                  <w:pPr>
                    <w:jc w:val="center"/>
                    <w:rPr>
                      <w:color w:val="000000"/>
                      <w:szCs w:val="21"/>
                      <w:u w:val="single"/>
                    </w:rPr>
                  </w:pPr>
                </w:p>
              </w:tc>
              <w:tc>
                <w:tcPr>
                  <w:tcW w:w="684" w:type="pct"/>
                  <w:vAlign w:val="center"/>
                </w:tcPr>
                <w:p w14:paraId="0FB2C3FD">
                  <w:pPr>
                    <w:pStyle w:val="50"/>
                    <w:adjustRightInd/>
                    <w:snapToGrid/>
                    <w:spacing w:beforeLines="0" w:line="240" w:lineRule="auto"/>
                    <w:rPr>
                      <w:rFonts w:ascii="Times New Roman" w:hAnsi="Times New Roman" w:eastAsia="等线"/>
                      <w:kern w:val="0"/>
                      <w:szCs w:val="21"/>
                      <w:u w:val="single"/>
                    </w:rPr>
                  </w:pPr>
                  <w:r>
                    <w:rPr>
                      <w:rFonts w:ascii="Times New Roman" w:hAnsi="Times New Roman" w:eastAsia="等线"/>
                      <w:kern w:val="0"/>
                      <w:szCs w:val="21"/>
                      <w:u w:val="single"/>
                    </w:rPr>
                    <w:t>100</w:t>
                  </w:r>
                </w:p>
              </w:tc>
              <w:tc>
                <w:tcPr>
                  <w:tcW w:w="757" w:type="pct"/>
                  <w:vAlign w:val="center"/>
                </w:tcPr>
                <w:p w14:paraId="15F3768E">
                  <w:pPr>
                    <w:jc w:val="center"/>
                    <w:rPr>
                      <w:rFonts w:eastAsia="等线"/>
                      <w:szCs w:val="21"/>
                      <w:u w:val="single"/>
                      <w:lang w:bidi="ar"/>
                    </w:rPr>
                  </w:pPr>
                  <w:r>
                    <w:rPr>
                      <w:rFonts w:eastAsia="等线"/>
                      <w:szCs w:val="21"/>
                      <w:u w:val="single"/>
                      <w:lang w:bidi="ar"/>
                    </w:rPr>
                    <w:t>0.002</w:t>
                  </w:r>
                </w:p>
              </w:tc>
            </w:tr>
            <w:tr w14:paraId="138830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94" w:type="pct"/>
                  <w:vMerge w:val="continue"/>
                  <w:vAlign w:val="center"/>
                </w:tcPr>
                <w:p w14:paraId="31C10302">
                  <w:pPr>
                    <w:pStyle w:val="93"/>
                    <w:rPr>
                      <w:color w:val="000000"/>
                      <w:szCs w:val="21"/>
                      <w:u w:val="single"/>
                    </w:rPr>
                  </w:pPr>
                </w:p>
              </w:tc>
              <w:tc>
                <w:tcPr>
                  <w:tcW w:w="545" w:type="pct"/>
                  <w:vAlign w:val="center"/>
                </w:tcPr>
                <w:p w14:paraId="13C9EE1E">
                  <w:pPr>
                    <w:widowControl/>
                    <w:jc w:val="center"/>
                    <w:textAlignment w:val="center"/>
                    <w:rPr>
                      <w:kern w:val="0"/>
                      <w:szCs w:val="21"/>
                      <w:u w:val="single"/>
                      <w:lang w:bidi="ar"/>
                    </w:rPr>
                  </w:pPr>
                  <w:r>
                    <w:rPr>
                      <w:kern w:val="0"/>
                      <w:szCs w:val="21"/>
                      <w:u w:val="single"/>
                      <w:lang w:bidi="ar"/>
                    </w:rPr>
                    <w:t>氯化物</w:t>
                  </w:r>
                </w:p>
              </w:tc>
              <w:tc>
                <w:tcPr>
                  <w:tcW w:w="1014" w:type="dxa"/>
                  <w:vAlign w:val="center"/>
                </w:tcPr>
                <w:p w14:paraId="0B9C4073">
                  <w:pPr>
                    <w:widowControl/>
                    <w:jc w:val="center"/>
                    <w:textAlignment w:val="center"/>
                    <w:rPr>
                      <w:color w:val="000000"/>
                      <w:szCs w:val="21"/>
                      <w:u w:val="single"/>
                    </w:rPr>
                  </w:pPr>
                  <w:r>
                    <w:rPr>
                      <w:rFonts w:hint="eastAsia"/>
                      <w:color w:val="000000"/>
                      <w:kern w:val="0"/>
                      <w:sz w:val="22"/>
                      <w:u w:val="single"/>
                      <w:lang w:bidi="ar"/>
                    </w:rPr>
                    <w:t>641.18</w:t>
                  </w:r>
                </w:p>
              </w:tc>
              <w:tc>
                <w:tcPr>
                  <w:tcW w:w="802" w:type="dxa"/>
                  <w:vAlign w:val="center"/>
                </w:tcPr>
                <w:p w14:paraId="0D0C50FF">
                  <w:pPr>
                    <w:widowControl/>
                    <w:jc w:val="center"/>
                    <w:textAlignment w:val="center"/>
                    <w:rPr>
                      <w:color w:val="000000"/>
                      <w:szCs w:val="21"/>
                      <w:u w:val="single"/>
                    </w:rPr>
                  </w:pPr>
                  <w:r>
                    <w:rPr>
                      <w:color w:val="000000"/>
                      <w:kern w:val="0"/>
                      <w:sz w:val="22"/>
                      <w:u w:val="single"/>
                      <w:lang w:bidi="ar"/>
                    </w:rPr>
                    <w:t>49.</w:t>
                  </w:r>
                  <w:r>
                    <w:rPr>
                      <w:rFonts w:hint="eastAsia"/>
                      <w:color w:val="000000"/>
                      <w:kern w:val="0"/>
                      <w:sz w:val="22"/>
                      <w:u w:val="single"/>
                      <w:lang w:bidi="ar"/>
                    </w:rPr>
                    <w:t>928</w:t>
                  </w:r>
                  <w:r>
                    <w:rPr>
                      <w:color w:val="000000"/>
                      <w:kern w:val="0"/>
                      <w:sz w:val="22"/>
                      <w:u w:val="single"/>
                      <w:lang w:bidi="ar"/>
                    </w:rPr>
                    <w:t xml:space="preserve"> </w:t>
                  </w:r>
                </w:p>
              </w:tc>
              <w:tc>
                <w:tcPr>
                  <w:tcW w:w="1149" w:type="pct"/>
                  <w:vMerge w:val="continue"/>
                  <w:vAlign w:val="center"/>
                </w:tcPr>
                <w:p w14:paraId="2877B1FB">
                  <w:pPr>
                    <w:jc w:val="center"/>
                    <w:rPr>
                      <w:color w:val="000000"/>
                      <w:szCs w:val="21"/>
                      <w:u w:val="single"/>
                    </w:rPr>
                  </w:pPr>
                </w:p>
              </w:tc>
              <w:tc>
                <w:tcPr>
                  <w:tcW w:w="684" w:type="pct"/>
                  <w:vAlign w:val="center"/>
                </w:tcPr>
                <w:p w14:paraId="5ADDAAE6">
                  <w:pPr>
                    <w:widowControl/>
                    <w:jc w:val="center"/>
                    <w:textAlignment w:val="center"/>
                    <w:rPr>
                      <w:kern w:val="0"/>
                      <w:szCs w:val="21"/>
                      <w:u w:val="single"/>
                      <w:lang w:bidi="ar"/>
                    </w:rPr>
                  </w:pPr>
                  <w:r>
                    <w:rPr>
                      <w:kern w:val="0"/>
                      <w:szCs w:val="21"/>
                      <w:u w:val="single"/>
                      <w:lang w:bidi="ar"/>
                    </w:rPr>
                    <w:t>/</w:t>
                  </w:r>
                </w:p>
              </w:tc>
              <w:tc>
                <w:tcPr>
                  <w:tcW w:w="757" w:type="pct"/>
                  <w:vAlign w:val="center"/>
                </w:tcPr>
                <w:p w14:paraId="7646E2D3">
                  <w:pPr>
                    <w:jc w:val="center"/>
                    <w:rPr>
                      <w:rFonts w:eastAsia="等线"/>
                      <w:szCs w:val="21"/>
                      <w:u w:val="single"/>
                      <w:lang w:bidi="ar"/>
                    </w:rPr>
                  </w:pPr>
                  <w:r>
                    <w:rPr>
                      <w:rFonts w:eastAsia="等线"/>
                      <w:szCs w:val="21"/>
                      <w:u w:val="single"/>
                      <w:lang w:bidi="ar"/>
                    </w:rPr>
                    <w:t>/</w:t>
                  </w:r>
                </w:p>
              </w:tc>
            </w:tr>
          </w:tbl>
          <w:p w14:paraId="23678DDE">
            <w:pPr>
              <w:tabs>
                <w:tab w:val="left" w:pos="2196"/>
              </w:tabs>
              <w:spacing w:line="360" w:lineRule="auto"/>
              <w:jc w:val="center"/>
              <w:rPr>
                <w:b/>
                <w:sz w:val="24"/>
                <w:szCs w:val="24"/>
              </w:rPr>
            </w:pPr>
          </w:p>
          <w:p w14:paraId="4169D037">
            <w:pPr>
              <w:tabs>
                <w:tab w:val="left" w:pos="2196"/>
              </w:tabs>
              <w:spacing w:line="360" w:lineRule="auto"/>
              <w:jc w:val="center"/>
              <w:rPr>
                <w:b/>
                <w:sz w:val="24"/>
                <w:szCs w:val="24"/>
              </w:rPr>
            </w:pPr>
            <w:r>
              <w:rPr>
                <w:b/>
                <w:sz w:val="24"/>
                <w:szCs w:val="24"/>
              </w:rPr>
              <w:t>表4-13  废水类别、污染物及污染治理设施信息表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29"/>
              <w:gridCol w:w="503"/>
              <w:gridCol w:w="939"/>
              <w:gridCol w:w="831"/>
              <w:gridCol w:w="685"/>
              <w:gridCol w:w="752"/>
              <w:gridCol w:w="939"/>
              <w:gridCol w:w="885"/>
              <w:gridCol w:w="924"/>
              <w:gridCol w:w="921"/>
              <w:gridCol w:w="685"/>
            </w:tblGrid>
            <w:tr w14:paraId="796354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253" w:type="pct"/>
                  <w:vMerge w:val="restart"/>
                  <w:vAlign w:val="center"/>
                </w:tcPr>
                <w:p w14:paraId="45E383EA">
                  <w:pPr>
                    <w:pStyle w:val="93"/>
                    <w:adjustRightInd w:val="0"/>
                    <w:snapToGrid w:val="0"/>
                    <w:rPr>
                      <w:b/>
                      <w:bCs/>
                      <w:color w:val="000000"/>
                      <w:szCs w:val="21"/>
                      <w:u w:val="single"/>
                    </w:rPr>
                  </w:pPr>
                  <w:r>
                    <w:rPr>
                      <w:b/>
                      <w:bCs/>
                      <w:color w:val="000000"/>
                      <w:szCs w:val="21"/>
                      <w:u w:val="single"/>
                    </w:rPr>
                    <w:t>序号</w:t>
                  </w:r>
                </w:p>
              </w:tc>
              <w:tc>
                <w:tcPr>
                  <w:tcW w:w="296" w:type="pct"/>
                  <w:vMerge w:val="restart"/>
                  <w:vAlign w:val="center"/>
                </w:tcPr>
                <w:p w14:paraId="7D663D4E">
                  <w:pPr>
                    <w:pStyle w:val="93"/>
                    <w:adjustRightInd w:val="0"/>
                    <w:snapToGrid w:val="0"/>
                    <w:rPr>
                      <w:b/>
                      <w:bCs/>
                      <w:color w:val="000000"/>
                      <w:szCs w:val="21"/>
                      <w:u w:val="single"/>
                    </w:rPr>
                  </w:pPr>
                  <w:r>
                    <w:rPr>
                      <w:b/>
                      <w:bCs/>
                      <w:color w:val="000000"/>
                      <w:szCs w:val="21"/>
                      <w:u w:val="single"/>
                    </w:rPr>
                    <w:t>废水类别</w:t>
                  </w:r>
                </w:p>
              </w:tc>
              <w:tc>
                <w:tcPr>
                  <w:tcW w:w="552" w:type="pct"/>
                  <w:vMerge w:val="restart"/>
                  <w:vAlign w:val="center"/>
                </w:tcPr>
                <w:p w14:paraId="3CE26DDB">
                  <w:pPr>
                    <w:pStyle w:val="93"/>
                    <w:adjustRightInd w:val="0"/>
                    <w:snapToGrid w:val="0"/>
                    <w:rPr>
                      <w:b/>
                      <w:bCs/>
                      <w:color w:val="000000"/>
                      <w:szCs w:val="21"/>
                      <w:u w:val="single"/>
                    </w:rPr>
                  </w:pPr>
                  <w:r>
                    <w:rPr>
                      <w:b/>
                      <w:bCs/>
                      <w:color w:val="000000"/>
                      <w:szCs w:val="21"/>
                      <w:u w:val="single"/>
                    </w:rPr>
                    <w:t>污染物种类</w:t>
                  </w:r>
                </w:p>
              </w:tc>
              <w:tc>
                <w:tcPr>
                  <w:tcW w:w="489" w:type="pct"/>
                  <w:vMerge w:val="restart"/>
                  <w:vAlign w:val="center"/>
                </w:tcPr>
                <w:p w14:paraId="02A999DD">
                  <w:pPr>
                    <w:pStyle w:val="93"/>
                    <w:adjustRightInd w:val="0"/>
                    <w:snapToGrid w:val="0"/>
                    <w:rPr>
                      <w:b/>
                      <w:bCs/>
                      <w:color w:val="000000"/>
                      <w:szCs w:val="21"/>
                      <w:u w:val="single"/>
                    </w:rPr>
                  </w:pPr>
                  <w:r>
                    <w:rPr>
                      <w:b/>
                      <w:bCs/>
                      <w:color w:val="000000"/>
                      <w:szCs w:val="21"/>
                      <w:u w:val="single"/>
                    </w:rPr>
                    <w:t>排放去向</w:t>
                  </w:r>
                </w:p>
              </w:tc>
              <w:tc>
                <w:tcPr>
                  <w:tcW w:w="403" w:type="pct"/>
                  <w:vMerge w:val="restart"/>
                  <w:vAlign w:val="center"/>
                </w:tcPr>
                <w:p w14:paraId="62FCB382">
                  <w:pPr>
                    <w:pStyle w:val="93"/>
                    <w:adjustRightInd w:val="0"/>
                    <w:snapToGrid w:val="0"/>
                    <w:rPr>
                      <w:b/>
                      <w:bCs/>
                      <w:color w:val="000000"/>
                      <w:szCs w:val="21"/>
                      <w:u w:val="single"/>
                    </w:rPr>
                  </w:pPr>
                  <w:r>
                    <w:rPr>
                      <w:b/>
                      <w:bCs/>
                      <w:color w:val="000000"/>
                      <w:szCs w:val="21"/>
                      <w:u w:val="single"/>
                    </w:rPr>
                    <w:t>排放规律</w:t>
                  </w:r>
                </w:p>
              </w:tc>
              <w:tc>
                <w:tcPr>
                  <w:tcW w:w="1515" w:type="pct"/>
                  <w:gridSpan w:val="3"/>
                  <w:vAlign w:val="center"/>
                </w:tcPr>
                <w:p w14:paraId="47D84C09">
                  <w:pPr>
                    <w:pStyle w:val="93"/>
                    <w:adjustRightInd w:val="0"/>
                    <w:snapToGrid w:val="0"/>
                    <w:rPr>
                      <w:b/>
                      <w:bCs/>
                      <w:color w:val="000000"/>
                      <w:szCs w:val="21"/>
                      <w:u w:val="single"/>
                    </w:rPr>
                  </w:pPr>
                  <w:r>
                    <w:rPr>
                      <w:b/>
                      <w:bCs/>
                      <w:color w:val="000000"/>
                      <w:szCs w:val="21"/>
                      <w:u w:val="single"/>
                    </w:rPr>
                    <w:t>污染治理设施</w:t>
                  </w:r>
                </w:p>
              </w:tc>
              <w:tc>
                <w:tcPr>
                  <w:tcW w:w="543" w:type="pct"/>
                  <w:vMerge w:val="restart"/>
                  <w:vAlign w:val="center"/>
                </w:tcPr>
                <w:p w14:paraId="514AF0E4">
                  <w:pPr>
                    <w:pStyle w:val="93"/>
                    <w:adjustRightInd w:val="0"/>
                    <w:snapToGrid w:val="0"/>
                    <w:rPr>
                      <w:b/>
                      <w:bCs/>
                      <w:color w:val="000000"/>
                      <w:szCs w:val="21"/>
                      <w:u w:val="single"/>
                    </w:rPr>
                  </w:pPr>
                  <w:r>
                    <w:rPr>
                      <w:b/>
                      <w:bCs/>
                      <w:color w:val="000000"/>
                      <w:szCs w:val="21"/>
                      <w:u w:val="single"/>
                    </w:rPr>
                    <w:t>排放口编号</w:t>
                  </w:r>
                </w:p>
              </w:tc>
              <w:tc>
                <w:tcPr>
                  <w:tcW w:w="541" w:type="pct"/>
                  <w:vMerge w:val="restart"/>
                  <w:vAlign w:val="center"/>
                </w:tcPr>
                <w:p w14:paraId="5A6974F0">
                  <w:pPr>
                    <w:pStyle w:val="93"/>
                    <w:adjustRightInd w:val="0"/>
                    <w:snapToGrid w:val="0"/>
                    <w:rPr>
                      <w:b/>
                      <w:bCs/>
                      <w:color w:val="000000"/>
                      <w:szCs w:val="21"/>
                      <w:u w:val="single"/>
                    </w:rPr>
                  </w:pPr>
                  <w:r>
                    <w:rPr>
                      <w:b/>
                      <w:bCs/>
                      <w:color w:val="000000"/>
                      <w:szCs w:val="21"/>
                      <w:u w:val="single"/>
                    </w:rPr>
                    <w:t xml:space="preserve">排放口设置是否符合要求 </w:t>
                  </w:r>
                </w:p>
              </w:tc>
              <w:tc>
                <w:tcPr>
                  <w:tcW w:w="403" w:type="pct"/>
                  <w:vMerge w:val="restart"/>
                  <w:vAlign w:val="center"/>
                </w:tcPr>
                <w:p w14:paraId="0EEA6766">
                  <w:pPr>
                    <w:pStyle w:val="93"/>
                    <w:adjustRightInd w:val="0"/>
                    <w:snapToGrid w:val="0"/>
                    <w:rPr>
                      <w:b/>
                      <w:bCs/>
                      <w:color w:val="000000"/>
                      <w:szCs w:val="21"/>
                      <w:u w:val="single"/>
                    </w:rPr>
                  </w:pPr>
                  <w:r>
                    <w:rPr>
                      <w:b/>
                      <w:bCs/>
                      <w:color w:val="000000"/>
                      <w:szCs w:val="21"/>
                      <w:u w:val="single"/>
                    </w:rPr>
                    <w:t>排放口类型</w:t>
                  </w:r>
                </w:p>
              </w:tc>
            </w:tr>
            <w:tr w14:paraId="490CC5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53" w:type="pct"/>
                  <w:vMerge w:val="continue"/>
                  <w:vAlign w:val="center"/>
                </w:tcPr>
                <w:p w14:paraId="18DBA5B2">
                  <w:pPr>
                    <w:pStyle w:val="93"/>
                    <w:adjustRightInd w:val="0"/>
                    <w:snapToGrid w:val="0"/>
                    <w:rPr>
                      <w:color w:val="000000"/>
                      <w:szCs w:val="21"/>
                      <w:u w:val="single"/>
                    </w:rPr>
                  </w:pPr>
                </w:p>
              </w:tc>
              <w:tc>
                <w:tcPr>
                  <w:tcW w:w="296" w:type="pct"/>
                  <w:vMerge w:val="continue"/>
                  <w:vAlign w:val="center"/>
                </w:tcPr>
                <w:p w14:paraId="6707F7BF">
                  <w:pPr>
                    <w:pStyle w:val="93"/>
                    <w:adjustRightInd w:val="0"/>
                    <w:snapToGrid w:val="0"/>
                    <w:rPr>
                      <w:color w:val="000000"/>
                      <w:szCs w:val="21"/>
                      <w:u w:val="single"/>
                    </w:rPr>
                  </w:pPr>
                </w:p>
              </w:tc>
              <w:tc>
                <w:tcPr>
                  <w:tcW w:w="552" w:type="pct"/>
                  <w:vMerge w:val="continue"/>
                  <w:vAlign w:val="center"/>
                </w:tcPr>
                <w:p w14:paraId="22601479">
                  <w:pPr>
                    <w:pStyle w:val="93"/>
                    <w:adjustRightInd w:val="0"/>
                    <w:snapToGrid w:val="0"/>
                    <w:rPr>
                      <w:color w:val="000000"/>
                      <w:szCs w:val="21"/>
                      <w:u w:val="single"/>
                    </w:rPr>
                  </w:pPr>
                </w:p>
              </w:tc>
              <w:tc>
                <w:tcPr>
                  <w:tcW w:w="489" w:type="pct"/>
                  <w:vMerge w:val="continue"/>
                  <w:vAlign w:val="center"/>
                </w:tcPr>
                <w:p w14:paraId="4895EFCD">
                  <w:pPr>
                    <w:pStyle w:val="93"/>
                    <w:adjustRightInd w:val="0"/>
                    <w:snapToGrid w:val="0"/>
                    <w:rPr>
                      <w:color w:val="000000"/>
                      <w:szCs w:val="21"/>
                      <w:u w:val="single"/>
                    </w:rPr>
                  </w:pPr>
                </w:p>
              </w:tc>
              <w:tc>
                <w:tcPr>
                  <w:tcW w:w="403" w:type="pct"/>
                  <w:vMerge w:val="continue"/>
                  <w:vAlign w:val="center"/>
                </w:tcPr>
                <w:p w14:paraId="78106247">
                  <w:pPr>
                    <w:pStyle w:val="93"/>
                    <w:adjustRightInd w:val="0"/>
                    <w:snapToGrid w:val="0"/>
                    <w:rPr>
                      <w:color w:val="000000"/>
                      <w:szCs w:val="21"/>
                      <w:u w:val="single"/>
                    </w:rPr>
                  </w:pPr>
                </w:p>
              </w:tc>
              <w:tc>
                <w:tcPr>
                  <w:tcW w:w="443" w:type="pct"/>
                  <w:vAlign w:val="center"/>
                </w:tcPr>
                <w:p w14:paraId="7E42E9D1">
                  <w:pPr>
                    <w:pStyle w:val="93"/>
                    <w:adjustRightInd w:val="0"/>
                    <w:snapToGrid w:val="0"/>
                    <w:rPr>
                      <w:b/>
                      <w:bCs/>
                      <w:color w:val="000000"/>
                      <w:szCs w:val="21"/>
                      <w:u w:val="single"/>
                    </w:rPr>
                  </w:pPr>
                  <w:r>
                    <w:rPr>
                      <w:b/>
                      <w:bCs/>
                      <w:color w:val="000000"/>
                      <w:szCs w:val="21"/>
                      <w:u w:val="single"/>
                    </w:rPr>
                    <w:t>污染治理设施编号</w:t>
                  </w:r>
                </w:p>
              </w:tc>
              <w:tc>
                <w:tcPr>
                  <w:tcW w:w="552" w:type="pct"/>
                  <w:vAlign w:val="center"/>
                </w:tcPr>
                <w:p w14:paraId="3C3CE601">
                  <w:pPr>
                    <w:pStyle w:val="93"/>
                    <w:adjustRightInd w:val="0"/>
                    <w:snapToGrid w:val="0"/>
                    <w:rPr>
                      <w:b/>
                      <w:bCs/>
                      <w:color w:val="000000"/>
                      <w:szCs w:val="21"/>
                      <w:u w:val="single"/>
                    </w:rPr>
                  </w:pPr>
                  <w:r>
                    <w:rPr>
                      <w:b/>
                      <w:bCs/>
                      <w:color w:val="000000"/>
                      <w:szCs w:val="21"/>
                      <w:u w:val="single"/>
                    </w:rPr>
                    <w:t>污染治理设施名称</w:t>
                  </w:r>
                </w:p>
              </w:tc>
              <w:tc>
                <w:tcPr>
                  <w:tcW w:w="519" w:type="pct"/>
                  <w:vAlign w:val="center"/>
                </w:tcPr>
                <w:p w14:paraId="296629D0">
                  <w:pPr>
                    <w:pStyle w:val="93"/>
                    <w:adjustRightInd w:val="0"/>
                    <w:snapToGrid w:val="0"/>
                    <w:rPr>
                      <w:b/>
                      <w:bCs/>
                      <w:color w:val="000000"/>
                      <w:szCs w:val="21"/>
                      <w:u w:val="single"/>
                    </w:rPr>
                  </w:pPr>
                  <w:r>
                    <w:rPr>
                      <w:b/>
                      <w:bCs/>
                      <w:color w:val="000000"/>
                      <w:szCs w:val="21"/>
                      <w:u w:val="single"/>
                    </w:rPr>
                    <w:t>污染治理设施工艺</w:t>
                  </w:r>
                </w:p>
              </w:tc>
              <w:tc>
                <w:tcPr>
                  <w:tcW w:w="543" w:type="pct"/>
                  <w:vMerge w:val="continue"/>
                  <w:vAlign w:val="center"/>
                </w:tcPr>
                <w:p w14:paraId="6F3B6CC1">
                  <w:pPr>
                    <w:pStyle w:val="93"/>
                    <w:adjustRightInd w:val="0"/>
                    <w:snapToGrid w:val="0"/>
                    <w:rPr>
                      <w:color w:val="000000"/>
                      <w:szCs w:val="21"/>
                      <w:u w:val="single"/>
                    </w:rPr>
                  </w:pPr>
                </w:p>
              </w:tc>
              <w:tc>
                <w:tcPr>
                  <w:tcW w:w="541" w:type="pct"/>
                  <w:vMerge w:val="continue"/>
                  <w:vAlign w:val="center"/>
                </w:tcPr>
                <w:p w14:paraId="0C99FE03">
                  <w:pPr>
                    <w:pStyle w:val="93"/>
                    <w:adjustRightInd w:val="0"/>
                    <w:snapToGrid w:val="0"/>
                    <w:rPr>
                      <w:color w:val="000000"/>
                      <w:szCs w:val="21"/>
                      <w:u w:val="single"/>
                    </w:rPr>
                  </w:pPr>
                </w:p>
              </w:tc>
              <w:tc>
                <w:tcPr>
                  <w:tcW w:w="403" w:type="pct"/>
                  <w:vMerge w:val="continue"/>
                  <w:vAlign w:val="center"/>
                </w:tcPr>
                <w:p w14:paraId="221A6DA3">
                  <w:pPr>
                    <w:pStyle w:val="93"/>
                    <w:adjustRightInd w:val="0"/>
                    <w:snapToGrid w:val="0"/>
                    <w:rPr>
                      <w:color w:val="000000"/>
                      <w:szCs w:val="21"/>
                      <w:u w:val="single"/>
                    </w:rPr>
                  </w:pPr>
                </w:p>
              </w:tc>
            </w:tr>
            <w:tr w14:paraId="5D2DA3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53" w:type="pct"/>
                  <w:vAlign w:val="center"/>
                </w:tcPr>
                <w:p w14:paraId="6D2E0330">
                  <w:pPr>
                    <w:pStyle w:val="93"/>
                    <w:adjustRightInd w:val="0"/>
                    <w:snapToGrid w:val="0"/>
                    <w:rPr>
                      <w:color w:val="000000"/>
                      <w:szCs w:val="21"/>
                      <w:u w:val="single"/>
                    </w:rPr>
                  </w:pPr>
                  <w:r>
                    <w:rPr>
                      <w:color w:val="000000"/>
                      <w:szCs w:val="21"/>
                      <w:u w:val="single"/>
                    </w:rPr>
                    <w:t>1</w:t>
                  </w:r>
                </w:p>
              </w:tc>
              <w:tc>
                <w:tcPr>
                  <w:tcW w:w="296" w:type="pct"/>
                  <w:vAlign w:val="center"/>
                </w:tcPr>
                <w:p w14:paraId="3112E371">
                  <w:pPr>
                    <w:pStyle w:val="93"/>
                    <w:adjustRightInd w:val="0"/>
                    <w:snapToGrid w:val="0"/>
                    <w:rPr>
                      <w:color w:val="000000"/>
                      <w:szCs w:val="21"/>
                      <w:u w:val="single"/>
                    </w:rPr>
                  </w:pPr>
                  <w:r>
                    <w:rPr>
                      <w:color w:val="000000"/>
                      <w:szCs w:val="21"/>
                      <w:u w:val="single"/>
                    </w:rPr>
                    <w:t>生活污水</w:t>
                  </w:r>
                </w:p>
              </w:tc>
              <w:tc>
                <w:tcPr>
                  <w:tcW w:w="552" w:type="pct"/>
                  <w:vAlign w:val="center"/>
                </w:tcPr>
                <w:p w14:paraId="4E02C2D8">
                  <w:pPr>
                    <w:pStyle w:val="127"/>
                    <w:jc w:val="center"/>
                    <w:rPr>
                      <w:u w:val="single"/>
                    </w:rPr>
                  </w:pPr>
                  <w:r>
                    <w:rPr>
                      <w:bCs/>
                      <w:u w:val="single"/>
                    </w:rPr>
                    <w:t>pH、</w:t>
                  </w:r>
                  <w:r>
                    <w:rPr>
                      <w:u w:val="single"/>
                    </w:rPr>
                    <w:t>COD、BOD</w:t>
                  </w:r>
                  <w:r>
                    <w:rPr>
                      <w:u w:val="single"/>
                      <w:vertAlign w:val="subscript"/>
                    </w:rPr>
                    <w:t>5</w:t>
                  </w:r>
                  <w:r>
                    <w:rPr>
                      <w:u w:val="single"/>
                    </w:rPr>
                    <w:t>、SS、NH</w:t>
                  </w:r>
                  <w:r>
                    <w:rPr>
                      <w:u w:val="single"/>
                      <w:vertAlign w:val="subscript"/>
                    </w:rPr>
                    <w:t>3</w:t>
                  </w:r>
                  <w:r>
                    <w:rPr>
                      <w:u w:val="single"/>
                    </w:rPr>
                    <w:t>-N、总磷、动植物油等</w:t>
                  </w:r>
                </w:p>
              </w:tc>
              <w:tc>
                <w:tcPr>
                  <w:tcW w:w="489" w:type="pct"/>
                  <w:vMerge w:val="restart"/>
                  <w:vAlign w:val="center"/>
                </w:tcPr>
                <w:p w14:paraId="5B942BD9">
                  <w:pPr>
                    <w:pStyle w:val="93"/>
                    <w:adjustRightInd w:val="0"/>
                    <w:snapToGrid w:val="0"/>
                    <w:rPr>
                      <w:color w:val="000000"/>
                      <w:szCs w:val="21"/>
                      <w:u w:val="single"/>
                    </w:rPr>
                  </w:pPr>
                  <w:r>
                    <w:rPr>
                      <w:color w:val="000000"/>
                      <w:szCs w:val="21"/>
                      <w:u w:val="single"/>
                    </w:rPr>
                    <w:t>进入市政污水管网</w:t>
                  </w:r>
                </w:p>
              </w:tc>
              <w:tc>
                <w:tcPr>
                  <w:tcW w:w="403" w:type="pct"/>
                  <w:vAlign w:val="center"/>
                </w:tcPr>
                <w:p w14:paraId="57C66E26">
                  <w:pPr>
                    <w:pStyle w:val="93"/>
                    <w:adjustRightInd w:val="0"/>
                    <w:snapToGrid w:val="0"/>
                    <w:rPr>
                      <w:color w:val="000000"/>
                      <w:szCs w:val="21"/>
                      <w:u w:val="single"/>
                    </w:rPr>
                  </w:pPr>
                  <w:r>
                    <w:rPr>
                      <w:color w:val="000000"/>
                      <w:szCs w:val="21"/>
                      <w:u w:val="single"/>
                    </w:rPr>
                    <w:t>连续</w:t>
                  </w:r>
                </w:p>
              </w:tc>
              <w:tc>
                <w:tcPr>
                  <w:tcW w:w="443" w:type="pct"/>
                  <w:vAlign w:val="center"/>
                </w:tcPr>
                <w:p w14:paraId="389037E8">
                  <w:pPr>
                    <w:pStyle w:val="127"/>
                    <w:jc w:val="center"/>
                    <w:rPr>
                      <w:u w:val="single"/>
                    </w:rPr>
                  </w:pPr>
                  <w:r>
                    <w:rPr>
                      <w:color w:val="000000"/>
                      <w:u w:val="single"/>
                    </w:rPr>
                    <w:t>TW001</w:t>
                  </w:r>
                </w:p>
              </w:tc>
              <w:tc>
                <w:tcPr>
                  <w:tcW w:w="552" w:type="pct"/>
                  <w:vAlign w:val="center"/>
                </w:tcPr>
                <w:p w14:paraId="03666C7B">
                  <w:pPr>
                    <w:pStyle w:val="93"/>
                    <w:rPr>
                      <w:color w:val="000000"/>
                      <w:szCs w:val="21"/>
                      <w:u w:val="single"/>
                    </w:rPr>
                  </w:pPr>
                  <w:r>
                    <w:rPr>
                      <w:color w:val="000000"/>
                      <w:u w:val="single"/>
                    </w:rPr>
                    <w:t>生活污水预处理设施</w:t>
                  </w:r>
                </w:p>
              </w:tc>
              <w:tc>
                <w:tcPr>
                  <w:tcW w:w="519" w:type="pct"/>
                  <w:vAlign w:val="center"/>
                </w:tcPr>
                <w:p w14:paraId="7543EAF6">
                  <w:pPr>
                    <w:pStyle w:val="93"/>
                    <w:adjustRightInd w:val="0"/>
                    <w:snapToGrid w:val="0"/>
                    <w:rPr>
                      <w:color w:val="000000"/>
                      <w:szCs w:val="21"/>
                      <w:u w:val="single"/>
                    </w:rPr>
                  </w:pPr>
                  <w:r>
                    <w:rPr>
                      <w:color w:val="000000"/>
                      <w:szCs w:val="21"/>
                      <w:u w:val="single"/>
                    </w:rPr>
                    <w:t>生化处理</w:t>
                  </w:r>
                </w:p>
              </w:tc>
              <w:tc>
                <w:tcPr>
                  <w:tcW w:w="543" w:type="pct"/>
                  <w:vAlign w:val="center"/>
                </w:tcPr>
                <w:p w14:paraId="042B7879">
                  <w:pPr>
                    <w:pStyle w:val="93"/>
                    <w:adjustRightInd w:val="0"/>
                    <w:snapToGrid w:val="0"/>
                    <w:rPr>
                      <w:color w:val="000000"/>
                      <w:szCs w:val="21"/>
                      <w:u w:val="single"/>
                    </w:rPr>
                  </w:pPr>
                  <w:r>
                    <w:rPr>
                      <w:color w:val="000000"/>
                      <w:szCs w:val="21"/>
                      <w:u w:val="single"/>
                    </w:rPr>
                    <w:t>DW001</w:t>
                  </w:r>
                </w:p>
              </w:tc>
              <w:tc>
                <w:tcPr>
                  <w:tcW w:w="541" w:type="pct"/>
                  <w:vAlign w:val="center"/>
                </w:tcPr>
                <w:p w14:paraId="5A1E2E89">
                  <w:pPr>
                    <w:pStyle w:val="93"/>
                    <w:adjustRightInd w:val="0"/>
                    <w:snapToGrid w:val="0"/>
                    <w:rPr>
                      <w:color w:val="000000"/>
                      <w:szCs w:val="21"/>
                      <w:u w:val="single"/>
                    </w:rPr>
                  </w:pPr>
                  <w:r>
                    <w:rPr>
                      <w:color w:val="000000"/>
                      <w:szCs w:val="21"/>
                      <w:u w:val="single"/>
                    </w:rPr>
                    <w:t>是</w:t>
                  </w:r>
                </w:p>
              </w:tc>
              <w:tc>
                <w:tcPr>
                  <w:tcW w:w="403" w:type="pct"/>
                  <w:vAlign w:val="center"/>
                </w:tcPr>
                <w:p w14:paraId="5BDD70FE">
                  <w:pPr>
                    <w:pStyle w:val="93"/>
                    <w:adjustRightInd w:val="0"/>
                    <w:snapToGrid w:val="0"/>
                    <w:rPr>
                      <w:color w:val="000000"/>
                      <w:szCs w:val="21"/>
                      <w:u w:val="single"/>
                    </w:rPr>
                  </w:pPr>
                  <w:r>
                    <w:rPr>
                      <w:color w:val="000000"/>
                      <w:szCs w:val="21"/>
                      <w:u w:val="single"/>
                    </w:rPr>
                    <w:t>生活污水排放口</w:t>
                  </w:r>
                </w:p>
              </w:tc>
            </w:tr>
            <w:tr w14:paraId="784C51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53" w:type="pct"/>
                  <w:vAlign w:val="center"/>
                </w:tcPr>
                <w:p w14:paraId="022DE528">
                  <w:pPr>
                    <w:pStyle w:val="93"/>
                    <w:adjustRightInd w:val="0"/>
                    <w:snapToGrid w:val="0"/>
                    <w:rPr>
                      <w:color w:val="000000"/>
                      <w:szCs w:val="21"/>
                      <w:u w:val="single"/>
                    </w:rPr>
                  </w:pPr>
                  <w:r>
                    <w:rPr>
                      <w:rFonts w:hint="eastAsia"/>
                      <w:color w:val="000000"/>
                      <w:szCs w:val="21"/>
                      <w:u w:val="single"/>
                    </w:rPr>
                    <w:t>2</w:t>
                  </w:r>
                </w:p>
              </w:tc>
              <w:tc>
                <w:tcPr>
                  <w:tcW w:w="296" w:type="pct"/>
                  <w:vAlign w:val="center"/>
                </w:tcPr>
                <w:p w14:paraId="1C438F0C">
                  <w:pPr>
                    <w:pStyle w:val="93"/>
                    <w:adjustRightInd w:val="0"/>
                    <w:snapToGrid w:val="0"/>
                    <w:rPr>
                      <w:color w:val="000000"/>
                      <w:szCs w:val="21"/>
                      <w:u w:val="single"/>
                    </w:rPr>
                  </w:pPr>
                  <w:r>
                    <w:rPr>
                      <w:color w:val="000000"/>
                      <w:szCs w:val="21"/>
                      <w:u w:val="single"/>
                    </w:rPr>
                    <w:t>生产废水</w:t>
                  </w:r>
                </w:p>
              </w:tc>
              <w:tc>
                <w:tcPr>
                  <w:tcW w:w="552" w:type="pct"/>
                  <w:vAlign w:val="center"/>
                </w:tcPr>
                <w:p w14:paraId="60EA63C4">
                  <w:pPr>
                    <w:pStyle w:val="127"/>
                    <w:jc w:val="center"/>
                    <w:rPr>
                      <w:u w:val="single"/>
                    </w:rPr>
                  </w:pPr>
                  <w:r>
                    <w:rPr>
                      <w:bCs/>
                      <w:u w:val="single"/>
                    </w:rPr>
                    <w:t>pH、</w:t>
                  </w:r>
                  <w:r>
                    <w:rPr>
                      <w:u w:val="single"/>
                    </w:rPr>
                    <w:t>COD、BOD</w:t>
                  </w:r>
                  <w:r>
                    <w:rPr>
                      <w:u w:val="single"/>
                      <w:vertAlign w:val="subscript"/>
                    </w:rPr>
                    <w:t>5</w:t>
                  </w:r>
                  <w:r>
                    <w:rPr>
                      <w:u w:val="single"/>
                    </w:rPr>
                    <w:t>、SS、NH</w:t>
                  </w:r>
                  <w:r>
                    <w:rPr>
                      <w:u w:val="single"/>
                      <w:vertAlign w:val="subscript"/>
                    </w:rPr>
                    <w:t>3</w:t>
                  </w:r>
                  <w:r>
                    <w:rPr>
                      <w:u w:val="single"/>
                    </w:rPr>
                    <w:t>-N、总磷、氯化物、动植物油等</w:t>
                  </w:r>
                </w:p>
              </w:tc>
              <w:tc>
                <w:tcPr>
                  <w:tcW w:w="489" w:type="pct"/>
                  <w:vMerge w:val="continue"/>
                  <w:vAlign w:val="center"/>
                </w:tcPr>
                <w:p w14:paraId="577E2ABE">
                  <w:pPr>
                    <w:pStyle w:val="93"/>
                    <w:adjustRightInd w:val="0"/>
                    <w:snapToGrid w:val="0"/>
                    <w:rPr>
                      <w:color w:val="000000"/>
                      <w:szCs w:val="21"/>
                      <w:u w:val="single"/>
                    </w:rPr>
                  </w:pPr>
                </w:p>
              </w:tc>
              <w:tc>
                <w:tcPr>
                  <w:tcW w:w="403" w:type="pct"/>
                  <w:vAlign w:val="center"/>
                </w:tcPr>
                <w:p w14:paraId="63C07E45">
                  <w:pPr>
                    <w:pStyle w:val="93"/>
                    <w:adjustRightInd w:val="0"/>
                    <w:snapToGrid w:val="0"/>
                    <w:rPr>
                      <w:color w:val="000000"/>
                      <w:szCs w:val="21"/>
                      <w:u w:val="single"/>
                    </w:rPr>
                  </w:pPr>
                  <w:r>
                    <w:rPr>
                      <w:color w:val="000000"/>
                      <w:szCs w:val="21"/>
                      <w:u w:val="single"/>
                    </w:rPr>
                    <w:t>连续</w:t>
                  </w:r>
                </w:p>
              </w:tc>
              <w:tc>
                <w:tcPr>
                  <w:tcW w:w="443" w:type="pct"/>
                  <w:vAlign w:val="center"/>
                </w:tcPr>
                <w:p w14:paraId="188A6A87">
                  <w:pPr>
                    <w:pStyle w:val="127"/>
                    <w:jc w:val="center"/>
                    <w:rPr>
                      <w:u w:val="single"/>
                    </w:rPr>
                  </w:pPr>
                  <w:r>
                    <w:rPr>
                      <w:color w:val="000000"/>
                      <w:u w:val="single"/>
                    </w:rPr>
                    <w:t>TW002</w:t>
                  </w:r>
                </w:p>
              </w:tc>
              <w:tc>
                <w:tcPr>
                  <w:tcW w:w="552" w:type="pct"/>
                </w:tcPr>
                <w:p w14:paraId="2625F6AA">
                  <w:pPr>
                    <w:rPr>
                      <w:u w:val="single"/>
                    </w:rPr>
                  </w:pPr>
                  <w:r>
                    <w:rPr>
                      <w:color w:val="000000"/>
                      <w:szCs w:val="21"/>
                      <w:u w:val="single"/>
                    </w:rPr>
                    <w:t>依托湖南华益科技发展有限公司（原名湖南华益食品有限公司）自建污水处理站处理</w:t>
                  </w:r>
                </w:p>
              </w:tc>
              <w:tc>
                <w:tcPr>
                  <w:tcW w:w="519" w:type="pct"/>
                  <w:vAlign w:val="center"/>
                </w:tcPr>
                <w:p w14:paraId="7689641C">
                  <w:pPr>
                    <w:jc w:val="center"/>
                    <w:rPr>
                      <w:u w:val="single"/>
                    </w:rPr>
                  </w:pPr>
                  <w:r>
                    <w:rPr>
                      <w:color w:val="000000"/>
                      <w:szCs w:val="21"/>
                      <w:u w:val="single"/>
                    </w:rPr>
                    <w:t>“格栅井+调节池+加药沉淀+两级水解酸化+两级接触氧化+竖流沉淀”</w:t>
                  </w:r>
                </w:p>
              </w:tc>
              <w:tc>
                <w:tcPr>
                  <w:tcW w:w="543" w:type="pct"/>
                  <w:vAlign w:val="center"/>
                </w:tcPr>
                <w:p w14:paraId="25AF51F4">
                  <w:pPr>
                    <w:pStyle w:val="93"/>
                    <w:adjustRightInd w:val="0"/>
                    <w:snapToGrid w:val="0"/>
                    <w:rPr>
                      <w:color w:val="000000"/>
                      <w:szCs w:val="21"/>
                      <w:u w:val="single"/>
                    </w:rPr>
                  </w:pPr>
                  <w:r>
                    <w:rPr>
                      <w:color w:val="000000"/>
                      <w:szCs w:val="21"/>
                      <w:u w:val="single"/>
                    </w:rPr>
                    <w:t>DW00</w:t>
                  </w:r>
                  <w:r>
                    <w:rPr>
                      <w:rFonts w:hint="eastAsia"/>
                      <w:color w:val="000000"/>
                      <w:szCs w:val="21"/>
                      <w:u w:val="single"/>
                    </w:rPr>
                    <w:t>2</w:t>
                  </w:r>
                </w:p>
              </w:tc>
              <w:tc>
                <w:tcPr>
                  <w:tcW w:w="541" w:type="pct"/>
                  <w:vAlign w:val="center"/>
                </w:tcPr>
                <w:p w14:paraId="78F0E3E2">
                  <w:pPr>
                    <w:pStyle w:val="93"/>
                    <w:adjustRightInd w:val="0"/>
                    <w:snapToGrid w:val="0"/>
                    <w:rPr>
                      <w:color w:val="000000"/>
                      <w:szCs w:val="21"/>
                      <w:u w:val="single"/>
                    </w:rPr>
                  </w:pPr>
                  <w:r>
                    <w:rPr>
                      <w:color w:val="000000"/>
                      <w:szCs w:val="21"/>
                      <w:u w:val="single"/>
                    </w:rPr>
                    <w:t>是</w:t>
                  </w:r>
                </w:p>
              </w:tc>
              <w:tc>
                <w:tcPr>
                  <w:tcW w:w="403" w:type="pct"/>
                  <w:vAlign w:val="center"/>
                </w:tcPr>
                <w:p w14:paraId="1DD14074">
                  <w:pPr>
                    <w:pStyle w:val="93"/>
                    <w:adjustRightInd w:val="0"/>
                    <w:snapToGrid w:val="0"/>
                    <w:rPr>
                      <w:color w:val="000000"/>
                      <w:szCs w:val="21"/>
                      <w:u w:val="single"/>
                    </w:rPr>
                  </w:pPr>
                  <w:r>
                    <w:rPr>
                      <w:color w:val="000000"/>
                      <w:szCs w:val="21"/>
                      <w:u w:val="single"/>
                    </w:rPr>
                    <w:t>生产废水排放口</w:t>
                  </w:r>
                </w:p>
              </w:tc>
            </w:tr>
          </w:tbl>
          <w:p w14:paraId="568DDB1D">
            <w:pPr>
              <w:autoSpaceDE w:val="0"/>
              <w:autoSpaceDN w:val="0"/>
              <w:adjustRightInd w:val="0"/>
              <w:spacing w:line="360" w:lineRule="auto"/>
              <w:ind w:firstLine="480" w:firstLineChars="200"/>
              <w:textAlignment w:val="baseline"/>
              <w:rPr>
                <w:color w:val="000000"/>
                <w:sz w:val="24"/>
                <w:szCs w:val="24"/>
              </w:rPr>
            </w:pPr>
            <w:r>
              <w:rPr>
                <w:color w:val="000000"/>
                <w:sz w:val="24"/>
                <w:szCs w:val="24"/>
              </w:rPr>
              <w:t>根据本项目上述废水污染物产生及排放情况、水污染治理情况等内容，</w:t>
            </w:r>
            <w:bookmarkStart w:id="33" w:name="OLE_LINK4"/>
            <w:bookmarkStart w:id="34" w:name="OLE_LINK5"/>
            <w:r>
              <w:rPr>
                <w:color w:val="000000"/>
                <w:sz w:val="24"/>
                <w:szCs w:val="24"/>
              </w:rPr>
              <w:t>运营期废水主要是</w:t>
            </w:r>
            <w:r>
              <w:rPr>
                <w:color w:val="000000"/>
                <w:sz w:val="24"/>
                <w:szCs w:val="24"/>
                <w:lang w:bidi="ar"/>
              </w:rPr>
              <w:t>W1生活污水、W</w:t>
            </w:r>
            <w:r>
              <w:rPr>
                <w:rFonts w:hint="eastAsia"/>
                <w:color w:val="000000"/>
                <w:sz w:val="24"/>
                <w:szCs w:val="24"/>
                <w:lang w:bidi="ar"/>
              </w:rPr>
              <w:t>2</w:t>
            </w:r>
            <w:r>
              <w:rPr>
                <w:color w:val="000000"/>
                <w:sz w:val="24"/>
                <w:szCs w:val="24"/>
                <w:lang w:bidi="ar"/>
              </w:rPr>
              <w:t>生产废水</w:t>
            </w:r>
            <w:r>
              <w:rPr>
                <w:color w:val="000000"/>
                <w:sz w:val="24"/>
                <w:szCs w:val="24"/>
              </w:rPr>
              <w:t>；W1生活污水经隔油池、化粪池预处理后，排入市政污水管网，经安化县污水处理厂深度处理，排入资江；W</w:t>
            </w:r>
            <w:r>
              <w:rPr>
                <w:rFonts w:hint="eastAsia"/>
                <w:color w:val="000000"/>
                <w:sz w:val="24"/>
                <w:szCs w:val="24"/>
              </w:rPr>
              <w:t>2</w:t>
            </w:r>
            <w:r>
              <w:rPr>
                <w:color w:val="000000"/>
                <w:sz w:val="24"/>
                <w:szCs w:val="24"/>
              </w:rPr>
              <w:t>生产废水依托</w:t>
            </w:r>
            <w:r>
              <w:rPr>
                <w:sz w:val="24"/>
                <w:szCs w:val="24"/>
              </w:rPr>
              <w:t>湖南华益科技发展有限公司（原名湖南华益食品有限公司）废水</w:t>
            </w:r>
            <w:r>
              <w:rPr>
                <w:color w:val="000000"/>
                <w:sz w:val="24"/>
                <w:szCs w:val="24"/>
              </w:rPr>
              <w:t>处理站（</w:t>
            </w:r>
            <w:r>
              <w:rPr>
                <w:rFonts w:hint="eastAsia" w:ascii="宋体" w:hAnsi="宋体" w:cs="宋体"/>
                <w:color w:val="000000"/>
                <w:sz w:val="24"/>
                <w:szCs w:val="24"/>
              </w:rPr>
              <w:t>采用“格栅井+调节池+加药沉淀+两级水解酸化+两级接触氧化+竖流沉淀”的处理工艺</w:t>
            </w:r>
            <w:r>
              <w:rPr>
                <w:color w:val="000000"/>
                <w:sz w:val="24"/>
                <w:szCs w:val="24"/>
              </w:rPr>
              <w:t>）预处理后排入市政污水管网，再由安化县污水处理厂深度处理；安化县污水处理厂出水执行《城镇污水处理厂污染物排放标准》（GB18918-2002）表1中一级A标准，尾水排入资江</w:t>
            </w:r>
            <w:bookmarkEnd w:id="33"/>
            <w:bookmarkEnd w:id="34"/>
            <w:r>
              <w:rPr>
                <w:color w:val="000000"/>
                <w:sz w:val="24"/>
                <w:szCs w:val="24"/>
              </w:rPr>
              <w:t>。</w:t>
            </w:r>
          </w:p>
          <w:p w14:paraId="1B1177C3">
            <w:pPr>
              <w:pStyle w:val="100"/>
              <w:numPr>
                <w:ilvl w:val="0"/>
                <w:numId w:val="0"/>
              </w:numPr>
              <w:adjustRightInd w:val="0"/>
              <w:snapToGrid w:val="0"/>
              <w:rPr>
                <w:bCs/>
                <w:color w:val="000000"/>
              </w:rPr>
            </w:pPr>
            <w:r>
              <w:rPr>
                <w:bCs/>
                <w:color w:val="000000"/>
              </w:rPr>
              <w:t>表4-14  废水污染物排放信息表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65"/>
              <w:gridCol w:w="1823"/>
              <w:gridCol w:w="1237"/>
              <w:gridCol w:w="1237"/>
              <w:gridCol w:w="1332"/>
              <w:gridCol w:w="1164"/>
              <w:gridCol w:w="1135"/>
            </w:tblGrid>
            <w:tr w14:paraId="631CBC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332" w:type="pct"/>
                  <w:vAlign w:val="center"/>
                </w:tcPr>
                <w:p w14:paraId="78224D03">
                  <w:pPr>
                    <w:pStyle w:val="93"/>
                    <w:rPr>
                      <w:b/>
                      <w:bCs/>
                      <w:szCs w:val="21"/>
                    </w:rPr>
                  </w:pPr>
                  <w:r>
                    <w:rPr>
                      <w:b/>
                      <w:bCs/>
                      <w:szCs w:val="21"/>
                    </w:rPr>
                    <w:t>序号</w:t>
                  </w:r>
                </w:p>
              </w:tc>
              <w:tc>
                <w:tcPr>
                  <w:tcW w:w="1073" w:type="pct"/>
                  <w:vAlign w:val="center"/>
                </w:tcPr>
                <w:p w14:paraId="399F6BB4">
                  <w:pPr>
                    <w:pStyle w:val="93"/>
                    <w:rPr>
                      <w:b/>
                      <w:bCs/>
                      <w:szCs w:val="21"/>
                    </w:rPr>
                  </w:pPr>
                  <w:r>
                    <w:rPr>
                      <w:b/>
                      <w:bCs/>
                      <w:szCs w:val="21"/>
                    </w:rPr>
                    <w:t>排放口编号</w:t>
                  </w:r>
                </w:p>
              </w:tc>
              <w:tc>
                <w:tcPr>
                  <w:tcW w:w="728" w:type="pct"/>
                  <w:vAlign w:val="center"/>
                </w:tcPr>
                <w:p w14:paraId="11FBC1A5">
                  <w:pPr>
                    <w:pStyle w:val="93"/>
                    <w:rPr>
                      <w:b/>
                      <w:bCs/>
                      <w:szCs w:val="21"/>
                    </w:rPr>
                  </w:pPr>
                  <w:r>
                    <w:rPr>
                      <w:b/>
                      <w:bCs/>
                      <w:szCs w:val="21"/>
                    </w:rPr>
                    <w:t>年排放量（t/a）</w:t>
                  </w:r>
                </w:p>
              </w:tc>
              <w:tc>
                <w:tcPr>
                  <w:tcW w:w="728" w:type="pct"/>
                  <w:vAlign w:val="center"/>
                </w:tcPr>
                <w:p w14:paraId="49545C20">
                  <w:pPr>
                    <w:pStyle w:val="93"/>
                    <w:rPr>
                      <w:b/>
                      <w:bCs/>
                      <w:szCs w:val="21"/>
                    </w:rPr>
                  </w:pPr>
                  <w:r>
                    <w:rPr>
                      <w:b/>
                      <w:bCs/>
                      <w:szCs w:val="21"/>
                    </w:rPr>
                    <w:t>污染物种类</w:t>
                  </w:r>
                </w:p>
              </w:tc>
              <w:tc>
                <w:tcPr>
                  <w:tcW w:w="784" w:type="pct"/>
                  <w:vAlign w:val="center"/>
                </w:tcPr>
                <w:p w14:paraId="0ADDBB8E">
                  <w:pPr>
                    <w:pStyle w:val="93"/>
                    <w:rPr>
                      <w:b/>
                      <w:bCs/>
                      <w:szCs w:val="21"/>
                    </w:rPr>
                  </w:pPr>
                  <w:r>
                    <w:rPr>
                      <w:b/>
                      <w:bCs/>
                      <w:szCs w:val="21"/>
                    </w:rPr>
                    <w:t>排放浓度(mg/L)</w:t>
                  </w:r>
                </w:p>
              </w:tc>
              <w:tc>
                <w:tcPr>
                  <w:tcW w:w="685" w:type="pct"/>
                  <w:vAlign w:val="center"/>
                </w:tcPr>
                <w:p w14:paraId="4DD20A59">
                  <w:pPr>
                    <w:pStyle w:val="93"/>
                    <w:rPr>
                      <w:b/>
                      <w:bCs/>
                      <w:szCs w:val="21"/>
                    </w:rPr>
                  </w:pPr>
                  <w:r>
                    <w:rPr>
                      <w:b/>
                      <w:bCs/>
                      <w:szCs w:val="21"/>
                    </w:rPr>
                    <w:t>日排放量（kg/d）</w:t>
                  </w:r>
                </w:p>
              </w:tc>
              <w:tc>
                <w:tcPr>
                  <w:tcW w:w="668" w:type="pct"/>
                  <w:vAlign w:val="center"/>
                </w:tcPr>
                <w:p w14:paraId="6A10440E">
                  <w:pPr>
                    <w:pStyle w:val="93"/>
                    <w:rPr>
                      <w:b/>
                      <w:bCs/>
                      <w:szCs w:val="21"/>
                    </w:rPr>
                  </w:pPr>
                  <w:r>
                    <w:rPr>
                      <w:b/>
                      <w:bCs/>
                      <w:szCs w:val="21"/>
                    </w:rPr>
                    <w:t>全厂年排放量（t/a）</w:t>
                  </w:r>
                </w:p>
              </w:tc>
            </w:tr>
            <w:tr w14:paraId="48BA55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7" w:hRule="atLeast"/>
                <w:jc w:val="center"/>
              </w:trPr>
              <w:tc>
                <w:tcPr>
                  <w:tcW w:w="332" w:type="pct"/>
                  <w:vMerge w:val="restart"/>
                  <w:vAlign w:val="center"/>
                </w:tcPr>
                <w:p w14:paraId="55737CF9">
                  <w:pPr>
                    <w:pStyle w:val="93"/>
                    <w:rPr>
                      <w:szCs w:val="21"/>
                    </w:rPr>
                  </w:pPr>
                  <w:r>
                    <w:rPr>
                      <w:szCs w:val="21"/>
                    </w:rPr>
                    <w:t>1</w:t>
                  </w:r>
                </w:p>
              </w:tc>
              <w:tc>
                <w:tcPr>
                  <w:tcW w:w="1073" w:type="pct"/>
                  <w:vMerge w:val="restart"/>
                  <w:vAlign w:val="center"/>
                </w:tcPr>
                <w:p w14:paraId="596469E5">
                  <w:pPr>
                    <w:pStyle w:val="93"/>
                    <w:rPr>
                      <w:szCs w:val="21"/>
                    </w:rPr>
                  </w:pPr>
                  <w:r>
                    <w:rPr>
                      <w:szCs w:val="21"/>
                    </w:rPr>
                    <w:t>DW001</w:t>
                  </w:r>
                </w:p>
              </w:tc>
              <w:tc>
                <w:tcPr>
                  <w:tcW w:w="728" w:type="pct"/>
                  <w:vMerge w:val="restart"/>
                  <w:vAlign w:val="center"/>
                </w:tcPr>
                <w:p w14:paraId="38EDC85E">
                  <w:pPr>
                    <w:pStyle w:val="93"/>
                    <w:rPr>
                      <w:szCs w:val="21"/>
                    </w:rPr>
                  </w:pPr>
                  <w:r>
                    <w:rPr>
                      <w:rFonts w:hint="eastAsia"/>
                      <w:szCs w:val="21"/>
                    </w:rPr>
                    <w:t>1200</w:t>
                  </w:r>
                </w:p>
              </w:tc>
              <w:tc>
                <w:tcPr>
                  <w:tcW w:w="728" w:type="pct"/>
                  <w:vAlign w:val="center"/>
                </w:tcPr>
                <w:p w14:paraId="3833B795">
                  <w:pPr>
                    <w:pStyle w:val="93"/>
                    <w:rPr>
                      <w:szCs w:val="21"/>
                    </w:rPr>
                  </w:pPr>
                  <w:r>
                    <w:rPr>
                      <w:szCs w:val="21"/>
                    </w:rPr>
                    <w:t>pH</w:t>
                  </w:r>
                </w:p>
              </w:tc>
              <w:tc>
                <w:tcPr>
                  <w:tcW w:w="784" w:type="pct"/>
                  <w:vAlign w:val="center"/>
                </w:tcPr>
                <w:p w14:paraId="1975A249">
                  <w:pPr>
                    <w:pStyle w:val="93"/>
                    <w:rPr>
                      <w:szCs w:val="21"/>
                    </w:rPr>
                  </w:pPr>
                  <w:r>
                    <w:rPr>
                      <w:szCs w:val="21"/>
                    </w:rPr>
                    <w:t>6-9</w:t>
                  </w:r>
                </w:p>
              </w:tc>
              <w:tc>
                <w:tcPr>
                  <w:tcW w:w="685" w:type="pct"/>
                  <w:vAlign w:val="center"/>
                </w:tcPr>
                <w:p w14:paraId="710D154C">
                  <w:pPr>
                    <w:pStyle w:val="93"/>
                    <w:rPr>
                      <w:szCs w:val="21"/>
                    </w:rPr>
                  </w:pPr>
                  <w:r>
                    <w:rPr>
                      <w:szCs w:val="21"/>
                    </w:rPr>
                    <w:t>/</w:t>
                  </w:r>
                </w:p>
              </w:tc>
              <w:tc>
                <w:tcPr>
                  <w:tcW w:w="668" w:type="pct"/>
                  <w:vAlign w:val="center"/>
                </w:tcPr>
                <w:p w14:paraId="233A28A7">
                  <w:pPr>
                    <w:pStyle w:val="93"/>
                    <w:rPr>
                      <w:szCs w:val="21"/>
                    </w:rPr>
                  </w:pPr>
                  <w:r>
                    <w:rPr>
                      <w:szCs w:val="21"/>
                    </w:rPr>
                    <w:t>/</w:t>
                  </w:r>
                </w:p>
              </w:tc>
            </w:tr>
            <w:tr w14:paraId="1E7D99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332" w:type="pct"/>
                  <w:vMerge w:val="continue"/>
                  <w:vAlign w:val="center"/>
                </w:tcPr>
                <w:p w14:paraId="17AF286C">
                  <w:pPr>
                    <w:pStyle w:val="93"/>
                    <w:rPr>
                      <w:szCs w:val="21"/>
                    </w:rPr>
                  </w:pPr>
                </w:p>
              </w:tc>
              <w:tc>
                <w:tcPr>
                  <w:tcW w:w="1073" w:type="pct"/>
                  <w:vMerge w:val="continue"/>
                  <w:vAlign w:val="center"/>
                </w:tcPr>
                <w:p w14:paraId="64DE113D">
                  <w:pPr>
                    <w:pStyle w:val="93"/>
                    <w:rPr>
                      <w:szCs w:val="21"/>
                    </w:rPr>
                  </w:pPr>
                </w:p>
              </w:tc>
              <w:tc>
                <w:tcPr>
                  <w:tcW w:w="728" w:type="pct"/>
                  <w:vMerge w:val="continue"/>
                  <w:vAlign w:val="center"/>
                </w:tcPr>
                <w:p w14:paraId="7401F3FD">
                  <w:pPr>
                    <w:pStyle w:val="93"/>
                    <w:rPr>
                      <w:szCs w:val="21"/>
                    </w:rPr>
                  </w:pPr>
                </w:p>
              </w:tc>
              <w:tc>
                <w:tcPr>
                  <w:tcW w:w="728" w:type="pct"/>
                  <w:vAlign w:val="center"/>
                </w:tcPr>
                <w:p w14:paraId="511AE0C5">
                  <w:pPr>
                    <w:pStyle w:val="93"/>
                    <w:rPr>
                      <w:szCs w:val="21"/>
                    </w:rPr>
                  </w:pPr>
                  <w:r>
                    <w:rPr>
                      <w:szCs w:val="21"/>
                    </w:rPr>
                    <w:t>COD</w:t>
                  </w:r>
                </w:p>
              </w:tc>
              <w:tc>
                <w:tcPr>
                  <w:tcW w:w="784" w:type="pct"/>
                  <w:vAlign w:val="center"/>
                </w:tcPr>
                <w:p w14:paraId="5CED020B">
                  <w:pPr>
                    <w:pStyle w:val="93"/>
                    <w:rPr>
                      <w:szCs w:val="21"/>
                    </w:rPr>
                  </w:pPr>
                  <w:r>
                    <w:rPr>
                      <w:szCs w:val="21"/>
                    </w:rPr>
                    <w:t>≤50</w:t>
                  </w:r>
                </w:p>
              </w:tc>
              <w:tc>
                <w:tcPr>
                  <w:tcW w:w="685" w:type="pct"/>
                  <w:vAlign w:val="center"/>
                </w:tcPr>
                <w:p w14:paraId="293378DD">
                  <w:pPr>
                    <w:widowControl/>
                    <w:jc w:val="center"/>
                    <w:textAlignment w:val="center"/>
                    <w:rPr>
                      <w:szCs w:val="21"/>
                    </w:rPr>
                  </w:pPr>
                  <w:r>
                    <w:rPr>
                      <w:color w:val="000000"/>
                      <w:kern w:val="0"/>
                      <w:szCs w:val="21"/>
                      <w:lang w:bidi="ar"/>
                    </w:rPr>
                    <w:t>0.2</w:t>
                  </w:r>
                </w:p>
              </w:tc>
              <w:tc>
                <w:tcPr>
                  <w:tcW w:w="668" w:type="pct"/>
                  <w:vAlign w:val="center"/>
                </w:tcPr>
                <w:p w14:paraId="1CFC2176">
                  <w:pPr>
                    <w:widowControl/>
                    <w:jc w:val="center"/>
                    <w:textAlignment w:val="center"/>
                    <w:rPr>
                      <w:szCs w:val="21"/>
                    </w:rPr>
                  </w:pPr>
                  <w:r>
                    <w:rPr>
                      <w:color w:val="000000"/>
                      <w:kern w:val="0"/>
                      <w:szCs w:val="21"/>
                      <w:lang w:bidi="ar"/>
                    </w:rPr>
                    <w:t>0.06</w:t>
                  </w:r>
                </w:p>
              </w:tc>
            </w:tr>
            <w:tr w14:paraId="757881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2" w:type="pct"/>
                  <w:vMerge w:val="continue"/>
                  <w:vAlign w:val="center"/>
                </w:tcPr>
                <w:p w14:paraId="77F35588">
                  <w:pPr>
                    <w:pStyle w:val="93"/>
                    <w:rPr>
                      <w:szCs w:val="21"/>
                    </w:rPr>
                  </w:pPr>
                </w:p>
              </w:tc>
              <w:tc>
                <w:tcPr>
                  <w:tcW w:w="1073" w:type="pct"/>
                  <w:vMerge w:val="continue"/>
                  <w:vAlign w:val="center"/>
                </w:tcPr>
                <w:p w14:paraId="0C231A8F">
                  <w:pPr>
                    <w:pStyle w:val="93"/>
                    <w:rPr>
                      <w:szCs w:val="21"/>
                    </w:rPr>
                  </w:pPr>
                </w:p>
              </w:tc>
              <w:tc>
                <w:tcPr>
                  <w:tcW w:w="728" w:type="pct"/>
                  <w:vMerge w:val="continue"/>
                  <w:vAlign w:val="center"/>
                </w:tcPr>
                <w:p w14:paraId="211D397D">
                  <w:pPr>
                    <w:pStyle w:val="93"/>
                    <w:rPr>
                      <w:szCs w:val="21"/>
                    </w:rPr>
                  </w:pPr>
                </w:p>
              </w:tc>
              <w:tc>
                <w:tcPr>
                  <w:tcW w:w="728" w:type="pct"/>
                  <w:vAlign w:val="center"/>
                </w:tcPr>
                <w:p w14:paraId="10539360">
                  <w:pPr>
                    <w:pStyle w:val="93"/>
                    <w:rPr>
                      <w:szCs w:val="21"/>
                    </w:rPr>
                  </w:pPr>
                  <w:r>
                    <w:rPr>
                      <w:szCs w:val="21"/>
                    </w:rPr>
                    <w:t>SS</w:t>
                  </w:r>
                </w:p>
              </w:tc>
              <w:tc>
                <w:tcPr>
                  <w:tcW w:w="784" w:type="pct"/>
                  <w:vAlign w:val="center"/>
                </w:tcPr>
                <w:p w14:paraId="07F9979D">
                  <w:pPr>
                    <w:pStyle w:val="93"/>
                    <w:rPr>
                      <w:szCs w:val="21"/>
                    </w:rPr>
                  </w:pPr>
                  <w:r>
                    <w:rPr>
                      <w:szCs w:val="21"/>
                    </w:rPr>
                    <w:t>≤10</w:t>
                  </w:r>
                </w:p>
              </w:tc>
              <w:tc>
                <w:tcPr>
                  <w:tcW w:w="685" w:type="pct"/>
                  <w:vAlign w:val="center"/>
                </w:tcPr>
                <w:p w14:paraId="2BE277B8">
                  <w:pPr>
                    <w:widowControl/>
                    <w:jc w:val="center"/>
                    <w:textAlignment w:val="center"/>
                    <w:rPr>
                      <w:color w:val="000000"/>
                      <w:kern w:val="0"/>
                      <w:szCs w:val="21"/>
                    </w:rPr>
                  </w:pPr>
                  <w:r>
                    <w:rPr>
                      <w:color w:val="000000"/>
                      <w:kern w:val="0"/>
                      <w:szCs w:val="21"/>
                      <w:lang w:bidi="ar"/>
                    </w:rPr>
                    <w:t>0.04</w:t>
                  </w:r>
                </w:p>
              </w:tc>
              <w:tc>
                <w:tcPr>
                  <w:tcW w:w="668" w:type="pct"/>
                  <w:vAlign w:val="center"/>
                </w:tcPr>
                <w:p w14:paraId="14B5982F">
                  <w:pPr>
                    <w:widowControl/>
                    <w:jc w:val="center"/>
                    <w:textAlignment w:val="center"/>
                    <w:rPr>
                      <w:color w:val="000000"/>
                      <w:szCs w:val="21"/>
                    </w:rPr>
                  </w:pPr>
                  <w:r>
                    <w:rPr>
                      <w:color w:val="000000"/>
                      <w:kern w:val="0"/>
                      <w:szCs w:val="21"/>
                      <w:lang w:bidi="ar"/>
                    </w:rPr>
                    <w:t>0.012</w:t>
                  </w:r>
                </w:p>
              </w:tc>
            </w:tr>
            <w:tr w14:paraId="504906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2" w:type="pct"/>
                  <w:vMerge w:val="continue"/>
                  <w:vAlign w:val="center"/>
                </w:tcPr>
                <w:p w14:paraId="601EB065">
                  <w:pPr>
                    <w:pStyle w:val="93"/>
                    <w:rPr>
                      <w:szCs w:val="21"/>
                    </w:rPr>
                  </w:pPr>
                </w:p>
              </w:tc>
              <w:tc>
                <w:tcPr>
                  <w:tcW w:w="1073" w:type="pct"/>
                  <w:vMerge w:val="continue"/>
                  <w:vAlign w:val="center"/>
                </w:tcPr>
                <w:p w14:paraId="1484C7DC">
                  <w:pPr>
                    <w:pStyle w:val="93"/>
                    <w:rPr>
                      <w:szCs w:val="21"/>
                    </w:rPr>
                  </w:pPr>
                </w:p>
              </w:tc>
              <w:tc>
                <w:tcPr>
                  <w:tcW w:w="728" w:type="pct"/>
                  <w:vMerge w:val="continue"/>
                  <w:vAlign w:val="center"/>
                </w:tcPr>
                <w:p w14:paraId="465FC2AE">
                  <w:pPr>
                    <w:pStyle w:val="93"/>
                    <w:rPr>
                      <w:szCs w:val="21"/>
                    </w:rPr>
                  </w:pPr>
                </w:p>
              </w:tc>
              <w:tc>
                <w:tcPr>
                  <w:tcW w:w="728" w:type="pct"/>
                  <w:vAlign w:val="center"/>
                </w:tcPr>
                <w:p w14:paraId="2E3911BF">
                  <w:pPr>
                    <w:pStyle w:val="93"/>
                    <w:rPr>
                      <w:szCs w:val="21"/>
                    </w:rPr>
                  </w:pPr>
                  <w:r>
                    <w:rPr>
                      <w:szCs w:val="21"/>
                    </w:rPr>
                    <w:t>NH</w:t>
                  </w:r>
                  <w:r>
                    <w:rPr>
                      <w:szCs w:val="21"/>
                      <w:vertAlign w:val="subscript"/>
                    </w:rPr>
                    <w:t>3</w:t>
                  </w:r>
                  <w:r>
                    <w:rPr>
                      <w:szCs w:val="21"/>
                    </w:rPr>
                    <w:t>-N</w:t>
                  </w:r>
                </w:p>
              </w:tc>
              <w:tc>
                <w:tcPr>
                  <w:tcW w:w="784" w:type="pct"/>
                  <w:vAlign w:val="center"/>
                </w:tcPr>
                <w:p w14:paraId="1E839FDD">
                  <w:pPr>
                    <w:pStyle w:val="93"/>
                    <w:rPr>
                      <w:szCs w:val="21"/>
                    </w:rPr>
                  </w:pPr>
                  <w:r>
                    <w:rPr>
                      <w:szCs w:val="21"/>
                    </w:rPr>
                    <w:t>≤5</w:t>
                  </w:r>
                </w:p>
              </w:tc>
              <w:tc>
                <w:tcPr>
                  <w:tcW w:w="685" w:type="pct"/>
                  <w:vAlign w:val="center"/>
                </w:tcPr>
                <w:p w14:paraId="0E1BEC8E">
                  <w:pPr>
                    <w:widowControl/>
                    <w:jc w:val="center"/>
                    <w:textAlignment w:val="center"/>
                    <w:rPr>
                      <w:color w:val="000000"/>
                      <w:szCs w:val="21"/>
                    </w:rPr>
                  </w:pPr>
                  <w:r>
                    <w:rPr>
                      <w:color w:val="000000"/>
                      <w:kern w:val="0"/>
                      <w:szCs w:val="21"/>
                      <w:lang w:bidi="ar"/>
                    </w:rPr>
                    <w:t>0.02</w:t>
                  </w:r>
                </w:p>
              </w:tc>
              <w:tc>
                <w:tcPr>
                  <w:tcW w:w="668" w:type="pct"/>
                  <w:vAlign w:val="center"/>
                </w:tcPr>
                <w:p w14:paraId="4FC512A5">
                  <w:pPr>
                    <w:widowControl/>
                    <w:jc w:val="center"/>
                    <w:textAlignment w:val="center"/>
                    <w:rPr>
                      <w:color w:val="000000"/>
                      <w:szCs w:val="21"/>
                    </w:rPr>
                  </w:pPr>
                  <w:r>
                    <w:rPr>
                      <w:color w:val="000000"/>
                      <w:kern w:val="0"/>
                      <w:szCs w:val="21"/>
                      <w:lang w:bidi="ar"/>
                    </w:rPr>
                    <w:t>0.006</w:t>
                  </w:r>
                </w:p>
              </w:tc>
            </w:tr>
            <w:tr w14:paraId="5E848A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2" w:type="pct"/>
                  <w:vMerge w:val="continue"/>
                  <w:vAlign w:val="center"/>
                </w:tcPr>
                <w:p w14:paraId="2CFD0E87">
                  <w:pPr>
                    <w:pStyle w:val="93"/>
                    <w:rPr>
                      <w:szCs w:val="21"/>
                    </w:rPr>
                  </w:pPr>
                </w:p>
              </w:tc>
              <w:tc>
                <w:tcPr>
                  <w:tcW w:w="1073" w:type="pct"/>
                  <w:vMerge w:val="continue"/>
                  <w:vAlign w:val="center"/>
                </w:tcPr>
                <w:p w14:paraId="7E30B032">
                  <w:pPr>
                    <w:pStyle w:val="93"/>
                    <w:rPr>
                      <w:szCs w:val="21"/>
                    </w:rPr>
                  </w:pPr>
                </w:p>
              </w:tc>
              <w:tc>
                <w:tcPr>
                  <w:tcW w:w="728" w:type="pct"/>
                  <w:vMerge w:val="continue"/>
                  <w:vAlign w:val="center"/>
                </w:tcPr>
                <w:p w14:paraId="350030C0">
                  <w:pPr>
                    <w:pStyle w:val="93"/>
                    <w:rPr>
                      <w:szCs w:val="21"/>
                    </w:rPr>
                  </w:pPr>
                </w:p>
              </w:tc>
              <w:tc>
                <w:tcPr>
                  <w:tcW w:w="728" w:type="pct"/>
                  <w:vAlign w:val="center"/>
                </w:tcPr>
                <w:p w14:paraId="17C46319">
                  <w:pPr>
                    <w:pStyle w:val="93"/>
                    <w:rPr>
                      <w:szCs w:val="21"/>
                    </w:rPr>
                  </w:pPr>
                  <w:r>
                    <w:rPr>
                      <w:szCs w:val="21"/>
                    </w:rPr>
                    <w:t>总磷</w:t>
                  </w:r>
                </w:p>
              </w:tc>
              <w:tc>
                <w:tcPr>
                  <w:tcW w:w="784" w:type="pct"/>
                  <w:vAlign w:val="center"/>
                </w:tcPr>
                <w:p w14:paraId="08D89C2B">
                  <w:pPr>
                    <w:pStyle w:val="93"/>
                    <w:rPr>
                      <w:szCs w:val="21"/>
                    </w:rPr>
                  </w:pPr>
                  <w:r>
                    <w:rPr>
                      <w:szCs w:val="21"/>
                    </w:rPr>
                    <w:t>≤0.5</w:t>
                  </w:r>
                </w:p>
              </w:tc>
              <w:tc>
                <w:tcPr>
                  <w:tcW w:w="685" w:type="pct"/>
                  <w:vAlign w:val="center"/>
                </w:tcPr>
                <w:p w14:paraId="5355BE57">
                  <w:pPr>
                    <w:widowControl/>
                    <w:jc w:val="center"/>
                    <w:textAlignment w:val="center"/>
                    <w:rPr>
                      <w:color w:val="000000"/>
                      <w:szCs w:val="21"/>
                    </w:rPr>
                  </w:pPr>
                  <w:r>
                    <w:rPr>
                      <w:color w:val="000000"/>
                      <w:kern w:val="0"/>
                      <w:szCs w:val="21"/>
                      <w:lang w:bidi="ar"/>
                    </w:rPr>
                    <w:t>0.002</w:t>
                  </w:r>
                </w:p>
              </w:tc>
              <w:tc>
                <w:tcPr>
                  <w:tcW w:w="668" w:type="pct"/>
                  <w:vAlign w:val="center"/>
                </w:tcPr>
                <w:p w14:paraId="5DE7D5FE">
                  <w:pPr>
                    <w:widowControl/>
                    <w:jc w:val="center"/>
                    <w:textAlignment w:val="center"/>
                    <w:rPr>
                      <w:color w:val="000000"/>
                      <w:szCs w:val="21"/>
                    </w:rPr>
                  </w:pPr>
                  <w:r>
                    <w:rPr>
                      <w:color w:val="000000"/>
                      <w:kern w:val="0"/>
                      <w:szCs w:val="21"/>
                      <w:lang w:bidi="ar"/>
                    </w:rPr>
                    <w:t>0.0006</w:t>
                  </w:r>
                </w:p>
              </w:tc>
            </w:tr>
            <w:tr w14:paraId="21DFB3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2" w:type="pct"/>
                  <w:vMerge w:val="restart"/>
                  <w:vAlign w:val="center"/>
                </w:tcPr>
                <w:p w14:paraId="40CA0D9A">
                  <w:pPr>
                    <w:pStyle w:val="93"/>
                    <w:rPr>
                      <w:szCs w:val="21"/>
                    </w:rPr>
                  </w:pPr>
                  <w:r>
                    <w:rPr>
                      <w:rFonts w:hint="eastAsia"/>
                      <w:szCs w:val="21"/>
                    </w:rPr>
                    <w:t>2</w:t>
                  </w:r>
                </w:p>
              </w:tc>
              <w:tc>
                <w:tcPr>
                  <w:tcW w:w="1073" w:type="pct"/>
                  <w:vMerge w:val="restart"/>
                  <w:vAlign w:val="center"/>
                </w:tcPr>
                <w:p w14:paraId="25BD49DF">
                  <w:pPr>
                    <w:pStyle w:val="93"/>
                    <w:rPr>
                      <w:szCs w:val="21"/>
                    </w:rPr>
                  </w:pPr>
                  <w:r>
                    <w:rPr>
                      <w:szCs w:val="21"/>
                    </w:rPr>
                    <w:t>DW00</w:t>
                  </w:r>
                  <w:r>
                    <w:rPr>
                      <w:rFonts w:hint="eastAsia"/>
                      <w:szCs w:val="21"/>
                    </w:rPr>
                    <w:t>2</w:t>
                  </w:r>
                </w:p>
              </w:tc>
              <w:tc>
                <w:tcPr>
                  <w:tcW w:w="728" w:type="pct"/>
                  <w:vMerge w:val="restart"/>
                  <w:vAlign w:val="center"/>
                </w:tcPr>
                <w:p w14:paraId="7C0404A5">
                  <w:pPr>
                    <w:pStyle w:val="93"/>
                    <w:rPr>
                      <w:szCs w:val="21"/>
                    </w:rPr>
                  </w:pPr>
                  <w:r>
                    <w:rPr>
                      <w:rFonts w:hint="eastAsia"/>
                      <w:szCs w:val="21"/>
                    </w:rPr>
                    <w:t>77868.5</w:t>
                  </w:r>
                </w:p>
              </w:tc>
              <w:tc>
                <w:tcPr>
                  <w:tcW w:w="728" w:type="pct"/>
                  <w:vAlign w:val="center"/>
                </w:tcPr>
                <w:p w14:paraId="51637477">
                  <w:pPr>
                    <w:pStyle w:val="93"/>
                    <w:rPr>
                      <w:szCs w:val="21"/>
                    </w:rPr>
                  </w:pPr>
                  <w:r>
                    <w:rPr>
                      <w:szCs w:val="21"/>
                    </w:rPr>
                    <w:t>pH</w:t>
                  </w:r>
                </w:p>
              </w:tc>
              <w:tc>
                <w:tcPr>
                  <w:tcW w:w="784" w:type="pct"/>
                  <w:vAlign w:val="center"/>
                </w:tcPr>
                <w:p w14:paraId="31B5C4C5">
                  <w:pPr>
                    <w:pStyle w:val="93"/>
                    <w:rPr>
                      <w:szCs w:val="21"/>
                    </w:rPr>
                  </w:pPr>
                  <w:r>
                    <w:rPr>
                      <w:szCs w:val="21"/>
                    </w:rPr>
                    <w:t>6-9</w:t>
                  </w:r>
                </w:p>
              </w:tc>
              <w:tc>
                <w:tcPr>
                  <w:tcW w:w="685" w:type="pct"/>
                  <w:vAlign w:val="center"/>
                </w:tcPr>
                <w:p w14:paraId="619718EA">
                  <w:pPr>
                    <w:widowControl/>
                    <w:jc w:val="center"/>
                    <w:textAlignment w:val="center"/>
                    <w:rPr>
                      <w:color w:val="000000"/>
                      <w:kern w:val="0"/>
                      <w:szCs w:val="21"/>
                      <w:lang w:bidi="ar"/>
                    </w:rPr>
                  </w:pPr>
                  <w:r>
                    <w:rPr>
                      <w:rFonts w:hint="eastAsia"/>
                      <w:color w:val="000000"/>
                      <w:kern w:val="0"/>
                      <w:szCs w:val="21"/>
                      <w:lang w:bidi="ar"/>
                    </w:rPr>
                    <w:t>/</w:t>
                  </w:r>
                </w:p>
              </w:tc>
              <w:tc>
                <w:tcPr>
                  <w:tcW w:w="668" w:type="pct"/>
                  <w:vAlign w:val="center"/>
                </w:tcPr>
                <w:p w14:paraId="2A1939D0">
                  <w:pPr>
                    <w:widowControl/>
                    <w:jc w:val="center"/>
                    <w:textAlignment w:val="center"/>
                    <w:rPr>
                      <w:color w:val="000000"/>
                      <w:kern w:val="0"/>
                      <w:szCs w:val="21"/>
                      <w:lang w:bidi="ar"/>
                    </w:rPr>
                  </w:pPr>
                  <w:r>
                    <w:rPr>
                      <w:rFonts w:hint="eastAsia"/>
                      <w:color w:val="000000"/>
                      <w:kern w:val="0"/>
                      <w:szCs w:val="21"/>
                      <w:lang w:bidi="ar"/>
                    </w:rPr>
                    <w:t>/</w:t>
                  </w:r>
                </w:p>
              </w:tc>
            </w:tr>
            <w:tr w14:paraId="254FB5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2" w:type="pct"/>
                  <w:vMerge w:val="continue"/>
                  <w:vAlign w:val="center"/>
                </w:tcPr>
                <w:p w14:paraId="189AC9B7">
                  <w:pPr>
                    <w:pStyle w:val="93"/>
                    <w:rPr>
                      <w:szCs w:val="21"/>
                    </w:rPr>
                  </w:pPr>
                </w:p>
              </w:tc>
              <w:tc>
                <w:tcPr>
                  <w:tcW w:w="1073" w:type="pct"/>
                  <w:vMerge w:val="continue"/>
                  <w:vAlign w:val="center"/>
                </w:tcPr>
                <w:p w14:paraId="650BB8B5">
                  <w:pPr>
                    <w:pStyle w:val="93"/>
                    <w:rPr>
                      <w:szCs w:val="21"/>
                    </w:rPr>
                  </w:pPr>
                </w:p>
              </w:tc>
              <w:tc>
                <w:tcPr>
                  <w:tcW w:w="728" w:type="pct"/>
                  <w:vMerge w:val="continue"/>
                  <w:vAlign w:val="center"/>
                </w:tcPr>
                <w:p w14:paraId="47CCEBA4">
                  <w:pPr>
                    <w:pStyle w:val="93"/>
                    <w:rPr>
                      <w:szCs w:val="21"/>
                    </w:rPr>
                  </w:pPr>
                </w:p>
              </w:tc>
              <w:tc>
                <w:tcPr>
                  <w:tcW w:w="728" w:type="pct"/>
                  <w:vAlign w:val="center"/>
                </w:tcPr>
                <w:p w14:paraId="2E938A94">
                  <w:pPr>
                    <w:pStyle w:val="93"/>
                    <w:rPr>
                      <w:szCs w:val="21"/>
                    </w:rPr>
                  </w:pPr>
                  <w:r>
                    <w:rPr>
                      <w:szCs w:val="21"/>
                    </w:rPr>
                    <w:t>COD</w:t>
                  </w:r>
                </w:p>
              </w:tc>
              <w:tc>
                <w:tcPr>
                  <w:tcW w:w="784" w:type="pct"/>
                  <w:vAlign w:val="center"/>
                </w:tcPr>
                <w:p w14:paraId="3F278749">
                  <w:pPr>
                    <w:pStyle w:val="93"/>
                    <w:rPr>
                      <w:szCs w:val="21"/>
                    </w:rPr>
                  </w:pPr>
                  <w:r>
                    <w:rPr>
                      <w:szCs w:val="21"/>
                    </w:rPr>
                    <w:t>≤50</w:t>
                  </w:r>
                </w:p>
              </w:tc>
              <w:tc>
                <w:tcPr>
                  <w:tcW w:w="685" w:type="pct"/>
                  <w:vAlign w:val="center"/>
                </w:tcPr>
                <w:p w14:paraId="077C57E4">
                  <w:pPr>
                    <w:widowControl/>
                    <w:jc w:val="center"/>
                    <w:textAlignment w:val="center"/>
                    <w:rPr>
                      <w:color w:val="000000"/>
                      <w:kern w:val="0"/>
                      <w:szCs w:val="21"/>
                      <w:lang w:bidi="ar"/>
                    </w:rPr>
                  </w:pPr>
                  <w:r>
                    <w:rPr>
                      <w:color w:val="000000"/>
                      <w:kern w:val="0"/>
                      <w:szCs w:val="21"/>
                      <w:lang w:bidi="ar"/>
                    </w:rPr>
                    <w:t>12.</w:t>
                  </w:r>
                  <w:r>
                    <w:rPr>
                      <w:rFonts w:hint="eastAsia"/>
                      <w:color w:val="000000"/>
                      <w:kern w:val="0"/>
                      <w:szCs w:val="21"/>
                      <w:lang w:bidi="ar"/>
                    </w:rPr>
                    <w:t>98</w:t>
                  </w:r>
                </w:p>
              </w:tc>
              <w:tc>
                <w:tcPr>
                  <w:tcW w:w="668" w:type="pct"/>
                  <w:vAlign w:val="center"/>
                </w:tcPr>
                <w:p w14:paraId="65867B70">
                  <w:pPr>
                    <w:widowControl/>
                    <w:jc w:val="center"/>
                    <w:textAlignment w:val="center"/>
                    <w:rPr>
                      <w:color w:val="000000"/>
                      <w:kern w:val="0"/>
                      <w:szCs w:val="21"/>
                      <w:lang w:bidi="ar"/>
                    </w:rPr>
                  </w:pPr>
                  <w:r>
                    <w:rPr>
                      <w:rFonts w:hint="eastAsia"/>
                      <w:color w:val="000000"/>
                      <w:kern w:val="0"/>
                      <w:szCs w:val="21"/>
                      <w:lang w:bidi="ar"/>
                    </w:rPr>
                    <w:t>3.9</w:t>
                  </w:r>
                </w:p>
              </w:tc>
            </w:tr>
            <w:tr w14:paraId="4C2796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2" w:type="pct"/>
                  <w:vMerge w:val="continue"/>
                  <w:vAlign w:val="center"/>
                </w:tcPr>
                <w:p w14:paraId="34DF475F">
                  <w:pPr>
                    <w:pStyle w:val="93"/>
                    <w:rPr>
                      <w:szCs w:val="21"/>
                    </w:rPr>
                  </w:pPr>
                </w:p>
              </w:tc>
              <w:tc>
                <w:tcPr>
                  <w:tcW w:w="1073" w:type="pct"/>
                  <w:vMerge w:val="continue"/>
                  <w:vAlign w:val="center"/>
                </w:tcPr>
                <w:p w14:paraId="69A63821">
                  <w:pPr>
                    <w:pStyle w:val="93"/>
                    <w:rPr>
                      <w:szCs w:val="21"/>
                    </w:rPr>
                  </w:pPr>
                </w:p>
              </w:tc>
              <w:tc>
                <w:tcPr>
                  <w:tcW w:w="728" w:type="pct"/>
                  <w:vMerge w:val="continue"/>
                  <w:vAlign w:val="center"/>
                </w:tcPr>
                <w:p w14:paraId="271759B3">
                  <w:pPr>
                    <w:pStyle w:val="93"/>
                    <w:rPr>
                      <w:szCs w:val="21"/>
                    </w:rPr>
                  </w:pPr>
                </w:p>
              </w:tc>
              <w:tc>
                <w:tcPr>
                  <w:tcW w:w="728" w:type="pct"/>
                  <w:vAlign w:val="center"/>
                </w:tcPr>
                <w:p w14:paraId="776C89D7">
                  <w:pPr>
                    <w:pStyle w:val="93"/>
                    <w:rPr>
                      <w:szCs w:val="21"/>
                    </w:rPr>
                  </w:pPr>
                  <w:r>
                    <w:rPr>
                      <w:szCs w:val="21"/>
                    </w:rPr>
                    <w:t>SS</w:t>
                  </w:r>
                </w:p>
              </w:tc>
              <w:tc>
                <w:tcPr>
                  <w:tcW w:w="784" w:type="pct"/>
                  <w:vAlign w:val="center"/>
                </w:tcPr>
                <w:p w14:paraId="178E941F">
                  <w:pPr>
                    <w:pStyle w:val="93"/>
                    <w:rPr>
                      <w:szCs w:val="21"/>
                    </w:rPr>
                  </w:pPr>
                  <w:r>
                    <w:rPr>
                      <w:szCs w:val="21"/>
                    </w:rPr>
                    <w:t>≤10</w:t>
                  </w:r>
                </w:p>
              </w:tc>
              <w:tc>
                <w:tcPr>
                  <w:tcW w:w="685" w:type="pct"/>
                  <w:vAlign w:val="center"/>
                </w:tcPr>
                <w:p w14:paraId="373A8FA5">
                  <w:pPr>
                    <w:widowControl/>
                    <w:jc w:val="center"/>
                    <w:textAlignment w:val="center"/>
                    <w:rPr>
                      <w:color w:val="000000"/>
                      <w:kern w:val="0"/>
                      <w:szCs w:val="21"/>
                      <w:lang w:bidi="ar"/>
                    </w:rPr>
                  </w:pPr>
                  <w:r>
                    <w:rPr>
                      <w:rFonts w:hint="eastAsia"/>
                      <w:color w:val="000000"/>
                      <w:kern w:val="0"/>
                      <w:szCs w:val="21"/>
                      <w:lang w:bidi="ar"/>
                    </w:rPr>
                    <w:t>2.6</w:t>
                  </w:r>
                </w:p>
              </w:tc>
              <w:tc>
                <w:tcPr>
                  <w:tcW w:w="668" w:type="pct"/>
                  <w:vAlign w:val="center"/>
                </w:tcPr>
                <w:p w14:paraId="523D9F48">
                  <w:pPr>
                    <w:widowControl/>
                    <w:jc w:val="center"/>
                    <w:textAlignment w:val="center"/>
                    <w:rPr>
                      <w:color w:val="000000"/>
                      <w:kern w:val="0"/>
                      <w:szCs w:val="21"/>
                      <w:lang w:bidi="ar"/>
                    </w:rPr>
                  </w:pPr>
                  <w:r>
                    <w:rPr>
                      <w:color w:val="000000"/>
                      <w:kern w:val="0"/>
                      <w:szCs w:val="21"/>
                      <w:lang w:bidi="ar"/>
                    </w:rPr>
                    <w:t>0.7</w:t>
                  </w:r>
                  <w:r>
                    <w:rPr>
                      <w:rFonts w:hint="eastAsia"/>
                      <w:color w:val="000000"/>
                      <w:kern w:val="0"/>
                      <w:szCs w:val="21"/>
                      <w:lang w:bidi="ar"/>
                    </w:rPr>
                    <w:t>8</w:t>
                  </w:r>
                </w:p>
              </w:tc>
            </w:tr>
            <w:tr w14:paraId="23D445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2" w:type="pct"/>
                  <w:vMerge w:val="continue"/>
                  <w:vAlign w:val="center"/>
                </w:tcPr>
                <w:p w14:paraId="27B3BEF2">
                  <w:pPr>
                    <w:pStyle w:val="93"/>
                    <w:rPr>
                      <w:szCs w:val="21"/>
                    </w:rPr>
                  </w:pPr>
                </w:p>
              </w:tc>
              <w:tc>
                <w:tcPr>
                  <w:tcW w:w="1073" w:type="pct"/>
                  <w:vMerge w:val="continue"/>
                  <w:vAlign w:val="center"/>
                </w:tcPr>
                <w:p w14:paraId="44E5C15C">
                  <w:pPr>
                    <w:pStyle w:val="93"/>
                    <w:rPr>
                      <w:szCs w:val="21"/>
                    </w:rPr>
                  </w:pPr>
                </w:p>
              </w:tc>
              <w:tc>
                <w:tcPr>
                  <w:tcW w:w="728" w:type="pct"/>
                  <w:vMerge w:val="continue"/>
                  <w:vAlign w:val="center"/>
                </w:tcPr>
                <w:p w14:paraId="63A19EAB">
                  <w:pPr>
                    <w:pStyle w:val="93"/>
                    <w:rPr>
                      <w:szCs w:val="21"/>
                    </w:rPr>
                  </w:pPr>
                </w:p>
              </w:tc>
              <w:tc>
                <w:tcPr>
                  <w:tcW w:w="728" w:type="pct"/>
                  <w:vAlign w:val="center"/>
                </w:tcPr>
                <w:p w14:paraId="72233369">
                  <w:pPr>
                    <w:pStyle w:val="93"/>
                    <w:rPr>
                      <w:szCs w:val="21"/>
                    </w:rPr>
                  </w:pPr>
                  <w:r>
                    <w:rPr>
                      <w:szCs w:val="21"/>
                    </w:rPr>
                    <w:t>NH</w:t>
                  </w:r>
                  <w:r>
                    <w:rPr>
                      <w:szCs w:val="21"/>
                      <w:vertAlign w:val="subscript"/>
                    </w:rPr>
                    <w:t>3</w:t>
                  </w:r>
                  <w:r>
                    <w:rPr>
                      <w:szCs w:val="21"/>
                    </w:rPr>
                    <w:t>-N</w:t>
                  </w:r>
                </w:p>
              </w:tc>
              <w:tc>
                <w:tcPr>
                  <w:tcW w:w="784" w:type="pct"/>
                  <w:vAlign w:val="center"/>
                </w:tcPr>
                <w:p w14:paraId="5FB3AC4E">
                  <w:pPr>
                    <w:pStyle w:val="93"/>
                    <w:rPr>
                      <w:szCs w:val="21"/>
                    </w:rPr>
                  </w:pPr>
                  <w:r>
                    <w:rPr>
                      <w:szCs w:val="21"/>
                    </w:rPr>
                    <w:t>≤5</w:t>
                  </w:r>
                </w:p>
              </w:tc>
              <w:tc>
                <w:tcPr>
                  <w:tcW w:w="685" w:type="pct"/>
                  <w:vAlign w:val="center"/>
                </w:tcPr>
                <w:p w14:paraId="2EBED678">
                  <w:pPr>
                    <w:widowControl/>
                    <w:jc w:val="center"/>
                    <w:textAlignment w:val="center"/>
                    <w:rPr>
                      <w:color w:val="000000"/>
                      <w:kern w:val="0"/>
                      <w:szCs w:val="21"/>
                      <w:lang w:bidi="ar"/>
                    </w:rPr>
                  </w:pPr>
                  <w:r>
                    <w:rPr>
                      <w:rFonts w:hint="eastAsia"/>
                      <w:color w:val="000000"/>
                      <w:kern w:val="0"/>
                      <w:szCs w:val="21"/>
                      <w:lang w:bidi="ar"/>
                    </w:rPr>
                    <w:t>1.3</w:t>
                  </w:r>
                </w:p>
              </w:tc>
              <w:tc>
                <w:tcPr>
                  <w:tcW w:w="668" w:type="pct"/>
                  <w:vAlign w:val="center"/>
                </w:tcPr>
                <w:p w14:paraId="10038566">
                  <w:pPr>
                    <w:widowControl/>
                    <w:jc w:val="center"/>
                    <w:textAlignment w:val="center"/>
                    <w:rPr>
                      <w:color w:val="000000"/>
                      <w:kern w:val="0"/>
                      <w:szCs w:val="21"/>
                      <w:lang w:bidi="ar"/>
                    </w:rPr>
                  </w:pPr>
                  <w:r>
                    <w:rPr>
                      <w:rFonts w:hint="eastAsia"/>
                      <w:color w:val="000000"/>
                      <w:kern w:val="0"/>
                      <w:szCs w:val="21"/>
                      <w:lang w:bidi="ar"/>
                    </w:rPr>
                    <w:t>0.39</w:t>
                  </w:r>
                </w:p>
              </w:tc>
            </w:tr>
            <w:tr w14:paraId="7E4A9F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2" w:type="pct"/>
                  <w:vMerge w:val="continue"/>
                  <w:vAlign w:val="center"/>
                </w:tcPr>
                <w:p w14:paraId="033D775F">
                  <w:pPr>
                    <w:pStyle w:val="93"/>
                    <w:rPr>
                      <w:szCs w:val="21"/>
                    </w:rPr>
                  </w:pPr>
                </w:p>
              </w:tc>
              <w:tc>
                <w:tcPr>
                  <w:tcW w:w="1073" w:type="pct"/>
                  <w:vMerge w:val="continue"/>
                  <w:vAlign w:val="center"/>
                </w:tcPr>
                <w:p w14:paraId="31CD2EFB">
                  <w:pPr>
                    <w:pStyle w:val="93"/>
                    <w:rPr>
                      <w:szCs w:val="21"/>
                    </w:rPr>
                  </w:pPr>
                </w:p>
              </w:tc>
              <w:tc>
                <w:tcPr>
                  <w:tcW w:w="728" w:type="pct"/>
                  <w:vMerge w:val="continue"/>
                  <w:vAlign w:val="center"/>
                </w:tcPr>
                <w:p w14:paraId="1C21C0DE">
                  <w:pPr>
                    <w:pStyle w:val="93"/>
                    <w:rPr>
                      <w:szCs w:val="21"/>
                    </w:rPr>
                  </w:pPr>
                </w:p>
              </w:tc>
              <w:tc>
                <w:tcPr>
                  <w:tcW w:w="728" w:type="pct"/>
                  <w:vAlign w:val="center"/>
                </w:tcPr>
                <w:p w14:paraId="79D87BC1">
                  <w:pPr>
                    <w:pStyle w:val="93"/>
                    <w:rPr>
                      <w:szCs w:val="21"/>
                    </w:rPr>
                  </w:pPr>
                  <w:r>
                    <w:rPr>
                      <w:szCs w:val="21"/>
                    </w:rPr>
                    <w:t>总磷</w:t>
                  </w:r>
                </w:p>
              </w:tc>
              <w:tc>
                <w:tcPr>
                  <w:tcW w:w="784" w:type="pct"/>
                  <w:vAlign w:val="center"/>
                </w:tcPr>
                <w:p w14:paraId="780C7A46">
                  <w:pPr>
                    <w:pStyle w:val="93"/>
                    <w:rPr>
                      <w:szCs w:val="21"/>
                    </w:rPr>
                  </w:pPr>
                  <w:r>
                    <w:rPr>
                      <w:szCs w:val="21"/>
                    </w:rPr>
                    <w:t>≤0.5</w:t>
                  </w:r>
                </w:p>
              </w:tc>
              <w:tc>
                <w:tcPr>
                  <w:tcW w:w="685" w:type="pct"/>
                  <w:vAlign w:val="center"/>
                </w:tcPr>
                <w:p w14:paraId="3CC9F82F">
                  <w:pPr>
                    <w:widowControl/>
                    <w:jc w:val="center"/>
                    <w:textAlignment w:val="center"/>
                    <w:rPr>
                      <w:color w:val="000000"/>
                      <w:kern w:val="0"/>
                      <w:szCs w:val="21"/>
                      <w:lang w:bidi="ar"/>
                    </w:rPr>
                  </w:pPr>
                  <w:r>
                    <w:rPr>
                      <w:color w:val="000000"/>
                      <w:kern w:val="0"/>
                      <w:szCs w:val="21"/>
                      <w:lang w:bidi="ar"/>
                    </w:rPr>
                    <w:t>0.1</w:t>
                  </w:r>
                  <w:r>
                    <w:rPr>
                      <w:rFonts w:hint="eastAsia"/>
                      <w:color w:val="000000"/>
                      <w:kern w:val="0"/>
                      <w:szCs w:val="21"/>
                      <w:lang w:bidi="ar"/>
                    </w:rPr>
                    <w:t>3</w:t>
                  </w:r>
                </w:p>
              </w:tc>
              <w:tc>
                <w:tcPr>
                  <w:tcW w:w="668" w:type="pct"/>
                  <w:vAlign w:val="center"/>
                </w:tcPr>
                <w:p w14:paraId="201996BE">
                  <w:pPr>
                    <w:widowControl/>
                    <w:jc w:val="center"/>
                    <w:textAlignment w:val="center"/>
                    <w:rPr>
                      <w:color w:val="000000"/>
                      <w:kern w:val="0"/>
                      <w:szCs w:val="21"/>
                      <w:lang w:bidi="ar"/>
                    </w:rPr>
                  </w:pPr>
                  <w:r>
                    <w:rPr>
                      <w:color w:val="000000"/>
                      <w:kern w:val="0"/>
                      <w:szCs w:val="21"/>
                      <w:lang w:bidi="ar"/>
                    </w:rPr>
                    <w:t>0.0</w:t>
                  </w:r>
                  <w:r>
                    <w:rPr>
                      <w:rFonts w:hint="eastAsia"/>
                      <w:color w:val="000000"/>
                      <w:kern w:val="0"/>
                      <w:szCs w:val="21"/>
                      <w:lang w:bidi="ar"/>
                    </w:rPr>
                    <w:t>39</w:t>
                  </w:r>
                </w:p>
              </w:tc>
            </w:tr>
          </w:tbl>
          <w:p w14:paraId="6ABB5049">
            <w:pPr>
              <w:spacing w:line="360" w:lineRule="auto"/>
              <w:rPr>
                <w:b/>
                <w:bCs/>
                <w:sz w:val="24"/>
              </w:rPr>
            </w:pPr>
            <w:r>
              <w:rPr>
                <w:b/>
                <w:bCs/>
                <w:sz w:val="24"/>
              </w:rPr>
              <w:t>项目废水进入湖南华益科技发展有限公司（原名湖南华益食品有限公司）废水处理站可行性分析</w:t>
            </w:r>
          </w:p>
          <w:p w14:paraId="737D166A">
            <w:pPr>
              <w:pStyle w:val="53"/>
              <w:spacing w:line="360" w:lineRule="auto"/>
              <w:ind w:firstLine="482" w:firstLineChars="200"/>
              <w:jc w:val="both"/>
              <w:rPr>
                <w:rFonts w:ascii="Times New Roman"/>
              </w:rPr>
            </w:pPr>
            <w:r>
              <w:rPr>
                <w:rFonts w:hint="eastAsia" w:ascii="Times New Roman"/>
                <w:b/>
                <w:bCs/>
              </w:rPr>
              <w:t>从工艺上分析</w:t>
            </w:r>
          </w:p>
          <w:p w14:paraId="05D9FBA0">
            <w:pPr>
              <w:widowControl/>
              <w:spacing w:line="360" w:lineRule="auto"/>
              <w:ind w:firstLine="480" w:firstLineChars="200"/>
              <w:rPr>
                <w:sz w:val="24"/>
                <w:szCs w:val="24"/>
                <w:u w:val="single"/>
              </w:rPr>
            </w:pPr>
            <w:r>
              <w:rPr>
                <w:sz w:val="24"/>
                <w:szCs w:val="24"/>
                <w:u w:val="single"/>
              </w:rPr>
              <w:t>项目生产废水依托湖南华益科技发展有限公司（原名湖南华益食品有限公司）废水处理站处理，处理规模500m</w:t>
            </w:r>
            <w:r>
              <w:rPr>
                <w:sz w:val="24"/>
                <w:szCs w:val="24"/>
                <w:u w:val="single"/>
                <w:vertAlign w:val="superscript"/>
              </w:rPr>
              <w:t>3</w:t>
            </w:r>
            <w:r>
              <w:rPr>
                <w:sz w:val="24"/>
                <w:szCs w:val="24"/>
                <w:u w:val="single"/>
              </w:rPr>
              <w:t>/d，生产废水通过沟渠及管网收集进入机械格栅机，拦截去除废水中较大的漂浮物后进入调节池。</w:t>
            </w:r>
          </w:p>
          <w:p w14:paraId="08A2B053">
            <w:pPr>
              <w:pStyle w:val="53"/>
              <w:spacing w:line="360" w:lineRule="auto"/>
              <w:ind w:firstLine="480" w:firstLineChars="200"/>
              <w:jc w:val="both"/>
              <w:rPr>
                <w:rFonts w:ascii="Times New Roman"/>
                <w:color w:val="auto"/>
                <w:u w:val="single"/>
              </w:rPr>
            </w:pPr>
            <w:r>
              <w:rPr>
                <w:rFonts w:ascii="Times New Roman"/>
                <w:color w:val="auto"/>
                <w:u w:val="single"/>
              </w:rPr>
              <w:t>当调节池内的水位达到一定液位时通过超声波液位仪提供信号启动提升泵将污水提升入加药沉淀池进行预处理，调节池内设置液位控制系统，通过液位的高低自动控制污水处理系统的运行，减少人员操作的繁琐和降低管理难度及运行成本。为降低前期建设投资，该污水处理站按照每天20小时运行。</w:t>
            </w:r>
          </w:p>
          <w:p w14:paraId="72E68BC9">
            <w:pPr>
              <w:pStyle w:val="53"/>
              <w:spacing w:line="360" w:lineRule="auto"/>
              <w:ind w:firstLine="480" w:firstLineChars="200"/>
              <w:jc w:val="both"/>
              <w:rPr>
                <w:rFonts w:ascii="Times New Roman"/>
                <w:color w:val="auto"/>
                <w:u w:val="single"/>
              </w:rPr>
            </w:pPr>
            <w:r>
              <w:rPr>
                <w:rFonts w:ascii="Times New Roman"/>
                <w:color w:val="auto"/>
                <w:u w:val="single"/>
              </w:rPr>
              <w:t>污水进入加药沉淀池絮凝反应槽与絮凝剂（PAC、碱、PAM）充分反应后自流进入竖流沉淀池进行泥水分离。分离后废水进入后续生化系统处理。</w:t>
            </w:r>
          </w:p>
          <w:p w14:paraId="11864E01">
            <w:pPr>
              <w:pStyle w:val="53"/>
              <w:spacing w:line="360" w:lineRule="auto"/>
              <w:ind w:firstLine="480" w:firstLineChars="200"/>
              <w:jc w:val="both"/>
              <w:rPr>
                <w:rFonts w:ascii="Times New Roman"/>
                <w:color w:val="auto"/>
                <w:u w:val="single"/>
              </w:rPr>
            </w:pPr>
            <w:r>
              <w:rPr>
                <w:rFonts w:ascii="Times New Roman"/>
                <w:color w:val="auto"/>
                <w:u w:val="single"/>
              </w:rPr>
              <w:t>生化部分采用水解+好氧工艺，水解阶段和好氧阶段都采取二级水解和二级氧化，更好的去除水中的污染物质。在生化处理段，利用微生物的吸附、氧化等机理将小分子有机物彻底分解成二氧化碳和水，部分有机物作为微生物自身的能量来源参与新陈代谢。</w:t>
            </w:r>
          </w:p>
          <w:p w14:paraId="4470A9FC">
            <w:pPr>
              <w:pStyle w:val="53"/>
              <w:spacing w:line="360" w:lineRule="auto"/>
              <w:ind w:firstLine="480" w:firstLineChars="200"/>
              <w:jc w:val="both"/>
              <w:rPr>
                <w:rFonts w:ascii="Times New Roman"/>
                <w:color w:val="auto"/>
                <w:u w:val="single"/>
              </w:rPr>
            </w:pPr>
            <w:r>
              <w:rPr>
                <w:rFonts w:ascii="Times New Roman"/>
                <w:color w:val="auto"/>
                <w:u w:val="single"/>
              </w:rPr>
              <w:t>由于微生物的生长是个动态过程，在处理污水的过程中必然有部分微生物老化死亡。而这部分老化死亡的微生物会随流水排除生化系统，所以在生化段后设置竖流沉淀池分离水中的悬浮物，沉淀池上清液达标外排至市政管网。</w:t>
            </w:r>
          </w:p>
          <w:p w14:paraId="39021562">
            <w:pPr>
              <w:pStyle w:val="53"/>
              <w:spacing w:line="360" w:lineRule="auto"/>
              <w:ind w:firstLine="480" w:firstLineChars="200"/>
              <w:jc w:val="both"/>
              <w:rPr>
                <w:rFonts w:ascii="Times New Roman"/>
                <w:color w:val="auto"/>
                <w:u w:val="single"/>
              </w:rPr>
            </w:pPr>
            <w:r>
              <w:rPr>
                <w:rFonts w:ascii="Times New Roman"/>
                <w:color w:val="auto"/>
                <w:u w:val="single"/>
              </w:rPr>
              <w:t>沉淀下来的污泥部分通过污泥泵回流至二级水解酸化池和二级接触氧化池，剩余污泥排入污泥浓缩池。污泥浓缩池上清液自流至调节池再处理。浓缩后的污泥由污泥泵提升至叠螺式污泥脱水机进行脱水，滤液经收集后排入调节池再处理，保证系统达标排放。压干后的泥饼收集后外委处置。</w:t>
            </w:r>
          </w:p>
          <w:p w14:paraId="619F8577">
            <w:pPr>
              <w:spacing w:line="360" w:lineRule="auto"/>
              <w:rPr>
                <w:b/>
                <w:bCs/>
                <w:sz w:val="24"/>
              </w:rPr>
            </w:pPr>
            <w:r>
              <w:rPr>
                <w:u w:val="single"/>
              </w:rPr>
              <w:drawing>
                <wp:inline distT="0" distB="0" distL="114300" distR="114300">
                  <wp:extent cx="5337810" cy="2564765"/>
                  <wp:effectExtent l="0" t="0" r="15240" b="6985"/>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23"/>
                          <a:srcRect l="3701" t="9329" r="2182" b="3621"/>
                          <a:stretch>
                            <a:fillRect/>
                          </a:stretch>
                        </pic:blipFill>
                        <pic:spPr>
                          <a:xfrm>
                            <a:off x="0" y="0"/>
                            <a:ext cx="5337810" cy="2564765"/>
                          </a:xfrm>
                          <a:prstGeom prst="rect">
                            <a:avLst/>
                          </a:prstGeom>
                          <a:noFill/>
                          <a:ln>
                            <a:noFill/>
                          </a:ln>
                        </pic:spPr>
                      </pic:pic>
                    </a:graphicData>
                  </a:graphic>
                </wp:inline>
              </w:drawing>
            </w:r>
          </w:p>
          <w:p w14:paraId="6D5A85ED">
            <w:pPr>
              <w:spacing w:line="360" w:lineRule="auto"/>
              <w:jc w:val="center"/>
              <w:rPr>
                <w:b/>
                <w:sz w:val="24"/>
                <w:szCs w:val="24"/>
              </w:rPr>
            </w:pPr>
            <w:r>
              <w:rPr>
                <w:b/>
                <w:sz w:val="24"/>
                <w:szCs w:val="24"/>
              </w:rPr>
              <w:t>图4-1  湖南华益科技发展有限公司废水处理工艺流程图</w:t>
            </w:r>
          </w:p>
          <w:p w14:paraId="2FB8B99F">
            <w:pPr>
              <w:adjustRightInd w:val="0"/>
              <w:spacing w:line="360" w:lineRule="auto"/>
              <w:ind w:firstLine="480" w:firstLineChars="200"/>
              <w:rPr>
                <w:sz w:val="24"/>
                <w:szCs w:val="24"/>
              </w:rPr>
            </w:pPr>
            <w:r>
              <w:rPr>
                <w:sz w:val="24"/>
                <w:szCs w:val="24"/>
              </w:rPr>
              <w:t>本项目水污染治理设施根据《排污许可证申请与核发技术规范 农副食品加工工业—水产品加工工业》（HJ 1109-2020）、《排污许可证申请与核发技术规范 农副食品加工工业—屠宰及肉类加工工业》（HJ 860.3-2018）进行综合分析。</w:t>
            </w:r>
          </w:p>
          <w:p w14:paraId="48EC6D8D">
            <w:pPr>
              <w:spacing w:line="360" w:lineRule="auto"/>
              <w:jc w:val="center"/>
              <w:rPr>
                <w:b/>
                <w:sz w:val="24"/>
                <w:szCs w:val="24"/>
              </w:rPr>
            </w:pPr>
            <w:r>
              <w:rPr>
                <w:b/>
                <w:sz w:val="24"/>
                <w:szCs w:val="24"/>
              </w:rPr>
              <w:t>表4-15  生产废水水污染治理设施可行性一览表</w:t>
            </w:r>
          </w:p>
          <w:tbl>
            <w:tblPr>
              <w:tblStyle w:val="24"/>
              <w:tblW w:w="850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936"/>
              <w:gridCol w:w="2654"/>
              <w:gridCol w:w="1935"/>
              <w:gridCol w:w="975"/>
            </w:tblGrid>
            <w:tr w14:paraId="51B4A5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936" w:type="dxa"/>
                  <w:tcBorders>
                    <w:top w:val="single" w:color="auto" w:sz="12" w:space="0"/>
                    <w:left w:val="single" w:color="auto" w:sz="6" w:space="0"/>
                    <w:bottom w:val="single" w:color="auto" w:sz="6" w:space="0"/>
                    <w:right w:val="single" w:color="auto" w:sz="6" w:space="0"/>
                  </w:tcBorders>
                  <w:vAlign w:val="center"/>
                </w:tcPr>
                <w:p w14:paraId="7777F35A">
                  <w:pPr>
                    <w:pStyle w:val="50"/>
                    <w:spacing w:beforeLines="0"/>
                    <w:rPr>
                      <w:rFonts w:ascii="Times New Roman" w:hAnsi="Times New Roman"/>
                      <w:b/>
                      <w:bCs/>
                      <w:u w:val="single"/>
                    </w:rPr>
                  </w:pPr>
                  <w:r>
                    <w:rPr>
                      <w:rFonts w:ascii="Times New Roman" w:hAnsi="Times New Roman"/>
                      <w:b/>
                      <w:bCs/>
                      <w:u w:val="single"/>
                    </w:rPr>
                    <w:t>（HJ 1109-2020）表2</w:t>
                  </w:r>
                </w:p>
              </w:tc>
              <w:tc>
                <w:tcPr>
                  <w:tcW w:w="2654" w:type="dxa"/>
                  <w:tcBorders>
                    <w:top w:val="single" w:color="auto" w:sz="12" w:space="0"/>
                    <w:left w:val="single" w:color="auto" w:sz="6" w:space="0"/>
                    <w:bottom w:val="single" w:color="auto" w:sz="6" w:space="0"/>
                    <w:right w:val="single" w:color="auto" w:sz="6" w:space="0"/>
                  </w:tcBorders>
                  <w:vAlign w:val="center"/>
                </w:tcPr>
                <w:p w14:paraId="3F756A36">
                  <w:pPr>
                    <w:pStyle w:val="50"/>
                    <w:spacing w:beforeLines="0"/>
                    <w:rPr>
                      <w:rFonts w:ascii="Times New Roman" w:hAnsi="Times New Roman"/>
                      <w:b/>
                      <w:bCs/>
                      <w:u w:val="single"/>
                    </w:rPr>
                  </w:pPr>
                  <w:r>
                    <w:rPr>
                      <w:rFonts w:ascii="Times New Roman" w:hAnsi="Times New Roman"/>
                      <w:b/>
                      <w:bCs/>
                      <w:u w:val="single"/>
                    </w:rPr>
                    <w:t>（HJ 860.3-2018）表7</w:t>
                  </w:r>
                </w:p>
              </w:tc>
              <w:tc>
                <w:tcPr>
                  <w:tcW w:w="1935" w:type="dxa"/>
                  <w:tcBorders>
                    <w:top w:val="single" w:color="auto" w:sz="12" w:space="0"/>
                    <w:left w:val="single" w:color="auto" w:sz="6" w:space="0"/>
                    <w:bottom w:val="single" w:color="auto" w:sz="6" w:space="0"/>
                    <w:right w:val="single" w:color="auto" w:sz="6" w:space="0"/>
                  </w:tcBorders>
                  <w:vAlign w:val="center"/>
                </w:tcPr>
                <w:p w14:paraId="2ADC110B">
                  <w:pPr>
                    <w:pStyle w:val="50"/>
                    <w:spacing w:beforeLines="0"/>
                    <w:rPr>
                      <w:rFonts w:ascii="Times New Roman" w:hAnsi="Times New Roman"/>
                      <w:b/>
                      <w:bCs/>
                      <w:u w:val="single"/>
                    </w:rPr>
                  </w:pPr>
                  <w:r>
                    <w:rPr>
                      <w:rFonts w:ascii="Times New Roman" w:hAnsi="Times New Roman"/>
                      <w:b/>
                      <w:bCs/>
                      <w:u w:val="single"/>
                    </w:rPr>
                    <w:t>采取的污染治理设施</w:t>
                  </w:r>
                </w:p>
              </w:tc>
              <w:tc>
                <w:tcPr>
                  <w:tcW w:w="975" w:type="dxa"/>
                  <w:tcBorders>
                    <w:top w:val="single" w:color="auto" w:sz="12" w:space="0"/>
                    <w:left w:val="single" w:color="auto" w:sz="6" w:space="0"/>
                    <w:bottom w:val="single" w:color="auto" w:sz="6" w:space="0"/>
                    <w:right w:val="single" w:color="auto" w:sz="12" w:space="0"/>
                  </w:tcBorders>
                  <w:vAlign w:val="center"/>
                </w:tcPr>
                <w:p w14:paraId="7F1C33DC">
                  <w:pPr>
                    <w:pStyle w:val="50"/>
                    <w:spacing w:beforeLines="0"/>
                    <w:rPr>
                      <w:rFonts w:ascii="Times New Roman" w:hAnsi="Times New Roman"/>
                      <w:b/>
                      <w:bCs/>
                      <w:u w:val="single"/>
                    </w:rPr>
                  </w:pPr>
                  <w:r>
                    <w:rPr>
                      <w:rFonts w:ascii="Times New Roman" w:hAnsi="Times New Roman"/>
                      <w:b/>
                      <w:bCs/>
                      <w:u w:val="single"/>
                    </w:rPr>
                    <w:t>是否可行技术</w:t>
                  </w:r>
                </w:p>
              </w:tc>
            </w:tr>
            <w:tr w14:paraId="38F30A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936" w:type="dxa"/>
                  <w:tcBorders>
                    <w:top w:val="single" w:color="auto" w:sz="6" w:space="0"/>
                    <w:left w:val="single" w:color="auto" w:sz="6" w:space="0"/>
                    <w:bottom w:val="single" w:color="auto" w:sz="12" w:space="0"/>
                    <w:right w:val="single" w:color="auto" w:sz="6" w:space="0"/>
                  </w:tcBorders>
                  <w:vAlign w:val="center"/>
                </w:tcPr>
                <w:p w14:paraId="2B977478">
                  <w:pPr>
                    <w:pStyle w:val="50"/>
                    <w:spacing w:before="24"/>
                    <w:rPr>
                      <w:rFonts w:ascii="Times New Roman" w:hAnsi="Times New Roman"/>
                      <w:u w:val="single"/>
                    </w:rPr>
                  </w:pPr>
                  <w:r>
                    <w:rPr>
                      <w:rFonts w:ascii="Times New Roman" w:hAnsi="Times New Roman"/>
                      <w:u w:val="single"/>
                    </w:rPr>
                    <w:t>1）预处理：粗（细）格栅；竖流或辐流式沉淀；混凝沉淀；气浮；其他</w:t>
                  </w:r>
                </w:p>
                <w:p w14:paraId="189829DE">
                  <w:pPr>
                    <w:pStyle w:val="50"/>
                    <w:spacing w:before="24"/>
                    <w:rPr>
                      <w:rFonts w:ascii="Times New Roman" w:hAnsi="Times New Roman"/>
                      <w:u w:val="single"/>
                    </w:rPr>
                  </w:pPr>
                  <w:r>
                    <w:rPr>
                      <w:rFonts w:ascii="Times New Roman" w:hAnsi="Times New Roman"/>
                      <w:u w:val="single"/>
                    </w:rPr>
                    <w:t>2）生化处理：活性污泥法及改进的活性污泥法；生物膜法；其他</w:t>
                  </w:r>
                </w:p>
                <w:p w14:paraId="61BBFE77">
                  <w:pPr>
                    <w:pStyle w:val="50"/>
                    <w:spacing w:before="24"/>
                    <w:rPr>
                      <w:rFonts w:ascii="Times New Roman" w:hAnsi="Times New Roman"/>
                      <w:u w:val="single"/>
                    </w:rPr>
                  </w:pPr>
                  <w:r>
                    <w:rPr>
                      <w:rFonts w:ascii="Times New Roman" w:hAnsi="Times New Roman"/>
                      <w:u w:val="single"/>
                    </w:rPr>
                    <w:t>3）除磷处理：化学除磷（注明混凝剂）；生物除磷；生物与化学组合除磷；其他</w:t>
                  </w:r>
                </w:p>
                <w:p w14:paraId="531CEAC6">
                  <w:pPr>
                    <w:pStyle w:val="50"/>
                    <w:spacing w:before="24"/>
                    <w:rPr>
                      <w:rFonts w:ascii="Times New Roman" w:hAnsi="Times New Roman"/>
                      <w:u w:val="single"/>
                    </w:rPr>
                  </w:pPr>
                  <w:r>
                    <w:rPr>
                      <w:rFonts w:ascii="Times New Roman" w:hAnsi="Times New Roman"/>
                      <w:u w:val="single"/>
                    </w:rPr>
                    <w:t>4）深度处理：厌氧池、曝气生物滤池（BAF）、V型滤池；臭氧氧化；膜分离技术（超滤等）；人工湿地；其他</w:t>
                  </w:r>
                </w:p>
              </w:tc>
              <w:tc>
                <w:tcPr>
                  <w:tcW w:w="2654" w:type="dxa"/>
                  <w:tcBorders>
                    <w:top w:val="single" w:color="auto" w:sz="6" w:space="0"/>
                    <w:left w:val="single" w:color="auto" w:sz="6" w:space="0"/>
                    <w:bottom w:val="single" w:color="auto" w:sz="12" w:space="0"/>
                    <w:right w:val="single" w:color="auto" w:sz="6" w:space="0"/>
                  </w:tcBorders>
                  <w:vAlign w:val="center"/>
                </w:tcPr>
                <w:p w14:paraId="5A7D81F9">
                  <w:pPr>
                    <w:pStyle w:val="50"/>
                    <w:spacing w:before="24"/>
                    <w:rPr>
                      <w:rFonts w:ascii="Times New Roman" w:hAnsi="Times New Roman"/>
                      <w:u w:val="single"/>
                    </w:rPr>
                  </w:pPr>
                  <w:r>
                    <w:rPr>
                      <w:rFonts w:ascii="Times New Roman" w:hAnsi="Times New Roman"/>
                      <w:u w:val="single"/>
                    </w:rPr>
                    <w:t>1）预处理：粗（细）格栅（禽类屠宰需设置专用的细格栅、水力筛或筛网）；平流或旋流式沉砂、竖流或辐流式沉淀、混凝沉淀；斜板或平流式隔油池；气浮。</w:t>
                  </w:r>
                </w:p>
                <w:p w14:paraId="347DC809">
                  <w:pPr>
                    <w:pStyle w:val="50"/>
                    <w:spacing w:before="24"/>
                    <w:rPr>
                      <w:rFonts w:ascii="Times New Roman" w:hAnsi="Times New Roman"/>
                      <w:u w:val="single"/>
                    </w:rPr>
                  </w:pPr>
                  <w:r>
                    <w:rPr>
                      <w:rFonts w:ascii="Times New Roman" w:hAnsi="Times New Roman"/>
                      <w:u w:val="single"/>
                    </w:rPr>
                    <w:t>2）生化法处理：升流式厌氧污泥床（UASB）；IC 反应器或水解酸化技术；活性污泥法；氧化沟及其各类改型工艺。</w:t>
                  </w:r>
                </w:p>
              </w:tc>
              <w:tc>
                <w:tcPr>
                  <w:tcW w:w="1935" w:type="dxa"/>
                  <w:tcBorders>
                    <w:top w:val="single" w:color="auto" w:sz="6" w:space="0"/>
                    <w:left w:val="single" w:color="auto" w:sz="6" w:space="0"/>
                    <w:bottom w:val="single" w:color="auto" w:sz="12" w:space="0"/>
                    <w:right w:val="single" w:color="auto" w:sz="6" w:space="0"/>
                  </w:tcBorders>
                  <w:vAlign w:val="center"/>
                </w:tcPr>
                <w:p w14:paraId="7A0E35D0">
                  <w:pPr>
                    <w:pStyle w:val="50"/>
                    <w:spacing w:beforeLines="0"/>
                    <w:rPr>
                      <w:rFonts w:ascii="Times New Roman" w:hAnsi="Times New Roman"/>
                      <w:u w:val="single"/>
                    </w:rPr>
                  </w:pPr>
                  <w:r>
                    <w:rPr>
                      <w:rFonts w:ascii="Times New Roman" w:hAnsi="Times New Roman"/>
                      <w:color w:val="000000"/>
                      <w:szCs w:val="24"/>
                      <w:u w:val="single"/>
                    </w:rPr>
                    <w:t>格栅井+调节池+加药沉淀+两级水解酸化+两级接触氧化+竖流沉淀</w:t>
                  </w:r>
                </w:p>
              </w:tc>
              <w:tc>
                <w:tcPr>
                  <w:tcW w:w="975" w:type="dxa"/>
                  <w:tcBorders>
                    <w:top w:val="single" w:color="auto" w:sz="6" w:space="0"/>
                    <w:left w:val="single" w:color="auto" w:sz="6" w:space="0"/>
                    <w:bottom w:val="single" w:color="auto" w:sz="12" w:space="0"/>
                    <w:right w:val="single" w:color="auto" w:sz="12" w:space="0"/>
                  </w:tcBorders>
                  <w:vAlign w:val="center"/>
                </w:tcPr>
                <w:p w14:paraId="546F0F34">
                  <w:pPr>
                    <w:pStyle w:val="50"/>
                    <w:spacing w:beforeLines="0"/>
                    <w:rPr>
                      <w:rFonts w:ascii="Times New Roman" w:hAnsi="Times New Roman"/>
                      <w:u w:val="single"/>
                    </w:rPr>
                  </w:pPr>
                  <w:r>
                    <w:rPr>
                      <w:rFonts w:ascii="Times New Roman" w:hAnsi="Times New Roman"/>
                      <w:u w:val="single"/>
                    </w:rPr>
                    <w:t>是</w:t>
                  </w:r>
                </w:p>
              </w:tc>
            </w:tr>
          </w:tbl>
          <w:p w14:paraId="4B1AFE16">
            <w:pPr>
              <w:spacing w:line="360" w:lineRule="auto"/>
              <w:ind w:firstLine="482" w:firstLineChars="200"/>
              <w:rPr>
                <w:b/>
                <w:bCs/>
                <w:sz w:val="24"/>
                <w:u w:val="single"/>
              </w:rPr>
            </w:pPr>
          </w:p>
          <w:p w14:paraId="1D198D5E">
            <w:pPr>
              <w:spacing w:line="360" w:lineRule="auto"/>
              <w:ind w:firstLine="482" w:firstLineChars="200"/>
              <w:rPr>
                <w:b/>
                <w:bCs/>
                <w:color w:val="FF0000"/>
                <w:sz w:val="24"/>
                <w:u w:val="single"/>
              </w:rPr>
            </w:pPr>
            <w:r>
              <w:rPr>
                <w:b/>
                <w:bCs/>
                <w:sz w:val="24"/>
                <w:u w:val="single"/>
              </w:rPr>
              <w:t>从</w:t>
            </w:r>
            <w:r>
              <w:rPr>
                <w:rFonts w:hint="eastAsia"/>
                <w:b/>
                <w:bCs/>
                <w:sz w:val="24"/>
                <w:u w:val="single"/>
              </w:rPr>
              <w:t>规模</w:t>
            </w:r>
            <w:r>
              <w:rPr>
                <w:b/>
                <w:bCs/>
                <w:sz w:val="24"/>
                <w:u w:val="single"/>
              </w:rPr>
              <w:t>上分析</w:t>
            </w:r>
          </w:p>
          <w:p w14:paraId="28C9A348">
            <w:pPr>
              <w:spacing w:line="360" w:lineRule="auto"/>
              <w:ind w:firstLine="480" w:firstLineChars="200"/>
              <w:rPr>
                <w:sz w:val="24"/>
                <w:u w:val="single"/>
              </w:rPr>
            </w:pPr>
            <w:r>
              <w:rPr>
                <w:sz w:val="24"/>
                <w:u w:val="single"/>
              </w:rPr>
              <w:t>湖南华益科技发展有限公司（原名湖南华益食品有限公司）废水处理站</w:t>
            </w:r>
            <w:r>
              <w:rPr>
                <w:rFonts w:hint="eastAsia"/>
                <w:sz w:val="24"/>
                <w:u w:val="single"/>
              </w:rPr>
              <w:t>，</w:t>
            </w:r>
            <w:r>
              <w:rPr>
                <w:sz w:val="24"/>
                <w:u w:val="single"/>
              </w:rPr>
              <w:t>处理规模为500m</w:t>
            </w:r>
            <w:r>
              <w:rPr>
                <w:sz w:val="24"/>
                <w:u w:val="single"/>
                <w:vertAlign w:val="superscript"/>
              </w:rPr>
              <w:t>3</w:t>
            </w:r>
            <w:r>
              <w:rPr>
                <w:sz w:val="24"/>
                <w:u w:val="single"/>
              </w:rPr>
              <w:t>/d</w:t>
            </w:r>
            <w:r>
              <w:rPr>
                <w:rFonts w:hint="eastAsia"/>
                <w:sz w:val="24"/>
                <w:u w:val="single"/>
              </w:rPr>
              <w:t>。由于</w:t>
            </w:r>
            <w:r>
              <w:rPr>
                <w:sz w:val="24"/>
                <w:u w:val="single"/>
              </w:rPr>
              <w:t>湖南华益科技发展有限公司（原名湖南华益食品有限公司）</w:t>
            </w:r>
            <w:r>
              <w:rPr>
                <w:rFonts w:hint="eastAsia"/>
                <w:sz w:val="24"/>
                <w:u w:val="single"/>
              </w:rPr>
              <w:t>实际生产产能减少</w:t>
            </w:r>
            <w:r>
              <w:rPr>
                <w:sz w:val="24"/>
                <w:u w:val="single"/>
              </w:rPr>
              <w:t>，</w:t>
            </w:r>
            <w:r>
              <w:rPr>
                <w:rFonts w:hint="eastAsia"/>
                <w:sz w:val="24"/>
                <w:u w:val="single"/>
              </w:rPr>
              <w:t>且二期厂房退租不再建设；因此</w:t>
            </w:r>
            <w:r>
              <w:rPr>
                <w:sz w:val="24"/>
                <w:u w:val="single"/>
              </w:rPr>
              <w:t>湖南华益科技发展有限公司（原名湖南华益食品有限公司）</w:t>
            </w:r>
            <w:r>
              <w:rPr>
                <w:rFonts w:hint="eastAsia"/>
                <w:sz w:val="24"/>
                <w:u w:val="single"/>
              </w:rPr>
              <w:t>生产</w:t>
            </w:r>
            <w:r>
              <w:rPr>
                <w:sz w:val="24"/>
                <w:u w:val="single"/>
              </w:rPr>
              <w:t>废水</w:t>
            </w:r>
            <w:r>
              <w:rPr>
                <w:rFonts w:hint="eastAsia"/>
                <w:sz w:val="24"/>
                <w:u w:val="single"/>
              </w:rPr>
              <w:t>量低于200</w:t>
            </w:r>
            <w:r>
              <w:rPr>
                <w:sz w:val="24"/>
                <w:u w:val="single"/>
              </w:rPr>
              <w:t>m</w:t>
            </w:r>
            <w:r>
              <w:rPr>
                <w:sz w:val="24"/>
                <w:u w:val="single"/>
                <w:vertAlign w:val="superscript"/>
              </w:rPr>
              <w:t>3</w:t>
            </w:r>
            <w:r>
              <w:rPr>
                <w:sz w:val="24"/>
                <w:u w:val="single"/>
              </w:rPr>
              <w:t>/d，本项目</w:t>
            </w:r>
            <w:r>
              <w:rPr>
                <w:rFonts w:hint="eastAsia"/>
                <w:sz w:val="24"/>
                <w:u w:val="single"/>
              </w:rPr>
              <w:t>生产</w:t>
            </w:r>
            <w:r>
              <w:rPr>
                <w:sz w:val="24"/>
                <w:u w:val="single"/>
              </w:rPr>
              <w:t>废水排放量约为2</w:t>
            </w:r>
            <w:r>
              <w:rPr>
                <w:rFonts w:hint="eastAsia"/>
                <w:sz w:val="24"/>
                <w:u w:val="single"/>
              </w:rPr>
              <w:t>59.557</w:t>
            </w:r>
            <w:r>
              <w:rPr>
                <w:sz w:val="24"/>
                <w:u w:val="single"/>
              </w:rPr>
              <w:t>m³/d，</w:t>
            </w:r>
            <w:r>
              <w:rPr>
                <w:rFonts w:hint="eastAsia"/>
                <w:sz w:val="24"/>
                <w:u w:val="single"/>
              </w:rPr>
              <w:t>总计生产废水量不会超过其处理规模</w:t>
            </w:r>
            <w:r>
              <w:rPr>
                <w:sz w:val="24"/>
                <w:u w:val="single"/>
              </w:rPr>
              <w:t>500m</w:t>
            </w:r>
            <w:r>
              <w:rPr>
                <w:sz w:val="24"/>
                <w:u w:val="single"/>
                <w:vertAlign w:val="superscript"/>
              </w:rPr>
              <w:t>3</w:t>
            </w:r>
            <w:r>
              <w:rPr>
                <w:sz w:val="24"/>
                <w:u w:val="single"/>
              </w:rPr>
              <w:t>/d</w:t>
            </w:r>
            <w:r>
              <w:rPr>
                <w:rFonts w:hint="eastAsia"/>
                <w:sz w:val="24"/>
                <w:u w:val="single"/>
              </w:rPr>
              <w:t>，因此</w:t>
            </w:r>
            <w:r>
              <w:rPr>
                <w:sz w:val="24"/>
                <w:u w:val="single"/>
              </w:rPr>
              <w:t>本项目的废水</w:t>
            </w:r>
            <w:r>
              <w:rPr>
                <w:rFonts w:hint="eastAsia"/>
                <w:sz w:val="24"/>
                <w:u w:val="single"/>
              </w:rPr>
              <w:t>接入</w:t>
            </w:r>
            <w:r>
              <w:rPr>
                <w:sz w:val="24"/>
                <w:u w:val="single"/>
              </w:rPr>
              <w:t>不会影响湖南华益科技发展有限公司（原名湖南华益食品有限公司）废水处理站的正常运行。</w:t>
            </w:r>
          </w:p>
          <w:p w14:paraId="05402AB0">
            <w:pPr>
              <w:spacing w:line="360" w:lineRule="auto"/>
              <w:ind w:firstLine="482" w:firstLineChars="200"/>
              <w:rPr>
                <w:sz w:val="24"/>
                <w:u w:val="single"/>
              </w:rPr>
            </w:pPr>
            <w:r>
              <w:rPr>
                <w:b/>
                <w:bCs/>
                <w:sz w:val="24"/>
                <w:u w:val="single"/>
              </w:rPr>
              <w:t>从时间上分析</w:t>
            </w:r>
          </w:p>
          <w:p w14:paraId="0D1AD48A">
            <w:pPr>
              <w:spacing w:line="360" w:lineRule="auto"/>
              <w:ind w:firstLine="480" w:firstLineChars="200"/>
              <w:rPr>
                <w:sz w:val="24"/>
                <w:u w:val="single"/>
              </w:rPr>
            </w:pPr>
            <w:r>
              <w:rPr>
                <w:sz w:val="24"/>
                <w:u w:val="single"/>
              </w:rPr>
              <w:t>根据对项目现场情况调查，项目所在区域已完善污水管网的配套建设以及湖南华益科技发展有限公司（原名湖南华益食品有限公司）废水处理站已投入正常运营，因此从接管时间和运行时间上分析，本项目废水接入湖南华益科技发展有限公司（原名湖南华益食品有限公司）废水处理站也是可行的。</w:t>
            </w:r>
          </w:p>
          <w:p w14:paraId="78E27167">
            <w:pPr>
              <w:spacing w:line="360" w:lineRule="auto"/>
              <w:ind w:firstLine="480" w:firstLineChars="200"/>
              <w:rPr>
                <w:sz w:val="24"/>
                <w:u w:val="single"/>
              </w:rPr>
            </w:pPr>
            <w:r>
              <w:rPr>
                <w:sz w:val="24"/>
                <w:u w:val="single"/>
              </w:rPr>
              <w:t>因此，本项目生产废水接入湖南华益科技发展有限公司（原名湖南华益食品有限公司）废水处理站是可行的。本项目废水经湖南华益科技发展有限公司（原名湖南华益食品有限公司）废水处理站处理达标后，可排入安化县污水处理厂集中处理，最终达标排入资江，对资江水环境影响较小。</w:t>
            </w:r>
          </w:p>
          <w:p w14:paraId="54555DC0">
            <w:pPr>
              <w:spacing w:line="360" w:lineRule="auto"/>
              <w:rPr>
                <w:b/>
                <w:bCs/>
                <w:sz w:val="24"/>
              </w:rPr>
            </w:pPr>
            <w:r>
              <w:rPr>
                <w:b/>
                <w:bCs/>
                <w:sz w:val="24"/>
              </w:rPr>
              <w:t>项目</w:t>
            </w:r>
            <w:r>
              <w:rPr>
                <w:rFonts w:hint="eastAsia"/>
                <w:b/>
                <w:bCs/>
                <w:sz w:val="24"/>
              </w:rPr>
              <w:t>废水</w:t>
            </w:r>
            <w:r>
              <w:rPr>
                <w:b/>
                <w:bCs/>
                <w:sz w:val="24"/>
              </w:rPr>
              <w:t>进入安化县污水处理厂可行性分析</w:t>
            </w:r>
          </w:p>
          <w:p w14:paraId="4F2D37B9">
            <w:pPr>
              <w:pStyle w:val="6"/>
              <w:adjustRightInd/>
              <w:snapToGrid/>
              <w:ind w:firstLine="480" w:firstLineChars="200"/>
              <w:jc w:val="both"/>
              <w:rPr>
                <w:rFonts w:eastAsia="宋体"/>
                <w:u w:val="single"/>
              </w:rPr>
            </w:pPr>
            <w:r>
              <w:rPr>
                <w:rFonts w:eastAsia="宋体"/>
                <w:u w:val="single"/>
              </w:rPr>
              <w:t>本项目主要为</w:t>
            </w:r>
            <w:r>
              <w:rPr>
                <w:rFonts w:hint="eastAsia" w:eastAsia="宋体"/>
                <w:u w:val="single"/>
              </w:rPr>
              <w:t>生产</w:t>
            </w:r>
            <w:r>
              <w:rPr>
                <w:rFonts w:eastAsia="宋体"/>
                <w:u w:val="single"/>
              </w:rPr>
              <w:t>废水，</w:t>
            </w:r>
            <w:r>
              <w:rPr>
                <w:rFonts w:hint="eastAsia" w:eastAsia="宋体"/>
                <w:u w:val="single"/>
              </w:rPr>
              <w:t>经入湖南华益科技发展有限公司（原名湖南华益食品有限公司）废水处理站处理后</w:t>
            </w:r>
            <w:r>
              <w:rPr>
                <w:rFonts w:eastAsia="宋体"/>
                <w:u w:val="single"/>
              </w:rPr>
              <w:t>，</w:t>
            </w:r>
            <w:r>
              <w:rPr>
                <w:rFonts w:hint="eastAsia" w:eastAsia="宋体"/>
                <w:u w:val="single"/>
              </w:rPr>
              <w:t>生产废水pH、COD、BOD、SS、动植物油能满足《污水综合排放标准》（GB8978-1996）表4中三级排放标准限值，氨氮、总磷、总氮、氯化物满足《污水排入城镇下水道水质标准》(GBT31962-2015)表1中B级标准限值；，且满足</w:t>
            </w:r>
            <w:r>
              <w:rPr>
                <w:rFonts w:eastAsia="宋体"/>
                <w:u w:val="single"/>
              </w:rPr>
              <w:t>安化县污水处理厂接管水质标准中较严的标准限值排入市政污水管网，进入安化县污水处理厂处理达《城镇污水处理厂污染物排放标准》（GB18918-2002）一级A标准后排入资江。</w:t>
            </w:r>
          </w:p>
          <w:p w14:paraId="17B5D696">
            <w:pPr>
              <w:spacing w:line="360" w:lineRule="auto"/>
              <w:ind w:firstLine="480" w:firstLineChars="200"/>
              <w:rPr>
                <w:sz w:val="24"/>
                <w:u w:val="single"/>
              </w:rPr>
            </w:pPr>
            <w:r>
              <w:rPr>
                <w:sz w:val="24"/>
                <w:u w:val="single"/>
              </w:rPr>
              <w:t>因此本环评从水质、水量和接管时间三方面就本项目废水接入集中式污水处理厂的可行性进行分析。</w:t>
            </w:r>
          </w:p>
          <w:p w14:paraId="67A75168">
            <w:pPr>
              <w:spacing w:line="360" w:lineRule="auto"/>
              <w:ind w:firstLine="480" w:firstLineChars="200"/>
              <w:rPr>
                <w:sz w:val="24"/>
                <w:u w:val="single"/>
              </w:rPr>
            </w:pPr>
            <w:r>
              <w:rPr>
                <w:sz w:val="24"/>
                <w:u w:val="single"/>
              </w:rPr>
              <w:t>（1）从水质上分析</w:t>
            </w:r>
          </w:p>
          <w:p w14:paraId="1E7745E2">
            <w:pPr>
              <w:spacing w:line="360" w:lineRule="auto"/>
              <w:ind w:firstLine="480" w:firstLineChars="200"/>
              <w:rPr>
                <w:sz w:val="24"/>
                <w:u w:val="single"/>
              </w:rPr>
            </w:pPr>
            <w:r>
              <w:rPr>
                <w:rFonts w:hint="eastAsia"/>
                <w:sz w:val="24"/>
                <w:u w:val="single"/>
              </w:rPr>
              <w:t>本项目主要为生产废水，经入湖南华益科技发展有限公司（原名湖南华益食品有限公司）废水处理站（“格栅井+调节池+加药沉淀+两级水解酸化+两级接触氧化+竖流沉淀”）处理后，生产</w:t>
            </w:r>
            <w:r>
              <w:rPr>
                <w:sz w:val="24"/>
                <w:u w:val="single"/>
              </w:rPr>
              <w:t>废水污染因子主要是pH、COD、BOD</w:t>
            </w:r>
            <w:r>
              <w:rPr>
                <w:sz w:val="24"/>
                <w:u w:val="single"/>
                <w:vertAlign w:val="subscript"/>
              </w:rPr>
              <w:t>5</w:t>
            </w:r>
            <w:r>
              <w:rPr>
                <w:sz w:val="24"/>
                <w:u w:val="single"/>
              </w:rPr>
              <w:t>、SS、动植物油等</w:t>
            </w:r>
            <w:r>
              <w:rPr>
                <w:rFonts w:hint="eastAsia"/>
                <w:sz w:val="24"/>
                <w:u w:val="single"/>
              </w:rPr>
              <w:t>，</w:t>
            </w:r>
            <w:r>
              <w:rPr>
                <w:sz w:val="24"/>
                <w:u w:val="single"/>
              </w:rPr>
              <w:t>浓度能满足《污水综合排放标准》（GB8978-1996）表4中的三级标准</w:t>
            </w:r>
            <w:r>
              <w:rPr>
                <w:rFonts w:hint="eastAsia"/>
                <w:sz w:val="24"/>
                <w:u w:val="single"/>
              </w:rPr>
              <w:t>，氨氮、总磷、总氮、氯化物满足《污水排入城镇下水道水质标准》(GBT31962-2015)表1中B级标准，</w:t>
            </w:r>
            <w:r>
              <w:rPr>
                <w:sz w:val="24"/>
                <w:u w:val="single"/>
              </w:rPr>
              <w:t>和安化县污水处理厂接管水质标准中较严的标准限值排入市政污水管网，</w:t>
            </w:r>
            <w:r>
              <w:rPr>
                <w:color w:val="000000"/>
                <w:sz w:val="24"/>
                <w:szCs w:val="24"/>
                <w:u w:val="single"/>
              </w:rPr>
              <w:t>由安化县污水处理厂深度处理。</w:t>
            </w:r>
            <w:r>
              <w:rPr>
                <w:sz w:val="24"/>
                <w:u w:val="single"/>
              </w:rPr>
              <w:t>安化县污水处理厂处理达《城镇污水处理厂污染物排放标准》（GB18918-2002）一级A标准后排入资江。</w:t>
            </w:r>
          </w:p>
          <w:p w14:paraId="1EC7C063">
            <w:pPr>
              <w:spacing w:line="360" w:lineRule="auto"/>
              <w:ind w:firstLine="480" w:firstLineChars="200"/>
              <w:rPr>
                <w:sz w:val="24"/>
                <w:u w:val="single"/>
              </w:rPr>
            </w:pPr>
            <w:r>
              <w:rPr>
                <w:sz w:val="24"/>
                <w:u w:val="single"/>
              </w:rPr>
              <w:t>本评价认为通过上述污水处理工艺处理，废水能达到安化县污水处理厂接管要求。因此从水质上说，本项目废水接入污水处理厂进行处理是可行的。</w:t>
            </w:r>
          </w:p>
          <w:p w14:paraId="3B90B1C3">
            <w:pPr>
              <w:spacing w:line="360" w:lineRule="auto"/>
              <w:ind w:firstLine="480" w:firstLineChars="200"/>
              <w:rPr>
                <w:sz w:val="24"/>
                <w:u w:val="single"/>
              </w:rPr>
            </w:pPr>
            <w:r>
              <w:rPr>
                <w:sz w:val="24"/>
                <w:u w:val="single"/>
              </w:rPr>
              <w:t>（2）从水量上分析</w:t>
            </w:r>
          </w:p>
          <w:p w14:paraId="2D83501B">
            <w:pPr>
              <w:spacing w:line="360" w:lineRule="auto"/>
              <w:ind w:firstLine="480" w:firstLineChars="200"/>
              <w:rPr>
                <w:sz w:val="24"/>
                <w:u w:val="single"/>
              </w:rPr>
            </w:pPr>
            <w:r>
              <w:rPr>
                <w:sz w:val="24"/>
                <w:u w:val="single"/>
              </w:rPr>
              <w:t>项目废水进入安化县污水处理厂处理后排入资江，根据安化县污水处理厂建设情况，安化县污水处理厂位于安化县田庄乡茶家村，一期（2015年）2万吨（已建成并投入运营），二期（2025年）2万吨，共4万吨，配套污水收集管网45.7km及尾水排放口。服务范围为安化县城内的生活污水和工业废水，一期服务人口约13万人，二期服务人口约18万人，污水排放执行《城镇污水处理厂污染物排放标准》（GB18918－2002）一级A标准。污水处理厂只接纳生活污水及水质近似生活污水的工业废水或经预处理后符合国家规定的排放标准并可以与城市污水合并处理的工业废水。目前安化县污水处理厂日常处理规模在1.0~1.5万t/d左右，本项目废水排放量约为</w:t>
            </w:r>
            <w:r>
              <w:rPr>
                <w:rFonts w:hint="eastAsia"/>
                <w:sz w:val="24"/>
                <w:u w:val="single"/>
              </w:rPr>
              <w:t>259.558</w:t>
            </w:r>
            <w:r>
              <w:rPr>
                <w:sz w:val="24"/>
                <w:u w:val="single"/>
              </w:rPr>
              <w:t>m³/d，占剩余处理量的</w:t>
            </w:r>
            <w:r>
              <w:rPr>
                <w:rFonts w:hint="eastAsia"/>
                <w:sz w:val="24"/>
                <w:u w:val="single"/>
              </w:rPr>
              <w:t>5.19</w:t>
            </w:r>
            <w:r>
              <w:rPr>
                <w:sz w:val="24"/>
                <w:u w:val="single"/>
              </w:rPr>
              <w:t>%，本项目的废水不会影响污水处理厂的正常运行。</w:t>
            </w:r>
          </w:p>
          <w:p w14:paraId="6417B048">
            <w:pPr>
              <w:spacing w:line="360" w:lineRule="auto"/>
              <w:ind w:firstLine="480" w:firstLineChars="200"/>
              <w:rPr>
                <w:sz w:val="24"/>
                <w:u w:val="single"/>
              </w:rPr>
            </w:pPr>
            <w:r>
              <w:rPr>
                <w:sz w:val="24"/>
                <w:u w:val="single"/>
              </w:rPr>
              <w:t>（3）从时间上分析</w:t>
            </w:r>
          </w:p>
          <w:p w14:paraId="297EB554">
            <w:pPr>
              <w:spacing w:line="360" w:lineRule="auto"/>
              <w:ind w:firstLine="480" w:firstLineChars="200"/>
              <w:rPr>
                <w:sz w:val="24"/>
                <w:u w:val="single"/>
              </w:rPr>
            </w:pPr>
            <w:r>
              <w:rPr>
                <w:sz w:val="24"/>
                <w:u w:val="single"/>
              </w:rPr>
              <w:t>根据对项目现场情况调查，项目所在区域已完善污水管网的配套建设以及安化县污水处理厂已投入正常运营，因此从接管时间和集中式污水处理厂运行时间上分析，本项目废水接入安化县污水处理厂也是可行的。</w:t>
            </w:r>
          </w:p>
          <w:p w14:paraId="51BD719B">
            <w:pPr>
              <w:spacing w:line="360" w:lineRule="auto"/>
              <w:ind w:firstLine="480" w:firstLineChars="200"/>
              <w:rPr>
                <w:sz w:val="24"/>
                <w:u w:val="single"/>
              </w:rPr>
            </w:pPr>
            <w:r>
              <w:rPr>
                <w:sz w:val="24"/>
                <w:u w:val="single"/>
              </w:rPr>
              <w:t>因此，从水质、水量和接管时间三方面就本项目</w:t>
            </w:r>
            <w:r>
              <w:rPr>
                <w:rFonts w:hint="eastAsia"/>
                <w:sz w:val="24"/>
                <w:u w:val="single"/>
              </w:rPr>
              <w:t>生产</w:t>
            </w:r>
            <w:r>
              <w:rPr>
                <w:sz w:val="24"/>
                <w:u w:val="single"/>
              </w:rPr>
              <w:t>废水</w:t>
            </w:r>
            <w:r>
              <w:rPr>
                <w:rFonts w:hint="eastAsia"/>
                <w:sz w:val="24"/>
                <w:u w:val="single"/>
              </w:rPr>
              <w:t>处理后</w:t>
            </w:r>
            <w:r>
              <w:rPr>
                <w:sz w:val="24"/>
                <w:u w:val="single"/>
              </w:rPr>
              <w:t>接入安化县污水处理厂是可行的。</w:t>
            </w:r>
          </w:p>
          <w:p w14:paraId="701EB78E">
            <w:pPr>
              <w:spacing w:line="360" w:lineRule="auto"/>
              <w:rPr>
                <w:b/>
                <w:sz w:val="24"/>
              </w:rPr>
            </w:pPr>
            <w:r>
              <w:rPr>
                <w:b/>
                <w:sz w:val="24"/>
              </w:rPr>
              <w:t>营运期废水监测计划</w:t>
            </w:r>
          </w:p>
          <w:p w14:paraId="2956559B">
            <w:pPr>
              <w:adjustRightInd w:val="0"/>
              <w:snapToGrid w:val="0"/>
              <w:spacing w:line="360" w:lineRule="auto"/>
              <w:ind w:firstLine="480" w:firstLineChars="200"/>
              <w:rPr>
                <w:sz w:val="24"/>
                <w:u w:val="single"/>
              </w:rPr>
            </w:pPr>
            <w:r>
              <w:rPr>
                <w:sz w:val="24"/>
                <w:u w:val="single"/>
              </w:rPr>
              <w:t>参考</w:t>
            </w:r>
            <w:r>
              <w:rPr>
                <w:rFonts w:hint="eastAsia"/>
                <w:color w:val="000000"/>
                <w:sz w:val="24"/>
                <w:u w:val="single"/>
                <w:lang w:bidi="ar"/>
              </w:rPr>
              <w:t>《排污单位自行监测技术指南</w:t>
            </w:r>
            <w:r>
              <w:rPr>
                <w:color w:val="000000"/>
                <w:sz w:val="24"/>
                <w:u w:val="single"/>
                <w:lang w:bidi="ar"/>
              </w:rPr>
              <w:t xml:space="preserve"> </w:t>
            </w:r>
            <w:r>
              <w:rPr>
                <w:rFonts w:hint="eastAsia"/>
                <w:color w:val="000000"/>
                <w:sz w:val="24"/>
                <w:u w:val="single"/>
                <w:lang w:bidi="ar"/>
              </w:rPr>
              <w:t>农副食品加工业》（</w:t>
            </w:r>
            <w:r>
              <w:rPr>
                <w:color w:val="000000"/>
                <w:sz w:val="24"/>
                <w:u w:val="single"/>
                <w:lang w:bidi="ar"/>
              </w:rPr>
              <w:t>HJ 986-2018</w:t>
            </w:r>
            <w:r>
              <w:rPr>
                <w:rFonts w:hint="eastAsia"/>
                <w:color w:val="000000"/>
                <w:sz w:val="24"/>
                <w:u w:val="single"/>
                <w:lang w:bidi="ar"/>
              </w:rPr>
              <w:t>）、</w:t>
            </w:r>
            <w:r>
              <w:rPr>
                <w:rFonts w:hint="eastAsia"/>
                <w:color w:val="000000"/>
                <w:kern w:val="0"/>
                <w:sz w:val="24"/>
                <w:szCs w:val="24"/>
                <w:u w:val="single"/>
              </w:rPr>
              <w:t>《</w:t>
            </w:r>
            <w:r>
              <w:rPr>
                <w:rFonts w:hint="eastAsia"/>
                <w:sz w:val="24"/>
                <w:szCs w:val="24"/>
                <w:u w:val="single"/>
              </w:rPr>
              <w:t>排污单位自行监测技术指南 食品制造》（HJ 1084—2020）</w:t>
            </w:r>
            <w:r>
              <w:rPr>
                <w:sz w:val="24"/>
                <w:u w:val="single"/>
              </w:rPr>
              <w:t>的要求，</w:t>
            </w:r>
            <w:r>
              <w:rPr>
                <w:rFonts w:hint="eastAsia" w:cs="宋体"/>
                <w:sz w:val="24"/>
                <w:u w:val="single"/>
                <w:lang w:bidi="ar"/>
              </w:rPr>
              <w:t>对废水依托的企业没有做相应的监测要求，因此本项目</w:t>
            </w:r>
            <w:r>
              <w:rPr>
                <w:rFonts w:hint="eastAsia" w:cs="宋体"/>
                <w:sz w:val="24"/>
                <w:u w:val="single"/>
              </w:rPr>
              <w:t>无废水监测计划。</w:t>
            </w:r>
          </w:p>
          <w:p w14:paraId="0E72F304">
            <w:pPr>
              <w:adjustRightInd w:val="0"/>
              <w:snapToGrid w:val="0"/>
              <w:spacing w:line="360" w:lineRule="auto"/>
              <w:rPr>
                <w:b/>
                <w:color w:val="000000"/>
                <w:sz w:val="24"/>
                <w:szCs w:val="24"/>
              </w:rPr>
            </w:pPr>
            <w:r>
              <w:rPr>
                <w:b/>
                <w:color w:val="000000"/>
                <w:sz w:val="24"/>
                <w:szCs w:val="24"/>
              </w:rPr>
              <w:t>3 噪声</w:t>
            </w:r>
          </w:p>
          <w:p w14:paraId="2B5C8288">
            <w:pPr>
              <w:tabs>
                <w:tab w:val="left" w:pos="2196"/>
              </w:tabs>
              <w:spacing w:line="360" w:lineRule="auto"/>
              <w:jc w:val="center"/>
              <w:rPr>
                <w:b/>
                <w:color w:val="000000"/>
                <w:sz w:val="24"/>
                <w:szCs w:val="24"/>
              </w:rPr>
            </w:pPr>
            <w:r>
              <w:rPr>
                <w:b/>
                <w:color w:val="000000"/>
                <w:sz w:val="24"/>
                <w:szCs w:val="24"/>
              </w:rPr>
              <w:t>表4-1</w:t>
            </w:r>
            <w:r>
              <w:rPr>
                <w:rFonts w:hint="eastAsia"/>
                <w:b/>
                <w:color w:val="000000"/>
                <w:sz w:val="24"/>
                <w:szCs w:val="24"/>
              </w:rPr>
              <w:t>6</w:t>
            </w:r>
            <w:r>
              <w:rPr>
                <w:b/>
                <w:color w:val="000000"/>
                <w:sz w:val="24"/>
                <w:szCs w:val="24"/>
              </w:rPr>
              <w:t xml:space="preserve">  噪声源信息表（室内声源）</w:t>
            </w:r>
          </w:p>
          <w:tbl>
            <w:tblPr>
              <w:tblStyle w:val="24"/>
              <w:tblW w:w="852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85"/>
              <w:gridCol w:w="431"/>
              <w:gridCol w:w="707"/>
              <w:gridCol w:w="480"/>
              <w:gridCol w:w="760"/>
              <w:gridCol w:w="520"/>
              <w:gridCol w:w="586"/>
              <w:gridCol w:w="534"/>
              <w:gridCol w:w="533"/>
              <w:gridCol w:w="517"/>
              <w:gridCol w:w="644"/>
              <w:gridCol w:w="733"/>
              <w:gridCol w:w="644"/>
              <w:gridCol w:w="644"/>
              <w:gridCol w:w="402"/>
            </w:tblGrid>
            <w:tr w14:paraId="1F737DD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dxa"/>
                  <w:vMerge w:val="restart"/>
                  <w:tcBorders>
                    <w:top w:val="single" w:color="auto" w:sz="12" w:space="0"/>
                    <w:left w:val="single" w:color="auto" w:sz="12" w:space="0"/>
                    <w:bottom w:val="single" w:color="auto" w:sz="6" w:space="0"/>
                    <w:right w:val="single" w:color="auto" w:sz="6" w:space="0"/>
                  </w:tcBorders>
                  <w:vAlign w:val="center"/>
                </w:tcPr>
                <w:p w14:paraId="4701C9E8">
                  <w:pPr>
                    <w:pStyle w:val="50"/>
                    <w:spacing w:beforeLines="0" w:line="240" w:lineRule="auto"/>
                    <w:rPr>
                      <w:rFonts w:ascii="Times New Roman" w:hAnsi="Times New Roman"/>
                      <w:b/>
                      <w:bCs/>
                      <w:color w:val="000000"/>
                      <w:szCs w:val="21"/>
                    </w:rPr>
                  </w:pPr>
                  <w:r>
                    <w:rPr>
                      <w:rFonts w:ascii="Times New Roman" w:hAnsi="Times New Roman"/>
                      <w:b/>
                      <w:bCs/>
                      <w:color w:val="000000"/>
                      <w:szCs w:val="21"/>
                    </w:rPr>
                    <w:t>序号</w:t>
                  </w:r>
                </w:p>
              </w:tc>
              <w:tc>
                <w:tcPr>
                  <w:tcW w:w="431" w:type="dxa"/>
                  <w:vMerge w:val="restart"/>
                  <w:tcBorders>
                    <w:top w:val="single" w:color="auto" w:sz="12" w:space="0"/>
                    <w:left w:val="single" w:color="auto" w:sz="6" w:space="0"/>
                    <w:bottom w:val="single" w:color="auto" w:sz="6" w:space="0"/>
                    <w:right w:val="single" w:color="auto" w:sz="6" w:space="0"/>
                  </w:tcBorders>
                  <w:vAlign w:val="center"/>
                </w:tcPr>
                <w:p w14:paraId="5DE10986">
                  <w:pPr>
                    <w:pStyle w:val="50"/>
                    <w:spacing w:beforeLines="0" w:line="240" w:lineRule="auto"/>
                    <w:rPr>
                      <w:rFonts w:ascii="Times New Roman" w:hAnsi="Times New Roman"/>
                      <w:b/>
                      <w:bCs/>
                      <w:color w:val="000000"/>
                      <w:szCs w:val="21"/>
                    </w:rPr>
                  </w:pPr>
                  <w:r>
                    <w:rPr>
                      <w:rFonts w:ascii="Times New Roman" w:hAnsi="Times New Roman"/>
                      <w:b/>
                      <w:bCs/>
                      <w:color w:val="000000"/>
                      <w:szCs w:val="21"/>
                    </w:rPr>
                    <w:t>建筑名称</w:t>
                  </w:r>
                </w:p>
              </w:tc>
              <w:tc>
                <w:tcPr>
                  <w:tcW w:w="707" w:type="dxa"/>
                  <w:vMerge w:val="restart"/>
                  <w:tcBorders>
                    <w:top w:val="single" w:color="auto" w:sz="12" w:space="0"/>
                    <w:left w:val="single" w:color="auto" w:sz="6" w:space="0"/>
                    <w:right w:val="single" w:color="auto" w:sz="6" w:space="0"/>
                  </w:tcBorders>
                  <w:vAlign w:val="center"/>
                </w:tcPr>
                <w:p w14:paraId="0B22F281">
                  <w:pPr>
                    <w:pStyle w:val="50"/>
                    <w:spacing w:beforeLines="0" w:line="240" w:lineRule="auto"/>
                    <w:rPr>
                      <w:rFonts w:ascii="Times New Roman" w:hAnsi="Times New Roman"/>
                      <w:b/>
                      <w:bCs/>
                      <w:color w:val="000000"/>
                      <w:szCs w:val="21"/>
                    </w:rPr>
                  </w:pPr>
                  <w:r>
                    <w:rPr>
                      <w:rFonts w:ascii="Times New Roman" w:hAnsi="Times New Roman"/>
                      <w:b/>
                      <w:bCs/>
                      <w:color w:val="000000"/>
                      <w:szCs w:val="21"/>
                    </w:rPr>
                    <w:t>声源名称</w:t>
                  </w:r>
                </w:p>
              </w:tc>
              <w:tc>
                <w:tcPr>
                  <w:tcW w:w="480" w:type="dxa"/>
                  <w:vMerge w:val="restart"/>
                  <w:tcBorders>
                    <w:top w:val="single" w:color="auto" w:sz="12" w:space="0"/>
                    <w:left w:val="single" w:color="auto" w:sz="6" w:space="0"/>
                    <w:bottom w:val="single" w:color="auto" w:sz="6" w:space="0"/>
                    <w:right w:val="single" w:color="auto" w:sz="6" w:space="0"/>
                  </w:tcBorders>
                  <w:vAlign w:val="center"/>
                </w:tcPr>
                <w:p w14:paraId="21B26EFD">
                  <w:pPr>
                    <w:pStyle w:val="50"/>
                    <w:spacing w:beforeLines="0" w:line="240" w:lineRule="auto"/>
                    <w:rPr>
                      <w:rFonts w:ascii="Times New Roman" w:hAnsi="Times New Roman"/>
                      <w:b/>
                      <w:bCs/>
                      <w:color w:val="000000"/>
                      <w:szCs w:val="21"/>
                    </w:rPr>
                  </w:pPr>
                  <w:r>
                    <w:rPr>
                      <w:rFonts w:ascii="Times New Roman" w:hAnsi="Times New Roman"/>
                      <w:b/>
                      <w:bCs/>
                      <w:color w:val="000000"/>
                      <w:szCs w:val="21"/>
                    </w:rPr>
                    <w:t>数量</w:t>
                  </w:r>
                </w:p>
              </w:tc>
              <w:tc>
                <w:tcPr>
                  <w:tcW w:w="760" w:type="dxa"/>
                  <w:vMerge w:val="restart"/>
                  <w:tcBorders>
                    <w:top w:val="single" w:color="auto" w:sz="12" w:space="0"/>
                    <w:left w:val="single" w:color="auto" w:sz="6" w:space="0"/>
                    <w:bottom w:val="single" w:color="auto" w:sz="6" w:space="0"/>
                    <w:right w:val="single" w:color="auto" w:sz="6" w:space="0"/>
                  </w:tcBorders>
                  <w:vAlign w:val="center"/>
                </w:tcPr>
                <w:p w14:paraId="50889CA7">
                  <w:pPr>
                    <w:pStyle w:val="50"/>
                    <w:spacing w:beforeLines="0" w:line="240" w:lineRule="auto"/>
                    <w:rPr>
                      <w:rFonts w:ascii="Times New Roman" w:hAnsi="Times New Roman"/>
                      <w:b/>
                      <w:bCs/>
                      <w:color w:val="000000"/>
                      <w:szCs w:val="21"/>
                    </w:rPr>
                  </w:pPr>
                  <w:r>
                    <w:rPr>
                      <w:rFonts w:ascii="Times New Roman" w:hAnsi="Times New Roman"/>
                      <w:b/>
                      <w:bCs/>
                      <w:color w:val="000000"/>
                      <w:szCs w:val="21"/>
                    </w:rPr>
                    <w:t>声功率级/dB（A）</w:t>
                  </w:r>
                </w:p>
              </w:tc>
              <w:tc>
                <w:tcPr>
                  <w:tcW w:w="520" w:type="dxa"/>
                  <w:vMerge w:val="restart"/>
                  <w:tcBorders>
                    <w:top w:val="single" w:color="auto" w:sz="12" w:space="0"/>
                    <w:left w:val="single" w:color="auto" w:sz="6" w:space="0"/>
                    <w:bottom w:val="single" w:color="auto" w:sz="6" w:space="0"/>
                    <w:right w:val="single" w:color="auto" w:sz="6" w:space="0"/>
                  </w:tcBorders>
                  <w:vAlign w:val="center"/>
                </w:tcPr>
                <w:p w14:paraId="3ACF7243">
                  <w:pPr>
                    <w:adjustRightInd w:val="0"/>
                    <w:snapToGrid w:val="0"/>
                    <w:jc w:val="center"/>
                    <w:rPr>
                      <w:b/>
                      <w:color w:val="000000"/>
                      <w:szCs w:val="21"/>
                    </w:rPr>
                  </w:pPr>
                  <w:r>
                    <w:rPr>
                      <w:b/>
                      <w:color w:val="000000"/>
                      <w:szCs w:val="21"/>
                    </w:rPr>
                    <w:t>声源控制措施</w:t>
                  </w:r>
                </w:p>
              </w:tc>
              <w:tc>
                <w:tcPr>
                  <w:tcW w:w="1653" w:type="dxa"/>
                  <w:gridSpan w:val="3"/>
                  <w:tcBorders>
                    <w:top w:val="single" w:color="auto" w:sz="12" w:space="0"/>
                    <w:left w:val="single" w:color="auto" w:sz="6" w:space="0"/>
                    <w:bottom w:val="single" w:color="auto" w:sz="6" w:space="0"/>
                    <w:right w:val="single" w:color="auto" w:sz="6" w:space="0"/>
                  </w:tcBorders>
                  <w:vAlign w:val="center"/>
                </w:tcPr>
                <w:p w14:paraId="5578EC79">
                  <w:pPr>
                    <w:pStyle w:val="50"/>
                    <w:spacing w:beforeLines="0" w:line="240" w:lineRule="auto"/>
                    <w:rPr>
                      <w:rFonts w:ascii="Times New Roman" w:hAnsi="Times New Roman"/>
                      <w:b/>
                      <w:bCs/>
                      <w:color w:val="000000"/>
                      <w:szCs w:val="21"/>
                    </w:rPr>
                  </w:pPr>
                  <w:r>
                    <w:rPr>
                      <w:rFonts w:ascii="Times New Roman" w:hAnsi="Times New Roman"/>
                      <w:b/>
                      <w:bCs/>
                      <w:color w:val="000000"/>
                      <w:szCs w:val="21"/>
                    </w:rPr>
                    <w:t>空间相对位置</w:t>
                  </w:r>
                </w:p>
              </w:tc>
              <w:tc>
                <w:tcPr>
                  <w:tcW w:w="517" w:type="dxa"/>
                  <w:vMerge w:val="restart"/>
                  <w:tcBorders>
                    <w:top w:val="single" w:color="auto" w:sz="12" w:space="0"/>
                    <w:left w:val="single" w:color="auto" w:sz="6" w:space="0"/>
                    <w:bottom w:val="single" w:color="auto" w:sz="6" w:space="0"/>
                    <w:right w:val="single" w:color="auto" w:sz="6" w:space="0"/>
                  </w:tcBorders>
                  <w:vAlign w:val="center"/>
                </w:tcPr>
                <w:p w14:paraId="09060786">
                  <w:pPr>
                    <w:pStyle w:val="50"/>
                    <w:spacing w:beforeLines="0" w:line="240" w:lineRule="auto"/>
                    <w:rPr>
                      <w:rFonts w:ascii="Times New Roman" w:hAnsi="Times New Roman"/>
                      <w:b/>
                      <w:bCs/>
                      <w:color w:val="000000"/>
                      <w:szCs w:val="21"/>
                    </w:rPr>
                  </w:pPr>
                  <w:r>
                    <w:rPr>
                      <w:rFonts w:ascii="Times New Roman" w:hAnsi="Times New Roman"/>
                      <w:b/>
                      <w:bCs/>
                      <w:color w:val="000000"/>
                      <w:szCs w:val="21"/>
                    </w:rPr>
                    <w:t>距室内边界距离（m）</w:t>
                  </w:r>
                </w:p>
              </w:tc>
              <w:tc>
                <w:tcPr>
                  <w:tcW w:w="644" w:type="dxa"/>
                  <w:vMerge w:val="restart"/>
                  <w:tcBorders>
                    <w:top w:val="single" w:color="auto" w:sz="12" w:space="0"/>
                    <w:left w:val="single" w:color="auto" w:sz="6" w:space="0"/>
                    <w:bottom w:val="single" w:color="auto" w:sz="6" w:space="0"/>
                    <w:right w:val="single" w:color="auto" w:sz="6" w:space="0"/>
                  </w:tcBorders>
                  <w:vAlign w:val="center"/>
                </w:tcPr>
                <w:p w14:paraId="3C2EFE3D">
                  <w:pPr>
                    <w:pStyle w:val="50"/>
                    <w:spacing w:beforeLines="0" w:line="240" w:lineRule="auto"/>
                    <w:rPr>
                      <w:rFonts w:ascii="Times New Roman" w:hAnsi="Times New Roman"/>
                      <w:b/>
                      <w:bCs/>
                      <w:color w:val="000000"/>
                      <w:szCs w:val="21"/>
                    </w:rPr>
                  </w:pPr>
                  <w:r>
                    <w:rPr>
                      <w:rFonts w:ascii="Times New Roman" w:hAnsi="Times New Roman"/>
                      <w:b/>
                      <w:bCs/>
                      <w:color w:val="000000"/>
                      <w:szCs w:val="21"/>
                    </w:rPr>
                    <w:t>室内边界声级dB（A）</w:t>
                  </w:r>
                </w:p>
              </w:tc>
              <w:tc>
                <w:tcPr>
                  <w:tcW w:w="733" w:type="dxa"/>
                  <w:vMerge w:val="restart"/>
                  <w:tcBorders>
                    <w:top w:val="single" w:color="auto" w:sz="12" w:space="0"/>
                    <w:left w:val="single" w:color="auto" w:sz="6" w:space="0"/>
                    <w:bottom w:val="single" w:color="auto" w:sz="6" w:space="0"/>
                    <w:right w:val="single" w:color="auto" w:sz="6" w:space="0"/>
                  </w:tcBorders>
                  <w:vAlign w:val="center"/>
                </w:tcPr>
                <w:p w14:paraId="2F56FDEC">
                  <w:pPr>
                    <w:pStyle w:val="50"/>
                    <w:spacing w:beforeLines="0" w:line="240" w:lineRule="auto"/>
                    <w:rPr>
                      <w:rFonts w:ascii="Times New Roman" w:hAnsi="Times New Roman"/>
                      <w:b/>
                      <w:bCs/>
                      <w:color w:val="000000"/>
                      <w:szCs w:val="21"/>
                    </w:rPr>
                  </w:pPr>
                  <w:r>
                    <w:rPr>
                      <w:rFonts w:ascii="Times New Roman" w:hAnsi="Times New Roman"/>
                      <w:b/>
                      <w:bCs/>
                      <w:color w:val="000000"/>
                      <w:szCs w:val="21"/>
                    </w:rPr>
                    <w:t>运行时段</w:t>
                  </w:r>
                </w:p>
              </w:tc>
              <w:tc>
                <w:tcPr>
                  <w:tcW w:w="644" w:type="dxa"/>
                  <w:vMerge w:val="restart"/>
                  <w:tcBorders>
                    <w:top w:val="single" w:color="auto" w:sz="12" w:space="0"/>
                    <w:left w:val="single" w:color="auto" w:sz="6" w:space="0"/>
                    <w:bottom w:val="single" w:color="auto" w:sz="6" w:space="0"/>
                    <w:right w:val="single" w:color="auto" w:sz="6" w:space="0"/>
                  </w:tcBorders>
                  <w:vAlign w:val="center"/>
                </w:tcPr>
                <w:p w14:paraId="0B7ABB6D">
                  <w:pPr>
                    <w:pStyle w:val="50"/>
                    <w:spacing w:beforeLines="0" w:line="240" w:lineRule="auto"/>
                    <w:rPr>
                      <w:rFonts w:ascii="Times New Roman" w:hAnsi="Times New Roman"/>
                      <w:b/>
                      <w:bCs/>
                      <w:color w:val="000000"/>
                      <w:szCs w:val="21"/>
                    </w:rPr>
                  </w:pPr>
                  <w:r>
                    <w:rPr>
                      <w:rFonts w:ascii="Times New Roman" w:hAnsi="Times New Roman"/>
                      <w:b/>
                      <w:bCs/>
                      <w:color w:val="000000"/>
                      <w:szCs w:val="21"/>
                    </w:rPr>
                    <w:t>建筑物插入损失/dB（A）</w:t>
                  </w:r>
                </w:p>
              </w:tc>
              <w:tc>
                <w:tcPr>
                  <w:tcW w:w="1046" w:type="dxa"/>
                  <w:gridSpan w:val="2"/>
                  <w:tcBorders>
                    <w:top w:val="single" w:color="auto" w:sz="12" w:space="0"/>
                    <w:left w:val="single" w:color="auto" w:sz="6" w:space="0"/>
                    <w:bottom w:val="nil"/>
                    <w:right w:val="single" w:color="auto" w:sz="12" w:space="0"/>
                  </w:tcBorders>
                  <w:vAlign w:val="center"/>
                </w:tcPr>
                <w:p w14:paraId="50A3256D">
                  <w:pPr>
                    <w:pStyle w:val="50"/>
                    <w:spacing w:beforeLines="0" w:line="240" w:lineRule="auto"/>
                    <w:rPr>
                      <w:rFonts w:ascii="Times New Roman" w:hAnsi="Times New Roman"/>
                      <w:b/>
                      <w:bCs/>
                      <w:color w:val="000000"/>
                      <w:szCs w:val="21"/>
                    </w:rPr>
                  </w:pPr>
                  <w:r>
                    <w:rPr>
                      <w:rFonts w:ascii="Times New Roman" w:hAnsi="Times New Roman"/>
                      <w:b/>
                      <w:bCs/>
                      <w:color w:val="000000"/>
                      <w:szCs w:val="21"/>
                    </w:rPr>
                    <w:t>建筑物外噪声</w:t>
                  </w:r>
                </w:p>
              </w:tc>
            </w:tr>
            <w:tr w14:paraId="02847E0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dxa"/>
                  <w:vMerge w:val="continue"/>
                  <w:tcBorders>
                    <w:top w:val="single" w:color="auto" w:sz="12" w:space="0"/>
                    <w:left w:val="single" w:color="auto" w:sz="12" w:space="0"/>
                    <w:bottom w:val="single" w:color="auto" w:sz="6" w:space="0"/>
                    <w:right w:val="single" w:color="auto" w:sz="6" w:space="0"/>
                  </w:tcBorders>
                  <w:vAlign w:val="center"/>
                </w:tcPr>
                <w:p w14:paraId="0C221ED8">
                  <w:pPr>
                    <w:widowControl/>
                    <w:adjustRightInd w:val="0"/>
                    <w:snapToGrid w:val="0"/>
                    <w:jc w:val="center"/>
                    <w:rPr>
                      <w:b/>
                      <w:bCs/>
                      <w:color w:val="000000"/>
                      <w:szCs w:val="21"/>
                    </w:rPr>
                  </w:pPr>
                </w:p>
              </w:tc>
              <w:tc>
                <w:tcPr>
                  <w:tcW w:w="431" w:type="dxa"/>
                  <w:vMerge w:val="continue"/>
                  <w:tcBorders>
                    <w:top w:val="single" w:color="auto" w:sz="12" w:space="0"/>
                    <w:left w:val="single" w:color="auto" w:sz="6" w:space="0"/>
                    <w:bottom w:val="single" w:color="auto" w:sz="6" w:space="0"/>
                    <w:right w:val="single" w:color="auto" w:sz="6" w:space="0"/>
                  </w:tcBorders>
                  <w:vAlign w:val="center"/>
                </w:tcPr>
                <w:p w14:paraId="0531DCCD">
                  <w:pPr>
                    <w:widowControl/>
                    <w:adjustRightInd w:val="0"/>
                    <w:snapToGrid w:val="0"/>
                    <w:jc w:val="center"/>
                    <w:rPr>
                      <w:b/>
                      <w:bCs/>
                      <w:color w:val="000000"/>
                      <w:szCs w:val="21"/>
                    </w:rPr>
                  </w:pPr>
                </w:p>
              </w:tc>
              <w:tc>
                <w:tcPr>
                  <w:tcW w:w="707" w:type="dxa"/>
                  <w:vMerge w:val="continue"/>
                  <w:tcBorders>
                    <w:left w:val="single" w:color="auto" w:sz="6" w:space="0"/>
                    <w:bottom w:val="single" w:color="auto" w:sz="6" w:space="0"/>
                    <w:right w:val="single" w:color="auto" w:sz="6" w:space="0"/>
                  </w:tcBorders>
                  <w:vAlign w:val="center"/>
                </w:tcPr>
                <w:p w14:paraId="0057ED63">
                  <w:pPr>
                    <w:widowControl/>
                    <w:adjustRightInd w:val="0"/>
                    <w:snapToGrid w:val="0"/>
                    <w:jc w:val="center"/>
                    <w:rPr>
                      <w:b/>
                      <w:bCs/>
                      <w:color w:val="000000"/>
                      <w:szCs w:val="21"/>
                    </w:rPr>
                  </w:pPr>
                </w:p>
              </w:tc>
              <w:tc>
                <w:tcPr>
                  <w:tcW w:w="480" w:type="dxa"/>
                  <w:vMerge w:val="continue"/>
                  <w:tcBorders>
                    <w:top w:val="single" w:color="auto" w:sz="12" w:space="0"/>
                    <w:left w:val="single" w:color="auto" w:sz="6" w:space="0"/>
                    <w:bottom w:val="single" w:color="auto" w:sz="6" w:space="0"/>
                    <w:right w:val="single" w:color="auto" w:sz="6" w:space="0"/>
                  </w:tcBorders>
                  <w:vAlign w:val="center"/>
                </w:tcPr>
                <w:p w14:paraId="5DF7521D">
                  <w:pPr>
                    <w:widowControl/>
                    <w:adjustRightInd w:val="0"/>
                    <w:snapToGrid w:val="0"/>
                    <w:jc w:val="center"/>
                    <w:rPr>
                      <w:b/>
                      <w:bCs/>
                      <w:color w:val="000000"/>
                      <w:szCs w:val="21"/>
                    </w:rPr>
                  </w:pPr>
                </w:p>
              </w:tc>
              <w:tc>
                <w:tcPr>
                  <w:tcW w:w="760" w:type="dxa"/>
                  <w:vMerge w:val="continue"/>
                  <w:tcBorders>
                    <w:top w:val="single" w:color="auto" w:sz="12" w:space="0"/>
                    <w:left w:val="single" w:color="auto" w:sz="6" w:space="0"/>
                    <w:bottom w:val="single" w:color="auto" w:sz="6" w:space="0"/>
                    <w:right w:val="single" w:color="auto" w:sz="6" w:space="0"/>
                  </w:tcBorders>
                  <w:vAlign w:val="center"/>
                </w:tcPr>
                <w:p w14:paraId="117242C4">
                  <w:pPr>
                    <w:widowControl/>
                    <w:adjustRightInd w:val="0"/>
                    <w:snapToGrid w:val="0"/>
                    <w:jc w:val="center"/>
                    <w:rPr>
                      <w:b/>
                      <w:bCs/>
                      <w:color w:val="000000"/>
                      <w:szCs w:val="21"/>
                    </w:rPr>
                  </w:pPr>
                </w:p>
              </w:tc>
              <w:tc>
                <w:tcPr>
                  <w:tcW w:w="520" w:type="dxa"/>
                  <w:vMerge w:val="continue"/>
                  <w:tcBorders>
                    <w:top w:val="single" w:color="auto" w:sz="12" w:space="0"/>
                    <w:left w:val="single" w:color="auto" w:sz="6" w:space="0"/>
                    <w:bottom w:val="single" w:color="auto" w:sz="6" w:space="0"/>
                    <w:right w:val="single" w:color="auto" w:sz="6" w:space="0"/>
                  </w:tcBorders>
                  <w:vAlign w:val="center"/>
                </w:tcPr>
                <w:p w14:paraId="25D4A1C3">
                  <w:pPr>
                    <w:widowControl/>
                    <w:adjustRightInd w:val="0"/>
                    <w:snapToGrid w:val="0"/>
                    <w:jc w:val="center"/>
                    <w:rPr>
                      <w:b/>
                      <w:color w:val="000000"/>
                      <w:szCs w:val="21"/>
                    </w:rPr>
                  </w:pPr>
                </w:p>
              </w:tc>
              <w:tc>
                <w:tcPr>
                  <w:tcW w:w="586" w:type="dxa"/>
                  <w:tcBorders>
                    <w:top w:val="single" w:color="auto" w:sz="6" w:space="0"/>
                    <w:left w:val="single" w:color="auto" w:sz="6" w:space="0"/>
                    <w:bottom w:val="single" w:color="auto" w:sz="6" w:space="0"/>
                    <w:right w:val="single" w:color="auto" w:sz="6" w:space="0"/>
                  </w:tcBorders>
                  <w:vAlign w:val="center"/>
                </w:tcPr>
                <w:p w14:paraId="54F415CB">
                  <w:pPr>
                    <w:pStyle w:val="50"/>
                    <w:spacing w:beforeLines="0" w:line="240" w:lineRule="auto"/>
                    <w:rPr>
                      <w:rFonts w:ascii="Times New Roman" w:hAnsi="Times New Roman"/>
                      <w:b/>
                      <w:bCs/>
                      <w:color w:val="000000"/>
                      <w:szCs w:val="21"/>
                    </w:rPr>
                  </w:pPr>
                  <w:r>
                    <w:rPr>
                      <w:rFonts w:ascii="Times New Roman" w:hAnsi="Times New Roman"/>
                      <w:b/>
                      <w:bCs/>
                      <w:color w:val="000000"/>
                      <w:szCs w:val="21"/>
                    </w:rPr>
                    <w:t>X</w:t>
                  </w:r>
                </w:p>
              </w:tc>
              <w:tc>
                <w:tcPr>
                  <w:tcW w:w="534" w:type="dxa"/>
                  <w:tcBorders>
                    <w:top w:val="single" w:color="auto" w:sz="6" w:space="0"/>
                    <w:left w:val="single" w:color="auto" w:sz="6" w:space="0"/>
                    <w:bottom w:val="single" w:color="auto" w:sz="6" w:space="0"/>
                    <w:right w:val="single" w:color="auto" w:sz="6" w:space="0"/>
                  </w:tcBorders>
                  <w:vAlign w:val="center"/>
                </w:tcPr>
                <w:p w14:paraId="5CC9E6A6">
                  <w:pPr>
                    <w:pStyle w:val="50"/>
                    <w:spacing w:beforeLines="0" w:line="240" w:lineRule="auto"/>
                    <w:rPr>
                      <w:rFonts w:ascii="Times New Roman" w:hAnsi="Times New Roman"/>
                      <w:b/>
                      <w:bCs/>
                      <w:color w:val="000000"/>
                      <w:szCs w:val="21"/>
                    </w:rPr>
                  </w:pPr>
                  <w:r>
                    <w:rPr>
                      <w:rFonts w:ascii="Times New Roman" w:hAnsi="Times New Roman"/>
                      <w:b/>
                      <w:bCs/>
                      <w:color w:val="000000"/>
                      <w:szCs w:val="21"/>
                    </w:rPr>
                    <w:t>Y</w:t>
                  </w:r>
                </w:p>
              </w:tc>
              <w:tc>
                <w:tcPr>
                  <w:tcW w:w="533" w:type="dxa"/>
                  <w:tcBorders>
                    <w:top w:val="single" w:color="auto" w:sz="6" w:space="0"/>
                    <w:left w:val="single" w:color="auto" w:sz="6" w:space="0"/>
                    <w:bottom w:val="single" w:color="auto" w:sz="6" w:space="0"/>
                    <w:right w:val="single" w:color="auto" w:sz="6" w:space="0"/>
                  </w:tcBorders>
                  <w:vAlign w:val="center"/>
                </w:tcPr>
                <w:p w14:paraId="1F126BFF">
                  <w:pPr>
                    <w:pStyle w:val="50"/>
                    <w:spacing w:beforeLines="0" w:line="240" w:lineRule="auto"/>
                    <w:rPr>
                      <w:rFonts w:ascii="Times New Roman" w:hAnsi="Times New Roman"/>
                      <w:b/>
                      <w:bCs/>
                      <w:color w:val="000000"/>
                      <w:szCs w:val="21"/>
                    </w:rPr>
                  </w:pPr>
                  <w:r>
                    <w:rPr>
                      <w:rFonts w:ascii="Times New Roman" w:hAnsi="Times New Roman"/>
                      <w:b/>
                      <w:bCs/>
                      <w:color w:val="000000"/>
                      <w:szCs w:val="21"/>
                    </w:rPr>
                    <w:t>Z</w:t>
                  </w:r>
                </w:p>
              </w:tc>
              <w:tc>
                <w:tcPr>
                  <w:tcW w:w="517" w:type="dxa"/>
                  <w:vMerge w:val="continue"/>
                  <w:tcBorders>
                    <w:top w:val="single" w:color="auto" w:sz="12" w:space="0"/>
                    <w:left w:val="single" w:color="auto" w:sz="6" w:space="0"/>
                    <w:bottom w:val="single" w:color="auto" w:sz="6" w:space="0"/>
                    <w:right w:val="single" w:color="auto" w:sz="6" w:space="0"/>
                  </w:tcBorders>
                  <w:vAlign w:val="center"/>
                </w:tcPr>
                <w:p w14:paraId="479EF533">
                  <w:pPr>
                    <w:widowControl/>
                    <w:adjustRightInd w:val="0"/>
                    <w:snapToGrid w:val="0"/>
                    <w:jc w:val="center"/>
                    <w:rPr>
                      <w:b/>
                      <w:bCs/>
                      <w:color w:val="000000"/>
                      <w:szCs w:val="21"/>
                    </w:rPr>
                  </w:pPr>
                </w:p>
              </w:tc>
              <w:tc>
                <w:tcPr>
                  <w:tcW w:w="644" w:type="dxa"/>
                  <w:vMerge w:val="continue"/>
                  <w:tcBorders>
                    <w:top w:val="single" w:color="auto" w:sz="12" w:space="0"/>
                    <w:left w:val="single" w:color="auto" w:sz="6" w:space="0"/>
                    <w:bottom w:val="single" w:color="auto" w:sz="6" w:space="0"/>
                    <w:right w:val="single" w:color="auto" w:sz="6" w:space="0"/>
                  </w:tcBorders>
                  <w:vAlign w:val="center"/>
                </w:tcPr>
                <w:p w14:paraId="7B9E5206">
                  <w:pPr>
                    <w:widowControl/>
                    <w:adjustRightInd w:val="0"/>
                    <w:snapToGrid w:val="0"/>
                    <w:jc w:val="center"/>
                    <w:rPr>
                      <w:b/>
                      <w:bCs/>
                      <w:color w:val="000000"/>
                      <w:szCs w:val="21"/>
                    </w:rPr>
                  </w:pPr>
                </w:p>
              </w:tc>
              <w:tc>
                <w:tcPr>
                  <w:tcW w:w="733" w:type="dxa"/>
                  <w:vMerge w:val="continue"/>
                  <w:tcBorders>
                    <w:top w:val="single" w:color="auto" w:sz="12" w:space="0"/>
                    <w:left w:val="single" w:color="auto" w:sz="6" w:space="0"/>
                    <w:bottom w:val="single" w:color="auto" w:sz="6" w:space="0"/>
                    <w:right w:val="single" w:color="auto" w:sz="6" w:space="0"/>
                  </w:tcBorders>
                  <w:vAlign w:val="center"/>
                </w:tcPr>
                <w:p w14:paraId="42E009C4">
                  <w:pPr>
                    <w:widowControl/>
                    <w:adjustRightInd w:val="0"/>
                    <w:snapToGrid w:val="0"/>
                    <w:jc w:val="center"/>
                    <w:rPr>
                      <w:b/>
                      <w:bCs/>
                      <w:color w:val="000000"/>
                      <w:szCs w:val="21"/>
                    </w:rPr>
                  </w:pPr>
                </w:p>
              </w:tc>
              <w:tc>
                <w:tcPr>
                  <w:tcW w:w="644" w:type="dxa"/>
                  <w:vMerge w:val="continue"/>
                  <w:tcBorders>
                    <w:top w:val="single" w:color="auto" w:sz="12" w:space="0"/>
                    <w:left w:val="single" w:color="auto" w:sz="6" w:space="0"/>
                    <w:bottom w:val="single" w:color="auto" w:sz="6" w:space="0"/>
                    <w:right w:val="single" w:color="auto" w:sz="6" w:space="0"/>
                  </w:tcBorders>
                  <w:vAlign w:val="center"/>
                </w:tcPr>
                <w:p w14:paraId="31B3A9D4">
                  <w:pPr>
                    <w:widowControl/>
                    <w:adjustRightInd w:val="0"/>
                    <w:snapToGrid w:val="0"/>
                    <w:jc w:val="center"/>
                    <w:rPr>
                      <w:b/>
                      <w:bCs/>
                      <w:color w:val="000000"/>
                      <w:szCs w:val="21"/>
                    </w:rPr>
                  </w:pPr>
                </w:p>
              </w:tc>
              <w:tc>
                <w:tcPr>
                  <w:tcW w:w="644" w:type="dxa"/>
                  <w:tcBorders>
                    <w:top w:val="single" w:color="auto" w:sz="6" w:space="0"/>
                    <w:left w:val="single" w:color="auto" w:sz="6" w:space="0"/>
                    <w:bottom w:val="single" w:color="auto" w:sz="6" w:space="0"/>
                    <w:right w:val="single" w:color="auto" w:sz="6" w:space="0"/>
                  </w:tcBorders>
                  <w:vAlign w:val="center"/>
                </w:tcPr>
                <w:p w14:paraId="1308EAA5">
                  <w:pPr>
                    <w:pStyle w:val="50"/>
                    <w:spacing w:beforeLines="0" w:line="240" w:lineRule="auto"/>
                    <w:rPr>
                      <w:rFonts w:ascii="Times New Roman" w:hAnsi="Times New Roman"/>
                      <w:b/>
                      <w:bCs/>
                      <w:color w:val="000000"/>
                      <w:szCs w:val="21"/>
                    </w:rPr>
                  </w:pPr>
                  <w:r>
                    <w:rPr>
                      <w:rFonts w:ascii="Times New Roman" w:hAnsi="Times New Roman"/>
                      <w:b/>
                      <w:bCs/>
                      <w:color w:val="000000"/>
                      <w:szCs w:val="21"/>
                    </w:rPr>
                    <w:t>声压级/dB（A）</w:t>
                  </w:r>
                </w:p>
              </w:tc>
              <w:tc>
                <w:tcPr>
                  <w:tcW w:w="402" w:type="dxa"/>
                  <w:tcBorders>
                    <w:top w:val="single" w:color="auto" w:sz="6" w:space="0"/>
                    <w:left w:val="single" w:color="auto" w:sz="6" w:space="0"/>
                    <w:bottom w:val="single" w:color="auto" w:sz="6" w:space="0"/>
                    <w:right w:val="single" w:color="auto" w:sz="12" w:space="0"/>
                  </w:tcBorders>
                  <w:vAlign w:val="center"/>
                </w:tcPr>
                <w:p w14:paraId="2802D50E">
                  <w:pPr>
                    <w:pStyle w:val="50"/>
                    <w:spacing w:beforeLines="0" w:line="240" w:lineRule="auto"/>
                    <w:rPr>
                      <w:rFonts w:ascii="Times New Roman" w:hAnsi="Times New Roman"/>
                      <w:b/>
                      <w:bCs/>
                      <w:color w:val="000000"/>
                      <w:szCs w:val="21"/>
                    </w:rPr>
                  </w:pPr>
                  <w:r>
                    <w:rPr>
                      <w:rFonts w:ascii="Times New Roman" w:hAnsi="Times New Roman"/>
                      <w:b/>
                      <w:bCs/>
                      <w:color w:val="000000"/>
                      <w:szCs w:val="21"/>
                    </w:rPr>
                    <w:t>建筑物外距离/m</w:t>
                  </w:r>
                </w:p>
              </w:tc>
            </w:tr>
            <w:tr w14:paraId="2D77520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dxa"/>
                  <w:tcBorders>
                    <w:top w:val="single" w:color="auto" w:sz="6" w:space="0"/>
                    <w:left w:val="single" w:color="auto" w:sz="12" w:space="0"/>
                    <w:bottom w:val="single" w:color="auto" w:sz="6" w:space="0"/>
                    <w:right w:val="single" w:color="auto" w:sz="6" w:space="0"/>
                  </w:tcBorders>
                  <w:vAlign w:val="center"/>
                </w:tcPr>
                <w:p w14:paraId="024A8284">
                  <w:pPr>
                    <w:widowControl/>
                    <w:adjustRightInd w:val="0"/>
                    <w:snapToGrid w:val="0"/>
                    <w:jc w:val="center"/>
                    <w:rPr>
                      <w:bCs/>
                      <w:color w:val="000000"/>
                      <w:szCs w:val="21"/>
                    </w:rPr>
                  </w:pPr>
                  <w:r>
                    <w:rPr>
                      <w:bCs/>
                      <w:color w:val="000000"/>
                      <w:szCs w:val="21"/>
                    </w:rPr>
                    <w:t>1</w:t>
                  </w:r>
                </w:p>
              </w:tc>
              <w:tc>
                <w:tcPr>
                  <w:tcW w:w="431" w:type="dxa"/>
                  <w:vMerge w:val="restart"/>
                  <w:tcBorders>
                    <w:top w:val="single" w:color="auto" w:sz="6" w:space="0"/>
                    <w:left w:val="single" w:color="auto" w:sz="6" w:space="0"/>
                    <w:right w:val="single" w:color="auto" w:sz="6" w:space="0"/>
                  </w:tcBorders>
                  <w:vAlign w:val="center"/>
                </w:tcPr>
                <w:p w14:paraId="6E3D3D97">
                  <w:pPr>
                    <w:widowControl/>
                    <w:jc w:val="center"/>
                    <w:rPr>
                      <w:color w:val="000000"/>
                      <w:kern w:val="0"/>
                      <w:szCs w:val="21"/>
                    </w:rPr>
                  </w:pPr>
                  <w:r>
                    <w:rPr>
                      <w:color w:val="000000"/>
                      <w:kern w:val="0"/>
                      <w:szCs w:val="21"/>
                    </w:rPr>
                    <w:t>生产车间</w:t>
                  </w:r>
                </w:p>
              </w:tc>
              <w:tc>
                <w:tcPr>
                  <w:tcW w:w="707" w:type="dxa"/>
                  <w:tcBorders>
                    <w:top w:val="single" w:color="auto" w:sz="6" w:space="0"/>
                    <w:left w:val="single" w:color="auto" w:sz="6" w:space="0"/>
                    <w:bottom w:val="single" w:color="auto" w:sz="6" w:space="0"/>
                    <w:right w:val="single" w:color="auto" w:sz="6" w:space="0"/>
                  </w:tcBorders>
                  <w:vAlign w:val="center"/>
                </w:tcPr>
                <w:p w14:paraId="2B88D768">
                  <w:pPr>
                    <w:widowControl/>
                    <w:jc w:val="center"/>
                    <w:rPr>
                      <w:color w:val="000000"/>
                      <w:kern w:val="0"/>
                      <w:szCs w:val="21"/>
                    </w:rPr>
                  </w:pPr>
                  <w:r>
                    <w:rPr>
                      <w:color w:val="000000"/>
                      <w:szCs w:val="21"/>
                    </w:rPr>
                    <w:t>提升式解冻线</w:t>
                  </w:r>
                </w:p>
              </w:tc>
              <w:tc>
                <w:tcPr>
                  <w:tcW w:w="480" w:type="dxa"/>
                  <w:tcBorders>
                    <w:top w:val="single" w:color="auto" w:sz="6" w:space="0"/>
                    <w:left w:val="single" w:color="auto" w:sz="6" w:space="0"/>
                    <w:bottom w:val="single" w:color="auto" w:sz="6" w:space="0"/>
                    <w:right w:val="single" w:color="auto" w:sz="6" w:space="0"/>
                  </w:tcBorders>
                  <w:vAlign w:val="center"/>
                </w:tcPr>
                <w:p w14:paraId="6BAD77A0">
                  <w:pPr>
                    <w:jc w:val="center"/>
                    <w:rPr>
                      <w:color w:val="000000"/>
                      <w:szCs w:val="21"/>
                    </w:rPr>
                  </w:pPr>
                  <w:r>
                    <w:rPr>
                      <w:color w:val="000000"/>
                      <w:szCs w:val="21"/>
                    </w:rPr>
                    <w:t>1</w:t>
                  </w:r>
                </w:p>
              </w:tc>
              <w:tc>
                <w:tcPr>
                  <w:tcW w:w="760" w:type="dxa"/>
                  <w:tcBorders>
                    <w:top w:val="single" w:color="auto" w:sz="6" w:space="0"/>
                    <w:left w:val="single" w:color="auto" w:sz="6" w:space="0"/>
                    <w:bottom w:val="single" w:color="auto" w:sz="6" w:space="0"/>
                    <w:right w:val="single" w:color="auto" w:sz="6" w:space="0"/>
                  </w:tcBorders>
                  <w:vAlign w:val="center"/>
                </w:tcPr>
                <w:p w14:paraId="67A08EC1">
                  <w:pPr>
                    <w:adjustRightInd w:val="0"/>
                    <w:snapToGrid w:val="0"/>
                    <w:jc w:val="center"/>
                    <w:rPr>
                      <w:color w:val="000000"/>
                      <w:szCs w:val="21"/>
                    </w:rPr>
                  </w:pPr>
                  <w:r>
                    <w:rPr>
                      <w:color w:val="000000"/>
                      <w:szCs w:val="21"/>
                    </w:rPr>
                    <w:t>65-75</w:t>
                  </w:r>
                </w:p>
              </w:tc>
              <w:tc>
                <w:tcPr>
                  <w:tcW w:w="520" w:type="dxa"/>
                  <w:vMerge w:val="restart"/>
                  <w:tcBorders>
                    <w:top w:val="single" w:color="auto" w:sz="6" w:space="0"/>
                    <w:left w:val="single" w:color="auto" w:sz="6" w:space="0"/>
                    <w:right w:val="single" w:color="auto" w:sz="6" w:space="0"/>
                  </w:tcBorders>
                  <w:vAlign w:val="center"/>
                </w:tcPr>
                <w:p w14:paraId="61E57441">
                  <w:pPr>
                    <w:widowControl/>
                    <w:adjustRightInd w:val="0"/>
                    <w:snapToGrid w:val="0"/>
                    <w:jc w:val="center"/>
                    <w:rPr>
                      <w:color w:val="000000"/>
                      <w:szCs w:val="21"/>
                    </w:rPr>
                  </w:pPr>
                  <w:r>
                    <w:rPr>
                      <w:color w:val="000000"/>
                      <w:szCs w:val="21"/>
                    </w:rPr>
                    <w:t>减震、隔声、消声、吸声、距离衰减等</w:t>
                  </w:r>
                </w:p>
              </w:tc>
              <w:tc>
                <w:tcPr>
                  <w:tcW w:w="586" w:type="dxa"/>
                  <w:tcBorders>
                    <w:top w:val="single" w:color="auto" w:sz="6" w:space="0"/>
                    <w:left w:val="single" w:color="auto" w:sz="6" w:space="0"/>
                    <w:bottom w:val="single" w:color="auto" w:sz="6" w:space="0"/>
                    <w:right w:val="single" w:color="auto" w:sz="6" w:space="0"/>
                  </w:tcBorders>
                  <w:vAlign w:val="center"/>
                </w:tcPr>
                <w:p w14:paraId="4B95CD57">
                  <w:pPr>
                    <w:pStyle w:val="50"/>
                    <w:spacing w:beforeLines="0" w:line="240" w:lineRule="auto"/>
                    <w:rPr>
                      <w:rFonts w:ascii="Times New Roman" w:hAnsi="Times New Roman"/>
                      <w:bCs/>
                      <w:color w:val="000000"/>
                      <w:szCs w:val="21"/>
                    </w:rPr>
                  </w:pPr>
                  <w:r>
                    <w:rPr>
                      <w:rFonts w:ascii="Times New Roman" w:hAnsi="Times New Roman"/>
                      <w:bCs/>
                      <w:color w:val="000000"/>
                      <w:szCs w:val="21"/>
                    </w:rPr>
                    <w:t>130.26</w:t>
                  </w:r>
                </w:p>
              </w:tc>
              <w:tc>
                <w:tcPr>
                  <w:tcW w:w="534" w:type="dxa"/>
                  <w:tcBorders>
                    <w:top w:val="single" w:color="auto" w:sz="6" w:space="0"/>
                    <w:left w:val="single" w:color="auto" w:sz="6" w:space="0"/>
                    <w:bottom w:val="single" w:color="auto" w:sz="6" w:space="0"/>
                    <w:right w:val="single" w:color="auto" w:sz="6" w:space="0"/>
                  </w:tcBorders>
                  <w:vAlign w:val="center"/>
                </w:tcPr>
                <w:p w14:paraId="4A557DD6">
                  <w:pPr>
                    <w:pStyle w:val="50"/>
                    <w:spacing w:beforeLines="0" w:line="240" w:lineRule="auto"/>
                    <w:rPr>
                      <w:rFonts w:ascii="Times New Roman" w:hAnsi="Times New Roman"/>
                      <w:bCs/>
                      <w:color w:val="000000"/>
                      <w:szCs w:val="21"/>
                    </w:rPr>
                  </w:pPr>
                  <w:r>
                    <w:rPr>
                      <w:rFonts w:ascii="Times New Roman" w:hAnsi="Times New Roman"/>
                      <w:bCs/>
                      <w:color w:val="000000"/>
                      <w:szCs w:val="21"/>
                    </w:rPr>
                    <w:t>-91.98</w:t>
                  </w:r>
                </w:p>
              </w:tc>
              <w:tc>
                <w:tcPr>
                  <w:tcW w:w="533" w:type="dxa"/>
                  <w:tcBorders>
                    <w:top w:val="single" w:color="auto" w:sz="6" w:space="0"/>
                    <w:left w:val="single" w:color="auto" w:sz="6" w:space="0"/>
                    <w:bottom w:val="single" w:color="auto" w:sz="6" w:space="0"/>
                    <w:right w:val="single" w:color="auto" w:sz="6" w:space="0"/>
                  </w:tcBorders>
                  <w:vAlign w:val="center"/>
                </w:tcPr>
                <w:p w14:paraId="7D969BBA">
                  <w:pPr>
                    <w:pStyle w:val="50"/>
                    <w:spacing w:beforeLines="0" w:line="240" w:lineRule="auto"/>
                    <w:rPr>
                      <w:rFonts w:ascii="Times New Roman" w:hAnsi="Times New Roman"/>
                      <w:bCs/>
                      <w:color w:val="000000"/>
                      <w:szCs w:val="21"/>
                    </w:rPr>
                  </w:pPr>
                  <w:r>
                    <w:rPr>
                      <w:rFonts w:ascii="Times New Roman" w:hAnsi="Times New Roman"/>
                      <w:bCs/>
                      <w:color w:val="000000"/>
                      <w:szCs w:val="21"/>
                    </w:rPr>
                    <w:t>1.5</w:t>
                  </w:r>
                </w:p>
              </w:tc>
              <w:tc>
                <w:tcPr>
                  <w:tcW w:w="517" w:type="dxa"/>
                  <w:tcBorders>
                    <w:top w:val="single" w:color="auto" w:sz="6" w:space="0"/>
                    <w:left w:val="single" w:color="auto" w:sz="6" w:space="0"/>
                    <w:bottom w:val="single" w:color="auto" w:sz="6" w:space="0"/>
                    <w:right w:val="single" w:color="auto" w:sz="6" w:space="0"/>
                  </w:tcBorders>
                  <w:vAlign w:val="center"/>
                </w:tcPr>
                <w:p w14:paraId="1B87D5E9">
                  <w:pPr>
                    <w:pStyle w:val="50"/>
                    <w:spacing w:beforeLines="0" w:line="240" w:lineRule="auto"/>
                    <w:rPr>
                      <w:rFonts w:ascii="Times New Roman" w:hAnsi="Times New Roman"/>
                      <w:bCs/>
                      <w:color w:val="000000"/>
                      <w:szCs w:val="21"/>
                    </w:rPr>
                  </w:pPr>
                  <w:r>
                    <w:rPr>
                      <w:rFonts w:ascii="Times New Roman" w:hAnsi="Times New Roman"/>
                      <w:bCs/>
                      <w:color w:val="000000"/>
                      <w:szCs w:val="21"/>
                    </w:rPr>
                    <w:t>5</w:t>
                  </w:r>
                </w:p>
              </w:tc>
              <w:tc>
                <w:tcPr>
                  <w:tcW w:w="644" w:type="dxa"/>
                  <w:tcBorders>
                    <w:top w:val="single" w:color="auto" w:sz="6" w:space="0"/>
                    <w:left w:val="single" w:color="auto" w:sz="6" w:space="0"/>
                    <w:bottom w:val="single" w:color="auto" w:sz="6" w:space="0"/>
                    <w:right w:val="single" w:color="auto" w:sz="6" w:space="0"/>
                  </w:tcBorders>
                  <w:vAlign w:val="center"/>
                </w:tcPr>
                <w:p w14:paraId="3DC6720E">
                  <w:pPr>
                    <w:pStyle w:val="50"/>
                    <w:spacing w:beforeLines="0" w:line="240" w:lineRule="auto"/>
                    <w:rPr>
                      <w:rFonts w:ascii="Times New Roman" w:hAnsi="Times New Roman"/>
                      <w:color w:val="000000"/>
                      <w:kern w:val="0"/>
                      <w:szCs w:val="21"/>
                    </w:rPr>
                  </w:pPr>
                  <w:r>
                    <w:rPr>
                      <w:rFonts w:ascii="Times New Roman" w:hAnsi="Times New Roman"/>
                      <w:color w:val="000000"/>
                      <w:kern w:val="0"/>
                      <w:szCs w:val="21"/>
                    </w:rPr>
                    <w:t>50-60</w:t>
                  </w:r>
                </w:p>
              </w:tc>
              <w:tc>
                <w:tcPr>
                  <w:tcW w:w="733" w:type="dxa"/>
                  <w:vMerge w:val="restart"/>
                  <w:tcBorders>
                    <w:top w:val="single" w:color="auto" w:sz="6" w:space="0"/>
                    <w:left w:val="single" w:color="auto" w:sz="6" w:space="0"/>
                    <w:right w:val="single" w:color="auto" w:sz="6" w:space="0"/>
                  </w:tcBorders>
                  <w:vAlign w:val="center"/>
                </w:tcPr>
                <w:p w14:paraId="05BD1EB4">
                  <w:pPr>
                    <w:widowControl/>
                    <w:adjustRightInd w:val="0"/>
                    <w:snapToGrid w:val="0"/>
                    <w:jc w:val="center"/>
                    <w:rPr>
                      <w:bCs/>
                      <w:color w:val="000000"/>
                      <w:szCs w:val="21"/>
                    </w:rPr>
                  </w:pPr>
                  <w:r>
                    <w:rPr>
                      <w:bCs/>
                      <w:color w:val="000000"/>
                      <w:szCs w:val="21"/>
                    </w:rPr>
                    <w:t>8:00-22:00</w:t>
                  </w:r>
                </w:p>
              </w:tc>
              <w:tc>
                <w:tcPr>
                  <w:tcW w:w="644" w:type="dxa"/>
                  <w:tcBorders>
                    <w:top w:val="single" w:color="auto" w:sz="6" w:space="0"/>
                    <w:left w:val="single" w:color="auto" w:sz="6" w:space="0"/>
                    <w:bottom w:val="single" w:color="auto" w:sz="6" w:space="0"/>
                    <w:right w:val="single" w:color="auto" w:sz="6" w:space="0"/>
                  </w:tcBorders>
                  <w:vAlign w:val="center"/>
                </w:tcPr>
                <w:p w14:paraId="00A20EA3">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023CDFBE">
                  <w:pPr>
                    <w:pStyle w:val="50"/>
                    <w:spacing w:beforeLines="0" w:line="240" w:lineRule="auto"/>
                    <w:rPr>
                      <w:rFonts w:ascii="Times New Roman" w:hAnsi="Times New Roman"/>
                      <w:bCs/>
                      <w:color w:val="000000"/>
                      <w:szCs w:val="21"/>
                    </w:rPr>
                  </w:pPr>
                  <w:r>
                    <w:rPr>
                      <w:rFonts w:ascii="Times New Roman" w:hAnsi="Times New Roman"/>
                      <w:bCs/>
                      <w:color w:val="000000"/>
                      <w:szCs w:val="21"/>
                    </w:rPr>
                    <w:t>45-50</w:t>
                  </w:r>
                </w:p>
              </w:tc>
              <w:tc>
                <w:tcPr>
                  <w:tcW w:w="402" w:type="dxa"/>
                  <w:tcBorders>
                    <w:top w:val="single" w:color="auto" w:sz="6" w:space="0"/>
                    <w:left w:val="single" w:color="auto" w:sz="6" w:space="0"/>
                    <w:bottom w:val="single" w:color="auto" w:sz="6" w:space="0"/>
                    <w:right w:val="single" w:color="auto" w:sz="12" w:space="0"/>
                  </w:tcBorders>
                  <w:vAlign w:val="center"/>
                </w:tcPr>
                <w:p w14:paraId="0A403122">
                  <w:pPr>
                    <w:pStyle w:val="50"/>
                    <w:spacing w:beforeLines="0" w:line="240" w:lineRule="auto"/>
                    <w:rPr>
                      <w:rFonts w:ascii="Times New Roman" w:hAnsi="Times New Roman"/>
                      <w:bCs/>
                      <w:color w:val="000000"/>
                      <w:szCs w:val="21"/>
                    </w:rPr>
                  </w:pPr>
                  <w:r>
                    <w:rPr>
                      <w:rFonts w:ascii="Times New Roman" w:hAnsi="Times New Roman"/>
                      <w:bCs/>
                      <w:color w:val="000000"/>
                      <w:szCs w:val="21"/>
                    </w:rPr>
                    <w:t>1</w:t>
                  </w:r>
                </w:p>
              </w:tc>
            </w:tr>
            <w:tr w14:paraId="1810D45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dxa"/>
                  <w:tcBorders>
                    <w:top w:val="single" w:color="auto" w:sz="6" w:space="0"/>
                    <w:left w:val="single" w:color="auto" w:sz="12" w:space="0"/>
                    <w:bottom w:val="single" w:color="auto" w:sz="6" w:space="0"/>
                    <w:right w:val="single" w:color="auto" w:sz="6" w:space="0"/>
                  </w:tcBorders>
                  <w:vAlign w:val="center"/>
                </w:tcPr>
                <w:p w14:paraId="315A27ED">
                  <w:pPr>
                    <w:widowControl/>
                    <w:adjustRightInd w:val="0"/>
                    <w:snapToGrid w:val="0"/>
                    <w:jc w:val="center"/>
                    <w:rPr>
                      <w:bCs/>
                      <w:color w:val="000000"/>
                      <w:szCs w:val="21"/>
                    </w:rPr>
                  </w:pPr>
                  <w:r>
                    <w:rPr>
                      <w:bCs/>
                      <w:color w:val="000000"/>
                      <w:szCs w:val="21"/>
                    </w:rPr>
                    <w:t>2</w:t>
                  </w:r>
                </w:p>
              </w:tc>
              <w:tc>
                <w:tcPr>
                  <w:tcW w:w="431" w:type="dxa"/>
                  <w:vMerge w:val="continue"/>
                  <w:tcBorders>
                    <w:left w:val="single" w:color="auto" w:sz="6" w:space="0"/>
                    <w:right w:val="single" w:color="auto" w:sz="6" w:space="0"/>
                  </w:tcBorders>
                  <w:vAlign w:val="center"/>
                </w:tcPr>
                <w:p w14:paraId="4B84B45D">
                  <w:pPr>
                    <w:jc w:val="center"/>
                    <w:rPr>
                      <w:color w:val="000000"/>
                      <w:szCs w:val="21"/>
                    </w:rPr>
                  </w:pPr>
                </w:p>
              </w:tc>
              <w:tc>
                <w:tcPr>
                  <w:tcW w:w="707" w:type="dxa"/>
                  <w:tcBorders>
                    <w:top w:val="single" w:color="auto" w:sz="6" w:space="0"/>
                    <w:left w:val="single" w:color="auto" w:sz="6" w:space="0"/>
                    <w:bottom w:val="single" w:color="auto" w:sz="6" w:space="0"/>
                    <w:right w:val="single" w:color="auto" w:sz="6" w:space="0"/>
                  </w:tcBorders>
                  <w:vAlign w:val="center"/>
                </w:tcPr>
                <w:p w14:paraId="40B3622A">
                  <w:pPr>
                    <w:jc w:val="center"/>
                    <w:rPr>
                      <w:color w:val="000000"/>
                      <w:szCs w:val="21"/>
                    </w:rPr>
                  </w:pPr>
                  <w:r>
                    <w:rPr>
                      <w:color w:val="000000"/>
                      <w:szCs w:val="21"/>
                    </w:rPr>
                    <w:t>双层抽主筋输送机</w:t>
                  </w:r>
                </w:p>
              </w:tc>
              <w:tc>
                <w:tcPr>
                  <w:tcW w:w="480" w:type="dxa"/>
                  <w:tcBorders>
                    <w:top w:val="single" w:color="auto" w:sz="6" w:space="0"/>
                    <w:left w:val="single" w:color="auto" w:sz="6" w:space="0"/>
                    <w:bottom w:val="single" w:color="auto" w:sz="6" w:space="0"/>
                    <w:right w:val="single" w:color="auto" w:sz="6" w:space="0"/>
                  </w:tcBorders>
                  <w:vAlign w:val="center"/>
                </w:tcPr>
                <w:p w14:paraId="6B04FF36">
                  <w:pPr>
                    <w:jc w:val="center"/>
                    <w:rPr>
                      <w:color w:val="000000"/>
                      <w:szCs w:val="21"/>
                    </w:rPr>
                  </w:pPr>
                  <w:r>
                    <w:rPr>
                      <w:color w:val="000000"/>
                      <w:szCs w:val="21"/>
                    </w:rPr>
                    <w:t>1</w:t>
                  </w:r>
                </w:p>
              </w:tc>
              <w:tc>
                <w:tcPr>
                  <w:tcW w:w="760" w:type="dxa"/>
                  <w:tcBorders>
                    <w:top w:val="single" w:color="auto" w:sz="6" w:space="0"/>
                    <w:left w:val="single" w:color="auto" w:sz="6" w:space="0"/>
                    <w:bottom w:val="single" w:color="auto" w:sz="6" w:space="0"/>
                    <w:right w:val="single" w:color="auto" w:sz="6" w:space="0"/>
                  </w:tcBorders>
                  <w:vAlign w:val="center"/>
                </w:tcPr>
                <w:p w14:paraId="2F4C034E">
                  <w:pPr>
                    <w:adjustRightInd w:val="0"/>
                    <w:snapToGrid w:val="0"/>
                    <w:jc w:val="center"/>
                    <w:rPr>
                      <w:color w:val="000000"/>
                      <w:szCs w:val="21"/>
                    </w:rPr>
                  </w:pPr>
                  <w:r>
                    <w:rPr>
                      <w:color w:val="000000"/>
                      <w:szCs w:val="21"/>
                    </w:rPr>
                    <w:t>70-80</w:t>
                  </w:r>
                </w:p>
              </w:tc>
              <w:tc>
                <w:tcPr>
                  <w:tcW w:w="520" w:type="dxa"/>
                  <w:vMerge w:val="continue"/>
                  <w:tcBorders>
                    <w:left w:val="single" w:color="auto" w:sz="6" w:space="0"/>
                    <w:right w:val="single" w:color="auto" w:sz="6" w:space="0"/>
                  </w:tcBorders>
                  <w:vAlign w:val="center"/>
                </w:tcPr>
                <w:p w14:paraId="07419118">
                  <w:pPr>
                    <w:widowControl/>
                    <w:adjustRightInd w:val="0"/>
                    <w:snapToGrid w:val="0"/>
                    <w:jc w:val="center"/>
                    <w:rPr>
                      <w:color w:val="000000"/>
                      <w:szCs w:val="21"/>
                    </w:rPr>
                  </w:pPr>
                </w:p>
              </w:tc>
              <w:tc>
                <w:tcPr>
                  <w:tcW w:w="586" w:type="dxa"/>
                  <w:tcBorders>
                    <w:top w:val="single" w:color="auto" w:sz="6" w:space="0"/>
                    <w:left w:val="single" w:color="auto" w:sz="6" w:space="0"/>
                    <w:bottom w:val="single" w:color="auto" w:sz="6" w:space="0"/>
                    <w:right w:val="single" w:color="auto" w:sz="6" w:space="0"/>
                  </w:tcBorders>
                  <w:vAlign w:val="center"/>
                </w:tcPr>
                <w:p w14:paraId="76E0E97D">
                  <w:pPr>
                    <w:pStyle w:val="50"/>
                    <w:spacing w:beforeLines="0" w:line="240" w:lineRule="auto"/>
                    <w:rPr>
                      <w:rFonts w:ascii="Times New Roman" w:hAnsi="Times New Roman"/>
                      <w:bCs/>
                      <w:color w:val="000000"/>
                      <w:szCs w:val="21"/>
                    </w:rPr>
                  </w:pPr>
                  <w:r>
                    <w:rPr>
                      <w:rFonts w:ascii="Times New Roman" w:hAnsi="Times New Roman"/>
                      <w:bCs/>
                      <w:color w:val="000000"/>
                      <w:szCs w:val="21"/>
                    </w:rPr>
                    <w:t>139.71</w:t>
                  </w:r>
                </w:p>
              </w:tc>
              <w:tc>
                <w:tcPr>
                  <w:tcW w:w="534" w:type="dxa"/>
                  <w:tcBorders>
                    <w:top w:val="single" w:color="auto" w:sz="6" w:space="0"/>
                    <w:left w:val="single" w:color="auto" w:sz="6" w:space="0"/>
                    <w:bottom w:val="single" w:color="auto" w:sz="6" w:space="0"/>
                    <w:right w:val="single" w:color="auto" w:sz="6" w:space="0"/>
                  </w:tcBorders>
                  <w:vAlign w:val="center"/>
                </w:tcPr>
                <w:p w14:paraId="54DB186F">
                  <w:pPr>
                    <w:pStyle w:val="50"/>
                    <w:spacing w:beforeLines="0" w:line="240" w:lineRule="auto"/>
                    <w:rPr>
                      <w:rFonts w:ascii="Times New Roman" w:hAnsi="Times New Roman"/>
                      <w:bCs/>
                      <w:color w:val="000000"/>
                      <w:szCs w:val="21"/>
                    </w:rPr>
                  </w:pPr>
                  <w:r>
                    <w:rPr>
                      <w:rFonts w:ascii="Times New Roman" w:hAnsi="Times New Roman"/>
                      <w:bCs/>
                      <w:color w:val="000000"/>
                      <w:szCs w:val="21"/>
                    </w:rPr>
                    <w:t>-93.18</w:t>
                  </w:r>
                </w:p>
              </w:tc>
              <w:tc>
                <w:tcPr>
                  <w:tcW w:w="533" w:type="dxa"/>
                  <w:tcBorders>
                    <w:top w:val="single" w:color="auto" w:sz="6" w:space="0"/>
                    <w:left w:val="single" w:color="auto" w:sz="6" w:space="0"/>
                    <w:bottom w:val="single" w:color="auto" w:sz="6" w:space="0"/>
                    <w:right w:val="single" w:color="auto" w:sz="6" w:space="0"/>
                  </w:tcBorders>
                  <w:vAlign w:val="center"/>
                </w:tcPr>
                <w:p w14:paraId="1E0E2186">
                  <w:pPr>
                    <w:pStyle w:val="50"/>
                    <w:spacing w:beforeLines="0" w:line="240" w:lineRule="auto"/>
                    <w:rPr>
                      <w:rFonts w:ascii="Times New Roman" w:hAnsi="Times New Roman"/>
                      <w:bCs/>
                      <w:color w:val="000000"/>
                      <w:szCs w:val="21"/>
                    </w:rPr>
                  </w:pPr>
                  <w:r>
                    <w:rPr>
                      <w:rFonts w:ascii="Times New Roman" w:hAnsi="Times New Roman"/>
                      <w:bCs/>
                      <w:color w:val="000000"/>
                      <w:szCs w:val="21"/>
                    </w:rPr>
                    <w:t>1.5</w:t>
                  </w:r>
                </w:p>
              </w:tc>
              <w:tc>
                <w:tcPr>
                  <w:tcW w:w="517" w:type="dxa"/>
                  <w:tcBorders>
                    <w:top w:val="single" w:color="auto" w:sz="6" w:space="0"/>
                    <w:left w:val="single" w:color="auto" w:sz="6" w:space="0"/>
                    <w:bottom w:val="single" w:color="auto" w:sz="6" w:space="0"/>
                    <w:right w:val="single" w:color="auto" w:sz="6" w:space="0"/>
                  </w:tcBorders>
                  <w:vAlign w:val="center"/>
                </w:tcPr>
                <w:p w14:paraId="6AED9F76">
                  <w:pPr>
                    <w:pStyle w:val="50"/>
                    <w:spacing w:beforeLines="0" w:line="240" w:lineRule="auto"/>
                    <w:rPr>
                      <w:rFonts w:ascii="Times New Roman" w:hAnsi="Times New Roman"/>
                      <w:bCs/>
                      <w:color w:val="000000"/>
                      <w:szCs w:val="21"/>
                    </w:rPr>
                  </w:pPr>
                  <w:r>
                    <w:rPr>
                      <w:rFonts w:ascii="Times New Roman" w:hAnsi="Times New Roman"/>
                      <w:bCs/>
                      <w:color w:val="000000"/>
                      <w:szCs w:val="21"/>
                    </w:rPr>
                    <w:t>5</w:t>
                  </w:r>
                </w:p>
              </w:tc>
              <w:tc>
                <w:tcPr>
                  <w:tcW w:w="644" w:type="dxa"/>
                  <w:tcBorders>
                    <w:top w:val="single" w:color="auto" w:sz="6" w:space="0"/>
                    <w:left w:val="single" w:color="auto" w:sz="6" w:space="0"/>
                    <w:bottom w:val="single" w:color="auto" w:sz="6" w:space="0"/>
                    <w:right w:val="single" w:color="auto" w:sz="6" w:space="0"/>
                  </w:tcBorders>
                  <w:vAlign w:val="center"/>
                </w:tcPr>
                <w:p w14:paraId="49029434">
                  <w:pPr>
                    <w:pStyle w:val="50"/>
                    <w:spacing w:beforeLines="0" w:line="240" w:lineRule="auto"/>
                    <w:rPr>
                      <w:rFonts w:ascii="Times New Roman" w:hAnsi="Times New Roman"/>
                      <w:color w:val="000000"/>
                      <w:kern w:val="0"/>
                      <w:szCs w:val="21"/>
                    </w:rPr>
                  </w:pPr>
                  <w:r>
                    <w:rPr>
                      <w:rFonts w:ascii="Times New Roman" w:hAnsi="Times New Roman"/>
                      <w:color w:val="000000"/>
                      <w:kern w:val="0"/>
                      <w:szCs w:val="21"/>
                    </w:rPr>
                    <w:t>60-65</w:t>
                  </w:r>
                </w:p>
              </w:tc>
              <w:tc>
                <w:tcPr>
                  <w:tcW w:w="733" w:type="dxa"/>
                  <w:vMerge w:val="continue"/>
                  <w:tcBorders>
                    <w:left w:val="single" w:color="auto" w:sz="6" w:space="0"/>
                    <w:right w:val="single" w:color="auto" w:sz="6" w:space="0"/>
                  </w:tcBorders>
                  <w:vAlign w:val="center"/>
                </w:tcPr>
                <w:p w14:paraId="7D604FBF">
                  <w:pPr>
                    <w:widowControl/>
                    <w:adjustRightInd w:val="0"/>
                    <w:snapToGrid w:val="0"/>
                    <w:jc w:val="center"/>
                    <w:rPr>
                      <w:bCs/>
                      <w:color w:val="000000"/>
                      <w:szCs w:val="21"/>
                    </w:rPr>
                  </w:pPr>
                </w:p>
              </w:tc>
              <w:tc>
                <w:tcPr>
                  <w:tcW w:w="644" w:type="dxa"/>
                  <w:tcBorders>
                    <w:top w:val="single" w:color="auto" w:sz="6" w:space="0"/>
                    <w:left w:val="single" w:color="auto" w:sz="6" w:space="0"/>
                    <w:bottom w:val="single" w:color="auto" w:sz="6" w:space="0"/>
                    <w:right w:val="single" w:color="auto" w:sz="6" w:space="0"/>
                  </w:tcBorders>
                  <w:vAlign w:val="center"/>
                </w:tcPr>
                <w:p w14:paraId="66B0BD05">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41B7CB41">
                  <w:pPr>
                    <w:pStyle w:val="50"/>
                    <w:spacing w:beforeLines="0" w:line="240" w:lineRule="auto"/>
                    <w:rPr>
                      <w:rFonts w:ascii="Times New Roman" w:hAnsi="Times New Roman"/>
                      <w:bCs/>
                      <w:color w:val="000000"/>
                      <w:szCs w:val="21"/>
                    </w:rPr>
                  </w:pPr>
                  <w:r>
                    <w:rPr>
                      <w:rFonts w:ascii="Times New Roman" w:hAnsi="Times New Roman"/>
                      <w:bCs/>
                      <w:color w:val="000000"/>
                      <w:szCs w:val="21"/>
                    </w:rPr>
                    <w:t>50-55</w:t>
                  </w:r>
                </w:p>
              </w:tc>
              <w:tc>
                <w:tcPr>
                  <w:tcW w:w="402" w:type="dxa"/>
                  <w:tcBorders>
                    <w:top w:val="single" w:color="auto" w:sz="6" w:space="0"/>
                    <w:left w:val="single" w:color="auto" w:sz="6" w:space="0"/>
                    <w:bottom w:val="single" w:color="auto" w:sz="6" w:space="0"/>
                    <w:right w:val="single" w:color="auto" w:sz="12" w:space="0"/>
                  </w:tcBorders>
                  <w:vAlign w:val="center"/>
                </w:tcPr>
                <w:p w14:paraId="7F60B3EB">
                  <w:pPr>
                    <w:pStyle w:val="50"/>
                    <w:spacing w:beforeLines="0" w:line="240" w:lineRule="auto"/>
                    <w:rPr>
                      <w:rFonts w:ascii="Times New Roman" w:hAnsi="Times New Roman"/>
                      <w:bCs/>
                      <w:color w:val="000000"/>
                      <w:szCs w:val="21"/>
                    </w:rPr>
                  </w:pPr>
                  <w:r>
                    <w:rPr>
                      <w:rFonts w:ascii="Times New Roman" w:hAnsi="Times New Roman"/>
                      <w:bCs/>
                      <w:color w:val="000000"/>
                      <w:szCs w:val="21"/>
                    </w:rPr>
                    <w:t>1</w:t>
                  </w:r>
                </w:p>
              </w:tc>
            </w:tr>
            <w:tr w14:paraId="4BA37D0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dxa"/>
                  <w:tcBorders>
                    <w:top w:val="single" w:color="auto" w:sz="6" w:space="0"/>
                    <w:left w:val="single" w:color="auto" w:sz="12" w:space="0"/>
                    <w:bottom w:val="single" w:color="auto" w:sz="6" w:space="0"/>
                    <w:right w:val="single" w:color="auto" w:sz="6" w:space="0"/>
                  </w:tcBorders>
                  <w:vAlign w:val="center"/>
                </w:tcPr>
                <w:p w14:paraId="6C82915F">
                  <w:pPr>
                    <w:widowControl/>
                    <w:adjustRightInd w:val="0"/>
                    <w:snapToGrid w:val="0"/>
                    <w:jc w:val="center"/>
                    <w:rPr>
                      <w:bCs/>
                      <w:color w:val="000000"/>
                      <w:szCs w:val="21"/>
                    </w:rPr>
                  </w:pPr>
                  <w:r>
                    <w:rPr>
                      <w:bCs/>
                      <w:color w:val="000000"/>
                      <w:szCs w:val="21"/>
                    </w:rPr>
                    <w:t>3</w:t>
                  </w:r>
                </w:p>
              </w:tc>
              <w:tc>
                <w:tcPr>
                  <w:tcW w:w="431" w:type="dxa"/>
                  <w:vMerge w:val="continue"/>
                  <w:tcBorders>
                    <w:left w:val="single" w:color="auto" w:sz="6" w:space="0"/>
                    <w:right w:val="single" w:color="auto" w:sz="6" w:space="0"/>
                  </w:tcBorders>
                  <w:vAlign w:val="center"/>
                </w:tcPr>
                <w:p w14:paraId="6EF52CB2">
                  <w:pPr>
                    <w:jc w:val="center"/>
                    <w:rPr>
                      <w:color w:val="000000"/>
                      <w:szCs w:val="21"/>
                    </w:rPr>
                  </w:pPr>
                </w:p>
              </w:tc>
              <w:tc>
                <w:tcPr>
                  <w:tcW w:w="707" w:type="dxa"/>
                  <w:tcBorders>
                    <w:top w:val="single" w:color="auto" w:sz="6" w:space="0"/>
                    <w:left w:val="single" w:color="auto" w:sz="6" w:space="0"/>
                    <w:bottom w:val="single" w:color="auto" w:sz="6" w:space="0"/>
                    <w:right w:val="single" w:color="auto" w:sz="6" w:space="0"/>
                  </w:tcBorders>
                  <w:vAlign w:val="center"/>
                </w:tcPr>
                <w:p w14:paraId="23C75A6A">
                  <w:pPr>
                    <w:jc w:val="center"/>
                    <w:rPr>
                      <w:color w:val="000000"/>
                      <w:szCs w:val="21"/>
                    </w:rPr>
                  </w:pPr>
                  <w:r>
                    <w:rPr>
                      <w:color w:val="000000"/>
                      <w:szCs w:val="21"/>
                    </w:rPr>
                    <w:t>烧毛入料输送机</w:t>
                  </w:r>
                </w:p>
              </w:tc>
              <w:tc>
                <w:tcPr>
                  <w:tcW w:w="480" w:type="dxa"/>
                  <w:tcBorders>
                    <w:top w:val="single" w:color="auto" w:sz="6" w:space="0"/>
                    <w:left w:val="single" w:color="auto" w:sz="6" w:space="0"/>
                    <w:bottom w:val="single" w:color="auto" w:sz="6" w:space="0"/>
                    <w:right w:val="single" w:color="auto" w:sz="6" w:space="0"/>
                  </w:tcBorders>
                  <w:vAlign w:val="center"/>
                </w:tcPr>
                <w:p w14:paraId="092ABDA9">
                  <w:pPr>
                    <w:jc w:val="center"/>
                    <w:rPr>
                      <w:color w:val="000000"/>
                      <w:szCs w:val="21"/>
                    </w:rPr>
                  </w:pPr>
                  <w:r>
                    <w:rPr>
                      <w:color w:val="000000"/>
                      <w:szCs w:val="21"/>
                    </w:rPr>
                    <w:t>1</w:t>
                  </w:r>
                </w:p>
              </w:tc>
              <w:tc>
                <w:tcPr>
                  <w:tcW w:w="760" w:type="dxa"/>
                  <w:tcBorders>
                    <w:top w:val="single" w:color="auto" w:sz="6" w:space="0"/>
                    <w:left w:val="single" w:color="auto" w:sz="6" w:space="0"/>
                    <w:bottom w:val="single" w:color="auto" w:sz="6" w:space="0"/>
                    <w:right w:val="single" w:color="auto" w:sz="6" w:space="0"/>
                  </w:tcBorders>
                  <w:vAlign w:val="center"/>
                </w:tcPr>
                <w:p w14:paraId="4D0D2477">
                  <w:pPr>
                    <w:adjustRightInd w:val="0"/>
                    <w:snapToGrid w:val="0"/>
                    <w:jc w:val="center"/>
                    <w:rPr>
                      <w:color w:val="000000"/>
                      <w:szCs w:val="21"/>
                    </w:rPr>
                  </w:pPr>
                  <w:r>
                    <w:rPr>
                      <w:color w:val="000000"/>
                      <w:szCs w:val="21"/>
                    </w:rPr>
                    <w:t>70-80</w:t>
                  </w:r>
                </w:p>
              </w:tc>
              <w:tc>
                <w:tcPr>
                  <w:tcW w:w="520" w:type="dxa"/>
                  <w:vMerge w:val="continue"/>
                  <w:tcBorders>
                    <w:left w:val="single" w:color="auto" w:sz="6" w:space="0"/>
                    <w:right w:val="single" w:color="auto" w:sz="6" w:space="0"/>
                  </w:tcBorders>
                  <w:vAlign w:val="center"/>
                </w:tcPr>
                <w:p w14:paraId="4B7A6F6F">
                  <w:pPr>
                    <w:widowControl/>
                    <w:adjustRightInd w:val="0"/>
                    <w:snapToGrid w:val="0"/>
                    <w:jc w:val="center"/>
                    <w:rPr>
                      <w:color w:val="000000"/>
                      <w:szCs w:val="21"/>
                    </w:rPr>
                  </w:pPr>
                </w:p>
              </w:tc>
              <w:tc>
                <w:tcPr>
                  <w:tcW w:w="586" w:type="dxa"/>
                  <w:tcBorders>
                    <w:top w:val="single" w:color="auto" w:sz="6" w:space="0"/>
                    <w:left w:val="single" w:color="auto" w:sz="6" w:space="0"/>
                    <w:bottom w:val="single" w:color="auto" w:sz="6" w:space="0"/>
                    <w:right w:val="single" w:color="auto" w:sz="6" w:space="0"/>
                  </w:tcBorders>
                  <w:vAlign w:val="center"/>
                </w:tcPr>
                <w:p w14:paraId="4872C08A">
                  <w:pPr>
                    <w:pStyle w:val="50"/>
                    <w:spacing w:beforeLines="0" w:line="240" w:lineRule="auto"/>
                    <w:rPr>
                      <w:rFonts w:ascii="Times New Roman" w:hAnsi="Times New Roman"/>
                      <w:bCs/>
                      <w:color w:val="000000"/>
                      <w:szCs w:val="21"/>
                    </w:rPr>
                  </w:pPr>
                  <w:r>
                    <w:rPr>
                      <w:rFonts w:ascii="Times New Roman" w:hAnsi="Times New Roman"/>
                      <w:bCs/>
                      <w:color w:val="000000"/>
                      <w:szCs w:val="21"/>
                    </w:rPr>
                    <w:t>143.21</w:t>
                  </w:r>
                </w:p>
              </w:tc>
              <w:tc>
                <w:tcPr>
                  <w:tcW w:w="534" w:type="dxa"/>
                  <w:tcBorders>
                    <w:top w:val="single" w:color="auto" w:sz="6" w:space="0"/>
                    <w:left w:val="single" w:color="auto" w:sz="6" w:space="0"/>
                    <w:bottom w:val="single" w:color="auto" w:sz="6" w:space="0"/>
                    <w:right w:val="single" w:color="auto" w:sz="6" w:space="0"/>
                  </w:tcBorders>
                  <w:vAlign w:val="center"/>
                </w:tcPr>
                <w:p w14:paraId="7DAD1B1C">
                  <w:pPr>
                    <w:pStyle w:val="50"/>
                    <w:spacing w:beforeLines="0" w:line="240" w:lineRule="auto"/>
                    <w:rPr>
                      <w:rFonts w:ascii="Times New Roman" w:hAnsi="Times New Roman"/>
                      <w:bCs/>
                      <w:color w:val="000000"/>
                      <w:szCs w:val="21"/>
                    </w:rPr>
                  </w:pPr>
                  <w:r>
                    <w:rPr>
                      <w:rFonts w:ascii="Times New Roman" w:hAnsi="Times New Roman"/>
                      <w:bCs/>
                      <w:color w:val="000000"/>
                      <w:szCs w:val="21"/>
                    </w:rPr>
                    <w:t>-95.37</w:t>
                  </w:r>
                </w:p>
              </w:tc>
              <w:tc>
                <w:tcPr>
                  <w:tcW w:w="533" w:type="dxa"/>
                  <w:tcBorders>
                    <w:top w:val="single" w:color="auto" w:sz="6" w:space="0"/>
                    <w:left w:val="single" w:color="auto" w:sz="6" w:space="0"/>
                    <w:bottom w:val="single" w:color="auto" w:sz="6" w:space="0"/>
                    <w:right w:val="single" w:color="auto" w:sz="6" w:space="0"/>
                  </w:tcBorders>
                  <w:vAlign w:val="center"/>
                </w:tcPr>
                <w:p w14:paraId="084A17DB">
                  <w:pPr>
                    <w:jc w:val="center"/>
                    <w:rPr>
                      <w:szCs w:val="21"/>
                    </w:rPr>
                  </w:pPr>
                  <w:r>
                    <w:rPr>
                      <w:bCs/>
                      <w:color w:val="000000"/>
                      <w:szCs w:val="21"/>
                    </w:rPr>
                    <w:t>1.5</w:t>
                  </w:r>
                </w:p>
              </w:tc>
              <w:tc>
                <w:tcPr>
                  <w:tcW w:w="517" w:type="dxa"/>
                  <w:tcBorders>
                    <w:top w:val="single" w:color="auto" w:sz="6" w:space="0"/>
                    <w:left w:val="single" w:color="auto" w:sz="6" w:space="0"/>
                    <w:bottom w:val="single" w:color="auto" w:sz="6" w:space="0"/>
                    <w:right w:val="single" w:color="auto" w:sz="6" w:space="0"/>
                  </w:tcBorders>
                  <w:vAlign w:val="center"/>
                </w:tcPr>
                <w:p w14:paraId="2CC9B4C6">
                  <w:pPr>
                    <w:pStyle w:val="50"/>
                    <w:spacing w:beforeLines="0" w:line="240" w:lineRule="auto"/>
                    <w:rPr>
                      <w:rFonts w:ascii="Times New Roman" w:hAnsi="Times New Roman"/>
                      <w:bCs/>
                      <w:color w:val="000000"/>
                      <w:szCs w:val="21"/>
                    </w:rPr>
                  </w:pPr>
                  <w:r>
                    <w:rPr>
                      <w:rFonts w:ascii="Times New Roman" w:hAnsi="Times New Roman"/>
                      <w:bCs/>
                      <w:color w:val="000000"/>
                      <w:szCs w:val="21"/>
                    </w:rPr>
                    <w:t>5</w:t>
                  </w:r>
                </w:p>
              </w:tc>
              <w:tc>
                <w:tcPr>
                  <w:tcW w:w="644" w:type="dxa"/>
                  <w:tcBorders>
                    <w:top w:val="single" w:color="auto" w:sz="6" w:space="0"/>
                    <w:left w:val="single" w:color="auto" w:sz="6" w:space="0"/>
                    <w:bottom w:val="single" w:color="auto" w:sz="6" w:space="0"/>
                    <w:right w:val="single" w:color="auto" w:sz="6" w:space="0"/>
                  </w:tcBorders>
                  <w:vAlign w:val="center"/>
                </w:tcPr>
                <w:p w14:paraId="17955123">
                  <w:pPr>
                    <w:jc w:val="center"/>
                    <w:rPr>
                      <w:color w:val="000000"/>
                      <w:kern w:val="0"/>
                      <w:szCs w:val="21"/>
                    </w:rPr>
                  </w:pPr>
                  <w:r>
                    <w:rPr>
                      <w:color w:val="000000"/>
                      <w:kern w:val="0"/>
                      <w:szCs w:val="21"/>
                    </w:rPr>
                    <w:t>60-65</w:t>
                  </w:r>
                </w:p>
              </w:tc>
              <w:tc>
                <w:tcPr>
                  <w:tcW w:w="733" w:type="dxa"/>
                  <w:vMerge w:val="continue"/>
                  <w:tcBorders>
                    <w:left w:val="single" w:color="auto" w:sz="6" w:space="0"/>
                    <w:right w:val="single" w:color="auto" w:sz="6" w:space="0"/>
                  </w:tcBorders>
                  <w:vAlign w:val="center"/>
                </w:tcPr>
                <w:p w14:paraId="4C552C94">
                  <w:pPr>
                    <w:widowControl/>
                    <w:adjustRightInd w:val="0"/>
                    <w:snapToGrid w:val="0"/>
                    <w:jc w:val="center"/>
                    <w:rPr>
                      <w:bCs/>
                      <w:color w:val="000000"/>
                      <w:szCs w:val="21"/>
                    </w:rPr>
                  </w:pPr>
                </w:p>
              </w:tc>
              <w:tc>
                <w:tcPr>
                  <w:tcW w:w="644" w:type="dxa"/>
                  <w:tcBorders>
                    <w:top w:val="single" w:color="auto" w:sz="6" w:space="0"/>
                    <w:left w:val="single" w:color="auto" w:sz="6" w:space="0"/>
                    <w:bottom w:val="single" w:color="auto" w:sz="6" w:space="0"/>
                    <w:right w:val="single" w:color="auto" w:sz="6" w:space="0"/>
                  </w:tcBorders>
                  <w:vAlign w:val="center"/>
                </w:tcPr>
                <w:p w14:paraId="4D5BCD4F">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681AC000">
                  <w:pPr>
                    <w:jc w:val="center"/>
                    <w:rPr>
                      <w:bCs/>
                      <w:color w:val="000000"/>
                      <w:szCs w:val="21"/>
                    </w:rPr>
                  </w:pPr>
                  <w:r>
                    <w:rPr>
                      <w:bCs/>
                      <w:color w:val="000000"/>
                      <w:szCs w:val="21"/>
                    </w:rPr>
                    <w:t>50-55</w:t>
                  </w:r>
                </w:p>
              </w:tc>
              <w:tc>
                <w:tcPr>
                  <w:tcW w:w="402" w:type="dxa"/>
                  <w:tcBorders>
                    <w:top w:val="single" w:color="auto" w:sz="6" w:space="0"/>
                    <w:left w:val="single" w:color="auto" w:sz="6" w:space="0"/>
                    <w:bottom w:val="single" w:color="auto" w:sz="6" w:space="0"/>
                    <w:right w:val="single" w:color="auto" w:sz="12" w:space="0"/>
                  </w:tcBorders>
                  <w:vAlign w:val="center"/>
                </w:tcPr>
                <w:p w14:paraId="561A8969">
                  <w:pPr>
                    <w:pStyle w:val="50"/>
                    <w:spacing w:beforeLines="0" w:line="240" w:lineRule="auto"/>
                    <w:rPr>
                      <w:rFonts w:ascii="Times New Roman" w:hAnsi="Times New Roman"/>
                      <w:bCs/>
                      <w:color w:val="000000"/>
                      <w:szCs w:val="21"/>
                    </w:rPr>
                  </w:pPr>
                  <w:r>
                    <w:rPr>
                      <w:rFonts w:ascii="Times New Roman" w:hAnsi="Times New Roman"/>
                      <w:bCs/>
                      <w:color w:val="000000"/>
                      <w:szCs w:val="21"/>
                    </w:rPr>
                    <w:t>1</w:t>
                  </w:r>
                </w:p>
              </w:tc>
            </w:tr>
            <w:tr w14:paraId="281BFCF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dxa"/>
                  <w:tcBorders>
                    <w:top w:val="single" w:color="auto" w:sz="6" w:space="0"/>
                    <w:left w:val="single" w:color="auto" w:sz="12" w:space="0"/>
                    <w:bottom w:val="single" w:color="auto" w:sz="6" w:space="0"/>
                    <w:right w:val="single" w:color="auto" w:sz="6" w:space="0"/>
                  </w:tcBorders>
                  <w:vAlign w:val="center"/>
                </w:tcPr>
                <w:p w14:paraId="10D71A06">
                  <w:pPr>
                    <w:widowControl/>
                    <w:adjustRightInd w:val="0"/>
                    <w:snapToGrid w:val="0"/>
                    <w:jc w:val="center"/>
                    <w:rPr>
                      <w:bCs/>
                      <w:color w:val="000000"/>
                      <w:szCs w:val="21"/>
                    </w:rPr>
                  </w:pPr>
                  <w:r>
                    <w:rPr>
                      <w:bCs/>
                      <w:color w:val="000000"/>
                      <w:szCs w:val="21"/>
                    </w:rPr>
                    <w:t>4</w:t>
                  </w:r>
                </w:p>
              </w:tc>
              <w:tc>
                <w:tcPr>
                  <w:tcW w:w="431" w:type="dxa"/>
                  <w:vMerge w:val="continue"/>
                  <w:tcBorders>
                    <w:left w:val="single" w:color="auto" w:sz="6" w:space="0"/>
                    <w:right w:val="single" w:color="auto" w:sz="6" w:space="0"/>
                  </w:tcBorders>
                  <w:vAlign w:val="center"/>
                </w:tcPr>
                <w:p w14:paraId="42959685">
                  <w:pPr>
                    <w:jc w:val="center"/>
                    <w:rPr>
                      <w:color w:val="000000"/>
                      <w:szCs w:val="21"/>
                    </w:rPr>
                  </w:pPr>
                </w:p>
              </w:tc>
              <w:tc>
                <w:tcPr>
                  <w:tcW w:w="707" w:type="dxa"/>
                  <w:tcBorders>
                    <w:top w:val="single" w:color="auto" w:sz="6" w:space="0"/>
                    <w:left w:val="single" w:color="auto" w:sz="6" w:space="0"/>
                    <w:bottom w:val="single" w:color="auto" w:sz="6" w:space="0"/>
                    <w:right w:val="single" w:color="auto" w:sz="6" w:space="0"/>
                  </w:tcBorders>
                  <w:vAlign w:val="center"/>
                </w:tcPr>
                <w:p w14:paraId="7FEEEF06">
                  <w:pPr>
                    <w:jc w:val="center"/>
                    <w:rPr>
                      <w:color w:val="000000"/>
                      <w:szCs w:val="21"/>
                    </w:rPr>
                  </w:pPr>
                  <w:r>
                    <w:rPr>
                      <w:color w:val="000000"/>
                      <w:szCs w:val="21"/>
                    </w:rPr>
                    <w:t>烧毛出料输送机</w:t>
                  </w:r>
                </w:p>
              </w:tc>
              <w:tc>
                <w:tcPr>
                  <w:tcW w:w="480" w:type="dxa"/>
                  <w:tcBorders>
                    <w:top w:val="single" w:color="auto" w:sz="6" w:space="0"/>
                    <w:left w:val="single" w:color="auto" w:sz="6" w:space="0"/>
                    <w:bottom w:val="single" w:color="auto" w:sz="6" w:space="0"/>
                    <w:right w:val="single" w:color="auto" w:sz="6" w:space="0"/>
                  </w:tcBorders>
                  <w:vAlign w:val="center"/>
                </w:tcPr>
                <w:p w14:paraId="043EE65F">
                  <w:pPr>
                    <w:jc w:val="center"/>
                    <w:rPr>
                      <w:color w:val="000000"/>
                      <w:szCs w:val="21"/>
                    </w:rPr>
                  </w:pPr>
                  <w:r>
                    <w:rPr>
                      <w:color w:val="000000"/>
                      <w:szCs w:val="21"/>
                    </w:rPr>
                    <w:t>1</w:t>
                  </w:r>
                </w:p>
              </w:tc>
              <w:tc>
                <w:tcPr>
                  <w:tcW w:w="760" w:type="dxa"/>
                  <w:tcBorders>
                    <w:top w:val="single" w:color="auto" w:sz="6" w:space="0"/>
                    <w:left w:val="single" w:color="auto" w:sz="6" w:space="0"/>
                    <w:bottom w:val="single" w:color="auto" w:sz="6" w:space="0"/>
                    <w:right w:val="single" w:color="auto" w:sz="6" w:space="0"/>
                  </w:tcBorders>
                  <w:vAlign w:val="center"/>
                </w:tcPr>
                <w:p w14:paraId="5743A2FE">
                  <w:pPr>
                    <w:adjustRightInd w:val="0"/>
                    <w:snapToGrid w:val="0"/>
                    <w:jc w:val="center"/>
                    <w:rPr>
                      <w:color w:val="000000"/>
                      <w:szCs w:val="21"/>
                    </w:rPr>
                  </w:pPr>
                  <w:r>
                    <w:rPr>
                      <w:color w:val="000000"/>
                      <w:szCs w:val="21"/>
                    </w:rPr>
                    <w:t>70-80</w:t>
                  </w:r>
                </w:p>
              </w:tc>
              <w:tc>
                <w:tcPr>
                  <w:tcW w:w="520" w:type="dxa"/>
                  <w:vMerge w:val="continue"/>
                  <w:tcBorders>
                    <w:left w:val="single" w:color="auto" w:sz="6" w:space="0"/>
                    <w:right w:val="single" w:color="auto" w:sz="6" w:space="0"/>
                  </w:tcBorders>
                  <w:vAlign w:val="center"/>
                </w:tcPr>
                <w:p w14:paraId="07F8B1F8">
                  <w:pPr>
                    <w:widowControl/>
                    <w:adjustRightInd w:val="0"/>
                    <w:snapToGrid w:val="0"/>
                    <w:jc w:val="center"/>
                    <w:rPr>
                      <w:color w:val="000000"/>
                      <w:szCs w:val="21"/>
                    </w:rPr>
                  </w:pPr>
                </w:p>
              </w:tc>
              <w:tc>
                <w:tcPr>
                  <w:tcW w:w="586" w:type="dxa"/>
                  <w:tcBorders>
                    <w:top w:val="single" w:color="auto" w:sz="6" w:space="0"/>
                    <w:left w:val="single" w:color="auto" w:sz="6" w:space="0"/>
                    <w:bottom w:val="single" w:color="auto" w:sz="6" w:space="0"/>
                    <w:right w:val="single" w:color="auto" w:sz="6" w:space="0"/>
                  </w:tcBorders>
                  <w:vAlign w:val="center"/>
                </w:tcPr>
                <w:p w14:paraId="558EAA46">
                  <w:pPr>
                    <w:pStyle w:val="50"/>
                    <w:spacing w:beforeLines="0" w:line="240" w:lineRule="auto"/>
                    <w:rPr>
                      <w:rFonts w:ascii="Times New Roman" w:hAnsi="Times New Roman"/>
                      <w:bCs/>
                      <w:color w:val="000000"/>
                      <w:szCs w:val="21"/>
                    </w:rPr>
                  </w:pPr>
                  <w:r>
                    <w:rPr>
                      <w:rFonts w:ascii="Times New Roman" w:hAnsi="Times New Roman"/>
                      <w:bCs/>
                      <w:color w:val="000000"/>
                      <w:szCs w:val="21"/>
                    </w:rPr>
                    <w:t>151.01</w:t>
                  </w:r>
                </w:p>
              </w:tc>
              <w:tc>
                <w:tcPr>
                  <w:tcW w:w="534" w:type="dxa"/>
                  <w:tcBorders>
                    <w:top w:val="single" w:color="auto" w:sz="6" w:space="0"/>
                    <w:left w:val="single" w:color="auto" w:sz="6" w:space="0"/>
                    <w:bottom w:val="single" w:color="auto" w:sz="6" w:space="0"/>
                    <w:right w:val="single" w:color="auto" w:sz="6" w:space="0"/>
                  </w:tcBorders>
                  <w:vAlign w:val="center"/>
                </w:tcPr>
                <w:p w14:paraId="2D05FC7C">
                  <w:pPr>
                    <w:pStyle w:val="50"/>
                    <w:spacing w:beforeLines="0" w:line="240" w:lineRule="auto"/>
                    <w:rPr>
                      <w:rFonts w:ascii="Times New Roman" w:hAnsi="Times New Roman"/>
                      <w:bCs/>
                      <w:color w:val="000000"/>
                      <w:szCs w:val="21"/>
                    </w:rPr>
                  </w:pPr>
                  <w:r>
                    <w:rPr>
                      <w:rFonts w:ascii="Times New Roman" w:hAnsi="Times New Roman"/>
                      <w:bCs/>
                      <w:color w:val="000000"/>
                      <w:szCs w:val="21"/>
                    </w:rPr>
                    <w:t>-97.51</w:t>
                  </w:r>
                </w:p>
              </w:tc>
              <w:tc>
                <w:tcPr>
                  <w:tcW w:w="533" w:type="dxa"/>
                  <w:tcBorders>
                    <w:top w:val="single" w:color="auto" w:sz="6" w:space="0"/>
                    <w:left w:val="single" w:color="auto" w:sz="6" w:space="0"/>
                    <w:bottom w:val="single" w:color="auto" w:sz="6" w:space="0"/>
                    <w:right w:val="single" w:color="auto" w:sz="6" w:space="0"/>
                  </w:tcBorders>
                  <w:vAlign w:val="center"/>
                </w:tcPr>
                <w:p w14:paraId="3E70778D">
                  <w:pPr>
                    <w:jc w:val="center"/>
                    <w:rPr>
                      <w:szCs w:val="21"/>
                    </w:rPr>
                  </w:pPr>
                  <w:r>
                    <w:rPr>
                      <w:bCs/>
                      <w:color w:val="000000"/>
                      <w:szCs w:val="21"/>
                    </w:rPr>
                    <w:t>1.5</w:t>
                  </w:r>
                </w:p>
              </w:tc>
              <w:tc>
                <w:tcPr>
                  <w:tcW w:w="517" w:type="dxa"/>
                  <w:tcBorders>
                    <w:top w:val="single" w:color="auto" w:sz="6" w:space="0"/>
                    <w:left w:val="single" w:color="auto" w:sz="6" w:space="0"/>
                    <w:bottom w:val="single" w:color="auto" w:sz="6" w:space="0"/>
                    <w:right w:val="single" w:color="auto" w:sz="6" w:space="0"/>
                  </w:tcBorders>
                  <w:vAlign w:val="center"/>
                </w:tcPr>
                <w:p w14:paraId="672CFB27">
                  <w:pPr>
                    <w:pStyle w:val="50"/>
                    <w:spacing w:beforeLines="0" w:line="240" w:lineRule="auto"/>
                    <w:rPr>
                      <w:rFonts w:ascii="Times New Roman" w:hAnsi="Times New Roman"/>
                      <w:bCs/>
                      <w:color w:val="000000"/>
                      <w:szCs w:val="21"/>
                    </w:rPr>
                  </w:pPr>
                  <w:r>
                    <w:rPr>
                      <w:rFonts w:ascii="Times New Roman" w:hAnsi="Times New Roman"/>
                      <w:bCs/>
                      <w:color w:val="000000"/>
                      <w:szCs w:val="21"/>
                    </w:rPr>
                    <w:t>5</w:t>
                  </w:r>
                </w:p>
              </w:tc>
              <w:tc>
                <w:tcPr>
                  <w:tcW w:w="644" w:type="dxa"/>
                  <w:tcBorders>
                    <w:top w:val="single" w:color="auto" w:sz="6" w:space="0"/>
                    <w:left w:val="single" w:color="auto" w:sz="6" w:space="0"/>
                    <w:bottom w:val="single" w:color="auto" w:sz="6" w:space="0"/>
                    <w:right w:val="single" w:color="auto" w:sz="6" w:space="0"/>
                  </w:tcBorders>
                  <w:vAlign w:val="center"/>
                </w:tcPr>
                <w:p w14:paraId="1BBE227C">
                  <w:pPr>
                    <w:jc w:val="center"/>
                    <w:rPr>
                      <w:color w:val="000000"/>
                      <w:kern w:val="0"/>
                      <w:szCs w:val="21"/>
                    </w:rPr>
                  </w:pPr>
                  <w:r>
                    <w:rPr>
                      <w:color w:val="000000"/>
                      <w:kern w:val="0"/>
                      <w:szCs w:val="21"/>
                    </w:rPr>
                    <w:t>60-65</w:t>
                  </w:r>
                </w:p>
              </w:tc>
              <w:tc>
                <w:tcPr>
                  <w:tcW w:w="733" w:type="dxa"/>
                  <w:vMerge w:val="continue"/>
                  <w:tcBorders>
                    <w:left w:val="single" w:color="auto" w:sz="6" w:space="0"/>
                    <w:right w:val="single" w:color="auto" w:sz="6" w:space="0"/>
                  </w:tcBorders>
                  <w:vAlign w:val="center"/>
                </w:tcPr>
                <w:p w14:paraId="3701FDEA">
                  <w:pPr>
                    <w:widowControl/>
                    <w:adjustRightInd w:val="0"/>
                    <w:snapToGrid w:val="0"/>
                    <w:jc w:val="center"/>
                    <w:rPr>
                      <w:bCs/>
                      <w:color w:val="000000"/>
                      <w:szCs w:val="21"/>
                    </w:rPr>
                  </w:pPr>
                </w:p>
              </w:tc>
              <w:tc>
                <w:tcPr>
                  <w:tcW w:w="644" w:type="dxa"/>
                  <w:tcBorders>
                    <w:top w:val="single" w:color="auto" w:sz="6" w:space="0"/>
                    <w:left w:val="single" w:color="auto" w:sz="6" w:space="0"/>
                    <w:bottom w:val="single" w:color="auto" w:sz="6" w:space="0"/>
                    <w:right w:val="single" w:color="auto" w:sz="6" w:space="0"/>
                  </w:tcBorders>
                  <w:vAlign w:val="center"/>
                </w:tcPr>
                <w:p w14:paraId="12D2B752">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03DC8EDA">
                  <w:pPr>
                    <w:jc w:val="center"/>
                    <w:rPr>
                      <w:bCs/>
                      <w:color w:val="000000"/>
                      <w:szCs w:val="21"/>
                    </w:rPr>
                  </w:pPr>
                  <w:r>
                    <w:rPr>
                      <w:bCs/>
                      <w:color w:val="000000"/>
                      <w:szCs w:val="21"/>
                    </w:rPr>
                    <w:t>50-55</w:t>
                  </w:r>
                </w:p>
              </w:tc>
              <w:tc>
                <w:tcPr>
                  <w:tcW w:w="402" w:type="dxa"/>
                  <w:tcBorders>
                    <w:top w:val="single" w:color="auto" w:sz="6" w:space="0"/>
                    <w:left w:val="single" w:color="auto" w:sz="6" w:space="0"/>
                    <w:bottom w:val="single" w:color="auto" w:sz="6" w:space="0"/>
                    <w:right w:val="single" w:color="auto" w:sz="12" w:space="0"/>
                  </w:tcBorders>
                  <w:vAlign w:val="center"/>
                </w:tcPr>
                <w:p w14:paraId="4ED645F2">
                  <w:pPr>
                    <w:pStyle w:val="50"/>
                    <w:spacing w:beforeLines="0" w:line="240" w:lineRule="auto"/>
                    <w:rPr>
                      <w:rFonts w:ascii="Times New Roman" w:hAnsi="Times New Roman"/>
                      <w:bCs/>
                      <w:color w:val="000000"/>
                      <w:szCs w:val="21"/>
                    </w:rPr>
                  </w:pPr>
                  <w:r>
                    <w:rPr>
                      <w:rFonts w:ascii="Times New Roman" w:hAnsi="Times New Roman"/>
                      <w:bCs/>
                      <w:color w:val="000000"/>
                      <w:szCs w:val="21"/>
                    </w:rPr>
                    <w:t>1</w:t>
                  </w:r>
                </w:p>
              </w:tc>
            </w:tr>
            <w:tr w14:paraId="6BE8490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dxa"/>
                  <w:tcBorders>
                    <w:top w:val="single" w:color="auto" w:sz="6" w:space="0"/>
                    <w:left w:val="single" w:color="auto" w:sz="12" w:space="0"/>
                    <w:bottom w:val="single" w:color="auto" w:sz="6" w:space="0"/>
                    <w:right w:val="single" w:color="auto" w:sz="6" w:space="0"/>
                  </w:tcBorders>
                  <w:vAlign w:val="center"/>
                </w:tcPr>
                <w:p w14:paraId="3D9DCF0E">
                  <w:pPr>
                    <w:widowControl/>
                    <w:adjustRightInd w:val="0"/>
                    <w:snapToGrid w:val="0"/>
                    <w:jc w:val="center"/>
                    <w:rPr>
                      <w:bCs/>
                      <w:color w:val="000000"/>
                      <w:szCs w:val="21"/>
                    </w:rPr>
                  </w:pPr>
                  <w:r>
                    <w:rPr>
                      <w:bCs/>
                      <w:color w:val="000000"/>
                      <w:szCs w:val="21"/>
                    </w:rPr>
                    <w:t>5</w:t>
                  </w:r>
                </w:p>
              </w:tc>
              <w:tc>
                <w:tcPr>
                  <w:tcW w:w="431" w:type="dxa"/>
                  <w:vMerge w:val="continue"/>
                  <w:tcBorders>
                    <w:left w:val="single" w:color="auto" w:sz="6" w:space="0"/>
                    <w:right w:val="single" w:color="auto" w:sz="6" w:space="0"/>
                  </w:tcBorders>
                  <w:vAlign w:val="center"/>
                </w:tcPr>
                <w:p w14:paraId="5DD27114">
                  <w:pPr>
                    <w:jc w:val="center"/>
                    <w:rPr>
                      <w:color w:val="000000"/>
                      <w:szCs w:val="21"/>
                    </w:rPr>
                  </w:pPr>
                </w:p>
              </w:tc>
              <w:tc>
                <w:tcPr>
                  <w:tcW w:w="707" w:type="dxa"/>
                  <w:tcBorders>
                    <w:top w:val="single" w:color="auto" w:sz="6" w:space="0"/>
                    <w:left w:val="single" w:color="auto" w:sz="6" w:space="0"/>
                    <w:bottom w:val="single" w:color="auto" w:sz="6" w:space="0"/>
                    <w:right w:val="single" w:color="auto" w:sz="6" w:space="0"/>
                  </w:tcBorders>
                  <w:vAlign w:val="center"/>
                </w:tcPr>
                <w:p w14:paraId="7A396752">
                  <w:pPr>
                    <w:jc w:val="center"/>
                    <w:rPr>
                      <w:color w:val="000000"/>
                      <w:szCs w:val="21"/>
                    </w:rPr>
                  </w:pPr>
                  <w:r>
                    <w:rPr>
                      <w:color w:val="000000"/>
                      <w:szCs w:val="21"/>
                    </w:rPr>
                    <w:t>双层烫脚趾输送机</w:t>
                  </w:r>
                </w:p>
              </w:tc>
              <w:tc>
                <w:tcPr>
                  <w:tcW w:w="480" w:type="dxa"/>
                  <w:tcBorders>
                    <w:top w:val="single" w:color="auto" w:sz="6" w:space="0"/>
                    <w:left w:val="single" w:color="auto" w:sz="6" w:space="0"/>
                    <w:bottom w:val="single" w:color="auto" w:sz="6" w:space="0"/>
                    <w:right w:val="single" w:color="auto" w:sz="6" w:space="0"/>
                  </w:tcBorders>
                  <w:vAlign w:val="center"/>
                </w:tcPr>
                <w:p w14:paraId="7B3E54EE">
                  <w:pPr>
                    <w:jc w:val="center"/>
                    <w:rPr>
                      <w:color w:val="000000"/>
                      <w:szCs w:val="21"/>
                    </w:rPr>
                  </w:pPr>
                  <w:r>
                    <w:rPr>
                      <w:color w:val="000000"/>
                      <w:szCs w:val="21"/>
                    </w:rPr>
                    <w:t>1</w:t>
                  </w:r>
                </w:p>
              </w:tc>
              <w:tc>
                <w:tcPr>
                  <w:tcW w:w="760" w:type="dxa"/>
                  <w:tcBorders>
                    <w:top w:val="single" w:color="auto" w:sz="6" w:space="0"/>
                    <w:left w:val="single" w:color="auto" w:sz="6" w:space="0"/>
                    <w:bottom w:val="single" w:color="auto" w:sz="6" w:space="0"/>
                    <w:right w:val="single" w:color="auto" w:sz="6" w:space="0"/>
                  </w:tcBorders>
                  <w:vAlign w:val="center"/>
                </w:tcPr>
                <w:p w14:paraId="15F19ED6">
                  <w:pPr>
                    <w:adjustRightInd w:val="0"/>
                    <w:snapToGrid w:val="0"/>
                    <w:jc w:val="center"/>
                    <w:rPr>
                      <w:color w:val="000000"/>
                      <w:szCs w:val="21"/>
                    </w:rPr>
                  </w:pPr>
                  <w:r>
                    <w:rPr>
                      <w:color w:val="000000"/>
                      <w:szCs w:val="21"/>
                    </w:rPr>
                    <w:t>70-80</w:t>
                  </w:r>
                </w:p>
              </w:tc>
              <w:tc>
                <w:tcPr>
                  <w:tcW w:w="520" w:type="dxa"/>
                  <w:vMerge w:val="continue"/>
                  <w:tcBorders>
                    <w:left w:val="single" w:color="auto" w:sz="6" w:space="0"/>
                    <w:right w:val="single" w:color="auto" w:sz="6" w:space="0"/>
                  </w:tcBorders>
                  <w:vAlign w:val="center"/>
                </w:tcPr>
                <w:p w14:paraId="0FC3AE07">
                  <w:pPr>
                    <w:widowControl/>
                    <w:adjustRightInd w:val="0"/>
                    <w:snapToGrid w:val="0"/>
                    <w:jc w:val="center"/>
                    <w:rPr>
                      <w:color w:val="000000"/>
                      <w:szCs w:val="21"/>
                    </w:rPr>
                  </w:pPr>
                </w:p>
              </w:tc>
              <w:tc>
                <w:tcPr>
                  <w:tcW w:w="586" w:type="dxa"/>
                  <w:tcBorders>
                    <w:top w:val="single" w:color="auto" w:sz="6" w:space="0"/>
                    <w:left w:val="single" w:color="auto" w:sz="6" w:space="0"/>
                    <w:bottom w:val="single" w:color="auto" w:sz="6" w:space="0"/>
                    <w:right w:val="single" w:color="auto" w:sz="6" w:space="0"/>
                  </w:tcBorders>
                  <w:vAlign w:val="center"/>
                </w:tcPr>
                <w:p w14:paraId="446CFF9F">
                  <w:pPr>
                    <w:pStyle w:val="50"/>
                    <w:spacing w:beforeLines="0" w:line="240" w:lineRule="auto"/>
                    <w:rPr>
                      <w:rFonts w:ascii="Times New Roman" w:hAnsi="Times New Roman"/>
                      <w:bCs/>
                      <w:color w:val="000000"/>
                      <w:szCs w:val="21"/>
                    </w:rPr>
                  </w:pPr>
                  <w:r>
                    <w:rPr>
                      <w:rFonts w:ascii="Times New Roman" w:hAnsi="Times New Roman"/>
                      <w:bCs/>
                      <w:color w:val="000000"/>
                      <w:szCs w:val="21"/>
                    </w:rPr>
                    <w:t>153.84</w:t>
                  </w:r>
                </w:p>
              </w:tc>
              <w:tc>
                <w:tcPr>
                  <w:tcW w:w="534" w:type="dxa"/>
                  <w:tcBorders>
                    <w:top w:val="single" w:color="auto" w:sz="6" w:space="0"/>
                    <w:left w:val="single" w:color="auto" w:sz="6" w:space="0"/>
                    <w:bottom w:val="single" w:color="auto" w:sz="6" w:space="0"/>
                    <w:right w:val="single" w:color="auto" w:sz="6" w:space="0"/>
                  </w:tcBorders>
                  <w:vAlign w:val="center"/>
                </w:tcPr>
                <w:p w14:paraId="7735EB46">
                  <w:pPr>
                    <w:pStyle w:val="50"/>
                    <w:spacing w:beforeLines="0" w:line="240" w:lineRule="auto"/>
                    <w:rPr>
                      <w:rFonts w:ascii="Times New Roman" w:hAnsi="Times New Roman"/>
                      <w:bCs/>
                      <w:color w:val="000000"/>
                      <w:szCs w:val="21"/>
                    </w:rPr>
                  </w:pPr>
                  <w:r>
                    <w:rPr>
                      <w:rFonts w:ascii="Times New Roman" w:hAnsi="Times New Roman"/>
                      <w:bCs/>
                      <w:color w:val="000000"/>
                      <w:szCs w:val="21"/>
                    </w:rPr>
                    <w:t>-98.69</w:t>
                  </w:r>
                </w:p>
              </w:tc>
              <w:tc>
                <w:tcPr>
                  <w:tcW w:w="533" w:type="dxa"/>
                  <w:tcBorders>
                    <w:top w:val="single" w:color="auto" w:sz="6" w:space="0"/>
                    <w:left w:val="single" w:color="auto" w:sz="6" w:space="0"/>
                    <w:bottom w:val="single" w:color="auto" w:sz="6" w:space="0"/>
                    <w:right w:val="single" w:color="auto" w:sz="6" w:space="0"/>
                  </w:tcBorders>
                  <w:vAlign w:val="center"/>
                </w:tcPr>
                <w:p w14:paraId="0EE9D70D">
                  <w:pPr>
                    <w:jc w:val="center"/>
                    <w:rPr>
                      <w:szCs w:val="21"/>
                    </w:rPr>
                  </w:pPr>
                  <w:r>
                    <w:rPr>
                      <w:bCs/>
                      <w:color w:val="000000"/>
                      <w:szCs w:val="21"/>
                    </w:rPr>
                    <w:t>1.5</w:t>
                  </w:r>
                </w:p>
              </w:tc>
              <w:tc>
                <w:tcPr>
                  <w:tcW w:w="517" w:type="dxa"/>
                  <w:tcBorders>
                    <w:top w:val="single" w:color="auto" w:sz="6" w:space="0"/>
                    <w:left w:val="single" w:color="auto" w:sz="6" w:space="0"/>
                    <w:bottom w:val="single" w:color="auto" w:sz="6" w:space="0"/>
                    <w:right w:val="single" w:color="auto" w:sz="6" w:space="0"/>
                  </w:tcBorders>
                  <w:vAlign w:val="center"/>
                </w:tcPr>
                <w:p w14:paraId="04CC9585">
                  <w:pPr>
                    <w:pStyle w:val="50"/>
                    <w:spacing w:beforeLines="0" w:line="240" w:lineRule="auto"/>
                    <w:rPr>
                      <w:rFonts w:ascii="Times New Roman" w:hAnsi="Times New Roman"/>
                      <w:bCs/>
                      <w:color w:val="000000"/>
                      <w:szCs w:val="21"/>
                    </w:rPr>
                  </w:pPr>
                  <w:r>
                    <w:rPr>
                      <w:rFonts w:ascii="Times New Roman" w:hAnsi="Times New Roman"/>
                      <w:bCs/>
                      <w:color w:val="000000"/>
                      <w:szCs w:val="21"/>
                    </w:rPr>
                    <w:t>5</w:t>
                  </w:r>
                </w:p>
              </w:tc>
              <w:tc>
                <w:tcPr>
                  <w:tcW w:w="644" w:type="dxa"/>
                  <w:tcBorders>
                    <w:top w:val="single" w:color="auto" w:sz="6" w:space="0"/>
                    <w:left w:val="single" w:color="auto" w:sz="6" w:space="0"/>
                    <w:bottom w:val="single" w:color="auto" w:sz="6" w:space="0"/>
                    <w:right w:val="single" w:color="auto" w:sz="6" w:space="0"/>
                  </w:tcBorders>
                  <w:vAlign w:val="center"/>
                </w:tcPr>
                <w:p w14:paraId="0278B780">
                  <w:pPr>
                    <w:jc w:val="center"/>
                    <w:rPr>
                      <w:color w:val="000000"/>
                      <w:kern w:val="0"/>
                      <w:szCs w:val="21"/>
                    </w:rPr>
                  </w:pPr>
                  <w:r>
                    <w:rPr>
                      <w:color w:val="000000"/>
                      <w:kern w:val="0"/>
                      <w:szCs w:val="21"/>
                    </w:rPr>
                    <w:t>60-65</w:t>
                  </w:r>
                </w:p>
              </w:tc>
              <w:tc>
                <w:tcPr>
                  <w:tcW w:w="733" w:type="dxa"/>
                  <w:vMerge w:val="continue"/>
                  <w:tcBorders>
                    <w:left w:val="single" w:color="auto" w:sz="6" w:space="0"/>
                    <w:right w:val="single" w:color="auto" w:sz="6" w:space="0"/>
                  </w:tcBorders>
                  <w:vAlign w:val="center"/>
                </w:tcPr>
                <w:p w14:paraId="79CAE4F8">
                  <w:pPr>
                    <w:widowControl/>
                    <w:adjustRightInd w:val="0"/>
                    <w:snapToGrid w:val="0"/>
                    <w:jc w:val="center"/>
                    <w:rPr>
                      <w:bCs/>
                      <w:color w:val="000000"/>
                      <w:szCs w:val="21"/>
                    </w:rPr>
                  </w:pPr>
                </w:p>
              </w:tc>
              <w:tc>
                <w:tcPr>
                  <w:tcW w:w="644" w:type="dxa"/>
                  <w:tcBorders>
                    <w:top w:val="single" w:color="auto" w:sz="6" w:space="0"/>
                    <w:left w:val="single" w:color="auto" w:sz="6" w:space="0"/>
                    <w:bottom w:val="single" w:color="auto" w:sz="6" w:space="0"/>
                    <w:right w:val="single" w:color="auto" w:sz="6" w:space="0"/>
                  </w:tcBorders>
                  <w:vAlign w:val="center"/>
                </w:tcPr>
                <w:p w14:paraId="50D2F573">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7FB285F7">
                  <w:pPr>
                    <w:jc w:val="center"/>
                    <w:rPr>
                      <w:bCs/>
                      <w:color w:val="000000"/>
                      <w:szCs w:val="21"/>
                    </w:rPr>
                  </w:pPr>
                  <w:r>
                    <w:rPr>
                      <w:bCs/>
                      <w:color w:val="000000"/>
                      <w:szCs w:val="21"/>
                    </w:rPr>
                    <w:t>50-55</w:t>
                  </w:r>
                </w:p>
              </w:tc>
              <w:tc>
                <w:tcPr>
                  <w:tcW w:w="402" w:type="dxa"/>
                  <w:tcBorders>
                    <w:top w:val="single" w:color="auto" w:sz="6" w:space="0"/>
                    <w:left w:val="single" w:color="auto" w:sz="6" w:space="0"/>
                    <w:bottom w:val="single" w:color="auto" w:sz="6" w:space="0"/>
                    <w:right w:val="single" w:color="auto" w:sz="12" w:space="0"/>
                  </w:tcBorders>
                  <w:vAlign w:val="center"/>
                </w:tcPr>
                <w:p w14:paraId="67FDB607">
                  <w:pPr>
                    <w:pStyle w:val="50"/>
                    <w:spacing w:beforeLines="0" w:line="240" w:lineRule="auto"/>
                    <w:rPr>
                      <w:rFonts w:ascii="Times New Roman" w:hAnsi="Times New Roman"/>
                      <w:bCs/>
                      <w:color w:val="000000"/>
                      <w:szCs w:val="21"/>
                    </w:rPr>
                  </w:pPr>
                  <w:r>
                    <w:rPr>
                      <w:rFonts w:ascii="Times New Roman" w:hAnsi="Times New Roman"/>
                      <w:bCs/>
                      <w:color w:val="000000"/>
                      <w:szCs w:val="21"/>
                    </w:rPr>
                    <w:t>1</w:t>
                  </w:r>
                </w:p>
              </w:tc>
            </w:tr>
            <w:tr w14:paraId="6775343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dxa"/>
                  <w:tcBorders>
                    <w:top w:val="single" w:color="auto" w:sz="6" w:space="0"/>
                    <w:left w:val="single" w:color="auto" w:sz="12" w:space="0"/>
                    <w:bottom w:val="single" w:color="auto" w:sz="6" w:space="0"/>
                    <w:right w:val="single" w:color="auto" w:sz="6" w:space="0"/>
                  </w:tcBorders>
                  <w:vAlign w:val="center"/>
                </w:tcPr>
                <w:p w14:paraId="1E0E1C73">
                  <w:pPr>
                    <w:widowControl/>
                    <w:adjustRightInd w:val="0"/>
                    <w:snapToGrid w:val="0"/>
                    <w:jc w:val="center"/>
                    <w:rPr>
                      <w:bCs/>
                      <w:color w:val="000000"/>
                      <w:szCs w:val="21"/>
                    </w:rPr>
                  </w:pPr>
                  <w:r>
                    <w:rPr>
                      <w:bCs/>
                      <w:color w:val="000000"/>
                      <w:szCs w:val="21"/>
                    </w:rPr>
                    <w:t>6</w:t>
                  </w:r>
                </w:p>
              </w:tc>
              <w:tc>
                <w:tcPr>
                  <w:tcW w:w="431" w:type="dxa"/>
                  <w:vMerge w:val="continue"/>
                  <w:tcBorders>
                    <w:left w:val="single" w:color="auto" w:sz="6" w:space="0"/>
                    <w:right w:val="single" w:color="auto" w:sz="6" w:space="0"/>
                  </w:tcBorders>
                  <w:vAlign w:val="center"/>
                </w:tcPr>
                <w:p w14:paraId="3BDA6AAC">
                  <w:pPr>
                    <w:jc w:val="center"/>
                    <w:rPr>
                      <w:color w:val="000000"/>
                      <w:szCs w:val="21"/>
                    </w:rPr>
                  </w:pPr>
                </w:p>
              </w:tc>
              <w:tc>
                <w:tcPr>
                  <w:tcW w:w="707" w:type="dxa"/>
                  <w:tcBorders>
                    <w:top w:val="single" w:color="auto" w:sz="6" w:space="0"/>
                    <w:left w:val="single" w:color="auto" w:sz="6" w:space="0"/>
                    <w:bottom w:val="single" w:color="auto" w:sz="6" w:space="0"/>
                    <w:right w:val="single" w:color="auto" w:sz="6" w:space="0"/>
                  </w:tcBorders>
                  <w:vAlign w:val="center"/>
                </w:tcPr>
                <w:p w14:paraId="0CEA8BAD">
                  <w:pPr>
                    <w:jc w:val="center"/>
                    <w:rPr>
                      <w:color w:val="000000"/>
                      <w:szCs w:val="21"/>
                    </w:rPr>
                  </w:pPr>
                  <w:r>
                    <w:rPr>
                      <w:color w:val="000000"/>
                      <w:szCs w:val="21"/>
                    </w:rPr>
                    <w:t>清洗分料输送机</w:t>
                  </w:r>
                </w:p>
              </w:tc>
              <w:tc>
                <w:tcPr>
                  <w:tcW w:w="480" w:type="dxa"/>
                  <w:tcBorders>
                    <w:top w:val="single" w:color="auto" w:sz="6" w:space="0"/>
                    <w:left w:val="single" w:color="auto" w:sz="6" w:space="0"/>
                    <w:bottom w:val="single" w:color="auto" w:sz="6" w:space="0"/>
                    <w:right w:val="single" w:color="auto" w:sz="6" w:space="0"/>
                  </w:tcBorders>
                  <w:vAlign w:val="center"/>
                </w:tcPr>
                <w:p w14:paraId="662993B1">
                  <w:pPr>
                    <w:jc w:val="center"/>
                    <w:rPr>
                      <w:color w:val="000000"/>
                      <w:szCs w:val="21"/>
                    </w:rPr>
                  </w:pPr>
                  <w:r>
                    <w:rPr>
                      <w:color w:val="000000"/>
                      <w:szCs w:val="21"/>
                    </w:rPr>
                    <w:t>1</w:t>
                  </w:r>
                </w:p>
              </w:tc>
              <w:tc>
                <w:tcPr>
                  <w:tcW w:w="760" w:type="dxa"/>
                  <w:tcBorders>
                    <w:top w:val="single" w:color="auto" w:sz="6" w:space="0"/>
                    <w:left w:val="single" w:color="auto" w:sz="6" w:space="0"/>
                    <w:bottom w:val="single" w:color="auto" w:sz="6" w:space="0"/>
                    <w:right w:val="single" w:color="auto" w:sz="6" w:space="0"/>
                  </w:tcBorders>
                  <w:vAlign w:val="center"/>
                </w:tcPr>
                <w:p w14:paraId="4AFCB33E">
                  <w:pPr>
                    <w:adjustRightInd w:val="0"/>
                    <w:snapToGrid w:val="0"/>
                    <w:jc w:val="center"/>
                    <w:rPr>
                      <w:color w:val="000000"/>
                      <w:szCs w:val="21"/>
                    </w:rPr>
                  </w:pPr>
                  <w:r>
                    <w:rPr>
                      <w:color w:val="000000"/>
                      <w:szCs w:val="21"/>
                    </w:rPr>
                    <w:t>70-80</w:t>
                  </w:r>
                </w:p>
              </w:tc>
              <w:tc>
                <w:tcPr>
                  <w:tcW w:w="520" w:type="dxa"/>
                  <w:vMerge w:val="continue"/>
                  <w:tcBorders>
                    <w:left w:val="single" w:color="auto" w:sz="6" w:space="0"/>
                    <w:right w:val="single" w:color="auto" w:sz="6" w:space="0"/>
                  </w:tcBorders>
                  <w:vAlign w:val="center"/>
                </w:tcPr>
                <w:p w14:paraId="2E843B99">
                  <w:pPr>
                    <w:widowControl/>
                    <w:adjustRightInd w:val="0"/>
                    <w:snapToGrid w:val="0"/>
                    <w:jc w:val="center"/>
                    <w:rPr>
                      <w:color w:val="000000"/>
                      <w:szCs w:val="21"/>
                    </w:rPr>
                  </w:pPr>
                </w:p>
              </w:tc>
              <w:tc>
                <w:tcPr>
                  <w:tcW w:w="586" w:type="dxa"/>
                  <w:tcBorders>
                    <w:top w:val="single" w:color="auto" w:sz="6" w:space="0"/>
                    <w:left w:val="single" w:color="auto" w:sz="6" w:space="0"/>
                    <w:bottom w:val="single" w:color="auto" w:sz="6" w:space="0"/>
                    <w:right w:val="single" w:color="auto" w:sz="6" w:space="0"/>
                  </w:tcBorders>
                  <w:vAlign w:val="center"/>
                </w:tcPr>
                <w:p w14:paraId="75F2791F">
                  <w:pPr>
                    <w:pStyle w:val="50"/>
                    <w:spacing w:beforeLines="0" w:line="240" w:lineRule="auto"/>
                    <w:rPr>
                      <w:rFonts w:ascii="Times New Roman" w:hAnsi="Times New Roman"/>
                      <w:bCs/>
                      <w:color w:val="000000"/>
                      <w:szCs w:val="21"/>
                    </w:rPr>
                  </w:pPr>
                  <w:r>
                    <w:rPr>
                      <w:rFonts w:ascii="Times New Roman" w:hAnsi="Times New Roman"/>
                      <w:bCs/>
                      <w:color w:val="000000"/>
                      <w:szCs w:val="21"/>
                    </w:rPr>
                    <w:t>160.03</w:t>
                  </w:r>
                </w:p>
              </w:tc>
              <w:tc>
                <w:tcPr>
                  <w:tcW w:w="534" w:type="dxa"/>
                  <w:tcBorders>
                    <w:top w:val="single" w:color="auto" w:sz="6" w:space="0"/>
                    <w:left w:val="single" w:color="auto" w:sz="6" w:space="0"/>
                    <w:bottom w:val="single" w:color="auto" w:sz="6" w:space="0"/>
                    <w:right w:val="single" w:color="auto" w:sz="6" w:space="0"/>
                  </w:tcBorders>
                  <w:vAlign w:val="center"/>
                </w:tcPr>
                <w:p w14:paraId="208CFB4B">
                  <w:pPr>
                    <w:pStyle w:val="50"/>
                    <w:spacing w:beforeLines="0" w:line="240" w:lineRule="auto"/>
                    <w:rPr>
                      <w:rFonts w:ascii="Times New Roman" w:hAnsi="Times New Roman"/>
                      <w:bCs/>
                      <w:color w:val="000000"/>
                      <w:szCs w:val="21"/>
                    </w:rPr>
                  </w:pPr>
                  <w:r>
                    <w:rPr>
                      <w:rFonts w:ascii="Times New Roman" w:hAnsi="Times New Roman"/>
                      <w:bCs/>
                      <w:color w:val="000000"/>
                      <w:szCs w:val="21"/>
                    </w:rPr>
                    <w:t>-101.55</w:t>
                  </w:r>
                </w:p>
              </w:tc>
              <w:tc>
                <w:tcPr>
                  <w:tcW w:w="533" w:type="dxa"/>
                  <w:tcBorders>
                    <w:top w:val="single" w:color="auto" w:sz="6" w:space="0"/>
                    <w:left w:val="single" w:color="auto" w:sz="6" w:space="0"/>
                    <w:bottom w:val="single" w:color="auto" w:sz="6" w:space="0"/>
                    <w:right w:val="single" w:color="auto" w:sz="6" w:space="0"/>
                  </w:tcBorders>
                  <w:vAlign w:val="center"/>
                </w:tcPr>
                <w:p w14:paraId="09814974">
                  <w:pPr>
                    <w:jc w:val="center"/>
                    <w:rPr>
                      <w:szCs w:val="21"/>
                    </w:rPr>
                  </w:pPr>
                  <w:r>
                    <w:rPr>
                      <w:bCs/>
                      <w:color w:val="000000"/>
                      <w:szCs w:val="21"/>
                    </w:rPr>
                    <w:t>1.5</w:t>
                  </w:r>
                </w:p>
              </w:tc>
              <w:tc>
                <w:tcPr>
                  <w:tcW w:w="517" w:type="dxa"/>
                  <w:tcBorders>
                    <w:top w:val="single" w:color="auto" w:sz="6" w:space="0"/>
                    <w:left w:val="single" w:color="auto" w:sz="6" w:space="0"/>
                    <w:bottom w:val="single" w:color="auto" w:sz="6" w:space="0"/>
                    <w:right w:val="single" w:color="auto" w:sz="6" w:space="0"/>
                  </w:tcBorders>
                  <w:vAlign w:val="center"/>
                </w:tcPr>
                <w:p w14:paraId="060710B1">
                  <w:pPr>
                    <w:pStyle w:val="50"/>
                    <w:spacing w:beforeLines="0" w:line="240" w:lineRule="auto"/>
                    <w:rPr>
                      <w:rFonts w:ascii="Times New Roman" w:hAnsi="Times New Roman"/>
                      <w:bCs/>
                      <w:color w:val="000000"/>
                      <w:szCs w:val="21"/>
                    </w:rPr>
                  </w:pPr>
                  <w:r>
                    <w:rPr>
                      <w:rFonts w:ascii="Times New Roman" w:hAnsi="Times New Roman"/>
                      <w:bCs/>
                      <w:color w:val="000000"/>
                      <w:szCs w:val="21"/>
                    </w:rPr>
                    <w:t>5</w:t>
                  </w:r>
                </w:p>
              </w:tc>
              <w:tc>
                <w:tcPr>
                  <w:tcW w:w="644" w:type="dxa"/>
                  <w:tcBorders>
                    <w:top w:val="single" w:color="auto" w:sz="6" w:space="0"/>
                    <w:left w:val="single" w:color="auto" w:sz="6" w:space="0"/>
                    <w:bottom w:val="single" w:color="auto" w:sz="6" w:space="0"/>
                    <w:right w:val="single" w:color="auto" w:sz="6" w:space="0"/>
                  </w:tcBorders>
                  <w:vAlign w:val="center"/>
                </w:tcPr>
                <w:p w14:paraId="4236E47D">
                  <w:pPr>
                    <w:jc w:val="center"/>
                    <w:rPr>
                      <w:color w:val="000000"/>
                      <w:kern w:val="0"/>
                      <w:szCs w:val="21"/>
                    </w:rPr>
                  </w:pPr>
                  <w:r>
                    <w:rPr>
                      <w:color w:val="000000"/>
                      <w:kern w:val="0"/>
                      <w:szCs w:val="21"/>
                    </w:rPr>
                    <w:t>60-65</w:t>
                  </w:r>
                </w:p>
              </w:tc>
              <w:tc>
                <w:tcPr>
                  <w:tcW w:w="733" w:type="dxa"/>
                  <w:vMerge w:val="continue"/>
                  <w:tcBorders>
                    <w:left w:val="single" w:color="auto" w:sz="6" w:space="0"/>
                    <w:right w:val="single" w:color="auto" w:sz="6" w:space="0"/>
                  </w:tcBorders>
                  <w:vAlign w:val="center"/>
                </w:tcPr>
                <w:p w14:paraId="2EB290AB">
                  <w:pPr>
                    <w:widowControl/>
                    <w:adjustRightInd w:val="0"/>
                    <w:snapToGrid w:val="0"/>
                    <w:jc w:val="center"/>
                    <w:rPr>
                      <w:bCs/>
                      <w:color w:val="000000"/>
                      <w:szCs w:val="21"/>
                    </w:rPr>
                  </w:pPr>
                </w:p>
              </w:tc>
              <w:tc>
                <w:tcPr>
                  <w:tcW w:w="644" w:type="dxa"/>
                  <w:tcBorders>
                    <w:top w:val="single" w:color="auto" w:sz="6" w:space="0"/>
                    <w:left w:val="single" w:color="auto" w:sz="6" w:space="0"/>
                    <w:bottom w:val="single" w:color="auto" w:sz="6" w:space="0"/>
                    <w:right w:val="single" w:color="auto" w:sz="6" w:space="0"/>
                  </w:tcBorders>
                  <w:vAlign w:val="center"/>
                </w:tcPr>
                <w:p w14:paraId="75845D57">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69A12F49">
                  <w:pPr>
                    <w:jc w:val="center"/>
                    <w:rPr>
                      <w:bCs/>
                      <w:color w:val="000000"/>
                      <w:szCs w:val="21"/>
                    </w:rPr>
                  </w:pPr>
                  <w:r>
                    <w:rPr>
                      <w:bCs/>
                      <w:color w:val="000000"/>
                      <w:szCs w:val="21"/>
                    </w:rPr>
                    <w:t>50-55</w:t>
                  </w:r>
                </w:p>
              </w:tc>
              <w:tc>
                <w:tcPr>
                  <w:tcW w:w="402" w:type="dxa"/>
                  <w:tcBorders>
                    <w:top w:val="single" w:color="auto" w:sz="6" w:space="0"/>
                    <w:left w:val="single" w:color="auto" w:sz="6" w:space="0"/>
                    <w:bottom w:val="single" w:color="auto" w:sz="6" w:space="0"/>
                    <w:right w:val="single" w:color="auto" w:sz="12" w:space="0"/>
                  </w:tcBorders>
                  <w:vAlign w:val="center"/>
                </w:tcPr>
                <w:p w14:paraId="78B69626">
                  <w:pPr>
                    <w:pStyle w:val="50"/>
                    <w:spacing w:beforeLines="0" w:line="240" w:lineRule="auto"/>
                    <w:rPr>
                      <w:rFonts w:ascii="Times New Roman" w:hAnsi="Times New Roman"/>
                      <w:bCs/>
                      <w:color w:val="000000"/>
                      <w:szCs w:val="21"/>
                    </w:rPr>
                  </w:pPr>
                  <w:r>
                    <w:rPr>
                      <w:rFonts w:ascii="Times New Roman" w:hAnsi="Times New Roman"/>
                      <w:bCs/>
                      <w:color w:val="000000"/>
                      <w:szCs w:val="21"/>
                    </w:rPr>
                    <w:t>1</w:t>
                  </w:r>
                </w:p>
              </w:tc>
            </w:tr>
            <w:tr w14:paraId="11581E2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dxa"/>
                  <w:tcBorders>
                    <w:top w:val="single" w:color="auto" w:sz="6" w:space="0"/>
                    <w:left w:val="single" w:color="auto" w:sz="12" w:space="0"/>
                    <w:bottom w:val="single" w:color="auto" w:sz="6" w:space="0"/>
                    <w:right w:val="single" w:color="auto" w:sz="6" w:space="0"/>
                  </w:tcBorders>
                  <w:vAlign w:val="center"/>
                </w:tcPr>
                <w:p w14:paraId="0B01AE4F">
                  <w:pPr>
                    <w:widowControl/>
                    <w:adjustRightInd w:val="0"/>
                    <w:snapToGrid w:val="0"/>
                    <w:jc w:val="center"/>
                    <w:rPr>
                      <w:bCs/>
                      <w:color w:val="000000"/>
                      <w:szCs w:val="21"/>
                    </w:rPr>
                  </w:pPr>
                  <w:r>
                    <w:rPr>
                      <w:bCs/>
                      <w:color w:val="000000"/>
                      <w:szCs w:val="21"/>
                    </w:rPr>
                    <w:t>7</w:t>
                  </w:r>
                </w:p>
              </w:tc>
              <w:tc>
                <w:tcPr>
                  <w:tcW w:w="431" w:type="dxa"/>
                  <w:vMerge w:val="continue"/>
                  <w:tcBorders>
                    <w:left w:val="single" w:color="auto" w:sz="6" w:space="0"/>
                    <w:right w:val="single" w:color="auto" w:sz="6" w:space="0"/>
                  </w:tcBorders>
                  <w:vAlign w:val="center"/>
                </w:tcPr>
                <w:p w14:paraId="215E2750">
                  <w:pPr>
                    <w:jc w:val="center"/>
                    <w:rPr>
                      <w:color w:val="000000"/>
                      <w:szCs w:val="21"/>
                    </w:rPr>
                  </w:pPr>
                </w:p>
              </w:tc>
              <w:tc>
                <w:tcPr>
                  <w:tcW w:w="707" w:type="dxa"/>
                  <w:tcBorders>
                    <w:top w:val="single" w:color="auto" w:sz="6" w:space="0"/>
                    <w:left w:val="single" w:color="auto" w:sz="6" w:space="0"/>
                    <w:bottom w:val="single" w:color="auto" w:sz="6" w:space="0"/>
                    <w:right w:val="single" w:color="auto" w:sz="6" w:space="0"/>
                  </w:tcBorders>
                  <w:vAlign w:val="center"/>
                </w:tcPr>
                <w:p w14:paraId="57F2B316">
                  <w:pPr>
                    <w:jc w:val="center"/>
                    <w:rPr>
                      <w:color w:val="000000"/>
                      <w:szCs w:val="21"/>
                    </w:rPr>
                  </w:pPr>
                  <w:r>
                    <w:rPr>
                      <w:color w:val="000000"/>
                      <w:szCs w:val="21"/>
                    </w:rPr>
                    <w:t>毛辊清洗机</w:t>
                  </w:r>
                </w:p>
              </w:tc>
              <w:tc>
                <w:tcPr>
                  <w:tcW w:w="480" w:type="dxa"/>
                  <w:tcBorders>
                    <w:top w:val="single" w:color="auto" w:sz="6" w:space="0"/>
                    <w:left w:val="single" w:color="auto" w:sz="6" w:space="0"/>
                    <w:bottom w:val="single" w:color="auto" w:sz="6" w:space="0"/>
                    <w:right w:val="single" w:color="auto" w:sz="6" w:space="0"/>
                  </w:tcBorders>
                  <w:vAlign w:val="center"/>
                </w:tcPr>
                <w:p w14:paraId="1591042F">
                  <w:pPr>
                    <w:jc w:val="center"/>
                    <w:rPr>
                      <w:color w:val="000000"/>
                      <w:szCs w:val="21"/>
                    </w:rPr>
                  </w:pPr>
                  <w:r>
                    <w:rPr>
                      <w:color w:val="000000"/>
                      <w:szCs w:val="21"/>
                    </w:rPr>
                    <w:t>3</w:t>
                  </w:r>
                </w:p>
              </w:tc>
              <w:tc>
                <w:tcPr>
                  <w:tcW w:w="760" w:type="dxa"/>
                  <w:tcBorders>
                    <w:top w:val="single" w:color="auto" w:sz="6" w:space="0"/>
                    <w:left w:val="single" w:color="auto" w:sz="6" w:space="0"/>
                    <w:bottom w:val="single" w:color="auto" w:sz="6" w:space="0"/>
                    <w:right w:val="single" w:color="auto" w:sz="6" w:space="0"/>
                  </w:tcBorders>
                  <w:vAlign w:val="center"/>
                </w:tcPr>
                <w:p w14:paraId="3B12EF2D">
                  <w:pPr>
                    <w:adjustRightInd w:val="0"/>
                    <w:snapToGrid w:val="0"/>
                    <w:jc w:val="center"/>
                    <w:rPr>
                      <w:color w:val="000000"/>
                      <w:szCs w:val="21"/>
                    </w:rPr>
                  </w:pPr>
                  <w:r>
                    <w:rPr>
                      <w:color w:val="000000"/>
                      <w:szCs w:val="21"/>
                    </w:rPr>
                    <w:t>65-75</w:t>
                  </w:r>
                </w:p>
              </w:tc>
              <w:tc>
                <w:tcPr>
                  <w:tcW w:w="520" w:type="dxa"/>
                  <w:vMerge w:val="continue"/>
                  <w:tcBorders>
                    <w:left w:val="single" w:color="auto" w:sz="6" w:space="0"/>
                    <w:right w:val="single" w:color="auto" w:sz="6" w:space="0"/>
                  </w:tcBorders>
                  <w:vAlign w:val="center"/>
                </w:tcPr>
                <w:p w14:paraId="5D52514C">
                  <w:pPr>
                    <w:widowControl/>
                    <w:adjustRightInd w:val="0"/>
                    <w:snapToGrid w:val="0"/>
                    <w:jc w:val="center"/>
                    <w:rPr>
                      <w:color w:val="000000"/>
                      <w:szCs w:val="21"/>
                    </w:rPr>
                  </w:pPr>
                </w:p>
              </w:tc>
              <w:tc>
                <w:tcPr>
                  <w:tcW w:w="586" w:type="dxa"/>
                  <w:tcBorders>
                    <w:top w:val="single" w:color="auto" w:sz="6" w:space="0"/>
                    <w:left w:val="single" w:color="auto" w:sz="6" w:space="0"/>
                    <w:bottom w:val="single" w:color="auto" w:sz="6" w:space="0"/>
                    <w:right w:val="single" w:color="auto" w:sz="6" w:space="0"/>
                  </w:tcBorders>
                  <w:vAlign w:val="center"/>
                </w:tcPr>
                <w:p w14:paraId="1310D718">
                  <w:pPr>
                    <w:pStyle w:val="50"/>
                    <w:spacing w:beforeLines="0" w:line="240" w:lineRule="auto"/>
                    <w:rPr>
                      <w:rFonts w:ascii="Times New Roman" w:hAnsi="Times New Roman"/>
                      <w:bCs/>
                      <w:color w:val="000000"/>
                      <w:szCs w:val="21"/>
                    </w:rPr>
                  </w:pPr>
                  <w:r>
                    <w:rPr>
                      <w:rFonts w:ascii="Times New Roman" w:hAnsi="Times New Roman"/>
                      <w:bCs/>
                      <w:color w:val="000000"/>
                      <w:szCs w:val="21"/>
                    </w:rPr>
                    <w:t>154.62</w:t>
                  </w:r>
                </w:p>
              </w:tc>
              <w:tc>
                <w:tcPr>
                  <w:tcW w:w="534" w:type="dxa"/>
                  <w:tcBorders>
                    <w:top w:val="single" w:color="auto" w:sz="6" w:space="0"/>
                    <w:left w:val="single" w:color="auto" w:sz="6" w:space="0"/>
                    <w:bottom w:val="single" w:color="auto" w:sz="6" w:space="0"/>
                    <w:right w:val="single" w:color="auto" w:sz="6" w:space="0"/>
                  </w:tcBorders>
                  <w:vAlign w:val="center"/>
                </w:tcPr>
                <w:p w14:paraId="26743192">
                  <w:pPr>
                    <w:pStyle w:val="50"/>
                    <w:spacing w:beforeLines="0" w:line="240" w:lineRule="auto"/>
                    <w:rPr>
                      <w:rFonts w:ascii="Times New Roman" w:hAnsi="Times New Roman"/>
                      <w:bCs/>
                      <w:color w:val="000000"/>
                      <w:szCs w:val="21"/>
                    </w:rPr>
                  </w:pPr>
                  <w:r>
                    <w:rPr>
                      <w:rFonts w:ascii="Times New Roman" w:hAnsi="Times New Roman"/>
                      <w:bCs/>
                      <w:color w:val="000000"/>
                      <w:szCs w:val="21"/>
                    </w:rPr>
                    <w:t>-105.36</w:t>
                  </w:r>
                </w:p>
              </w:tc>
              <w:tc>
                <w:tcPr>
                  <w:tcW w:w="533" w:type="dxa"/>
                  <w:tcBorders>
                    <w:top w:val="single" w:color="auto" w:sz="6" w:space="0"/>
                    <w:left w:val="single" w:color="auto" w:sz="6" w:space="0"/>
                    <w:bottom w:val="single" w:color="auto" w:sz="6" w:space="0"/>
                    <w:right w:val="single" w:color="auto" w:sz="6" w:space="0"/>
                  </w:tcBorders>
                  <w:vAlign w:val="center"/>
                </w:tcPr>
                <w:p w14:paraId="600EDB36">
                  <w:pPr>
                    <w:jc w:val="center"/>
                    <w:rPr>
                      <w:szCs w:val="21"/>
                    </w:rPr>
                  </w:pPr>
                  <w:r>
                    <w:rPr>
                      <w:bCs/>
                      <w:color w:val="000000"/>
                      <w:szCs w:val="21"/>
                    </w:rPr>
                    <w:t>1.5</w:t>
                  </w:r>
                </w:p>
              </w:tc>
              <w:tc>
                <w:tcPr>
                  <w:tcW w:w="517" w:type="dxa"/>
                  <w:tcBorders>
                    <w:top w:val="single" w:color="auto" w:sz="6" w:space="0"/>
                    <w:left w:val="single" w:color="auto" w:sz="6" w:space="0"/>
                    <w:bottom w:val="single" w:color="auto" w:sz="6" w:space="0"/>
                    <w:right w:val="single" w:color="auto" w:sz="6" w:space="0"/>
                  </w:tcBorders>
                  <w:vAlign w:val="center"/>
                </w:tcPr>
                <w:p w14:paraId="456B8C36">
                  <w:pPr>
                    <w:pStyle w:val="50"/>
                    <w:spacing w:beforeLines="0" w:line="240" w:lineRule="auto"/>
                    <w:rPr>
                      <w:rFonts w:ascii="Times New Roman" w:hAnsi="Times New Roman"/>
                      <w:bCs/>
                      <w:color w:val="000000"/>
                      <w:szCs w:val="21"/>
                    </w:rPr>
                  </w:pPr>
                  <w:r>
                    <w:rPr>
                      <w:rFonts w:ascii="Times New Roman" w:hAnsi="Times New Roman"/>
                      <w:bCs/>
                      <w:color w:val="000000"/>
                      <w:szCs w:val="21"/>
                    </w:rPr>
                    <w:t>5</w:t>
                  </w:r>
                </w:p>
              </w:tc>
              <w:tc>
                <w:tcPr>
                  <w:tcW w:w="644" w:type="dxa"/>
                  <w:tcBorders>
                    <w:top w:val="single" w:color="auto" w:sz="6" w:space="0"/>
                    <w:left w:val="single" w:color="auto" w:sz="6" w:space="0"/>
                    <w:bottom w:val="single" w:color="auto" w:sz="6" w:space="0"/>
                    <w:right w:val="single" w:color="auto" w:sz="6" w:space="0"/>
                  </w:tcBorders>
                  <w:vAlign w:val="center"/>
                </w:tcPr>
                <w:p w14:paraId="3D0D26C9">
                  <w:pPr>
                    <w:pStyle w:val="50"/>
                    <w:spacing w:beforeLines="0" w:line="240" w:lineRule="auto"/>
                    <w:rPr>
                      <w:rFonts w:ascii="Times New Roman" w:hAnsi="Times New Roman"/>
                      <w:color w:val="000000"/>
                      <w:kern w:val="0"/>
                      <w:szCs w:val="21"/>
                    </w:rPr>
                  </w:pPr>
                  <w:r>
                    <w:rPr>
                      <w:rFonts w:ascii="Times New Roman" w:hAnsi="Times New Roman"/>
                      <w:color w:val="000000"/>
                      <w:kern w:val="0"/>
                      <w:szCs w:val="21"/>
                    </w:rPr>
                    <w:t>50-60</w:t>
                  </w:r>
                </w:p>
              </w:tc>
              <w:tc>
                <w:tcPr>
                  <w:tcW w:w="733" w:type="dxa"/>
                  <w:vMerge w:val="continue"/>
                  <w:tcBorders>
                    <w:left w:val="single" w:color="auto" w:sz="6" w:space="0"/>
                    <w:right w:val="single" w:color="auto" w:sz="6" w:space="0"/>
                  </w:tcBorders>
                  <w:vAlign w:val="center"/>
                </w:tcPr>
                <w:p w14:paraId="43BCEFB7">
                  <w:pPr>
                    <w:widowControl/>
                    <w:adjustRightInd w:val="0"/>
                    <w:snapToGrid w:val="0"/>
                    <w:jc w:val="center"/>
                    <w:rPr>
                      <w:bCs/>
                      <w:color w:val="000000"/>
                      <w:szCs w:val="21"/>
                    </w:rPr>
                  </w:pPr>
                </w:p>
              </w:tc>
              <w:tc>
                <w:tcPr>
                  <w:tcW w:w="644" w:type="dxa"/>
                  <w:tcBorders>
                    <w:top w:val="single" w:color="auto" w:sz="6" w:space="0"/>
                    <w:left w:val="single" w:color="auto" w:sz="6" w:space="0"/>
                    <w:bottom w:val="single" w:color="auto" w:sz="6" w:space="0"/>
                    <w:right w:val="single" w:color="auto" w:sz="6" w:space="0"/>
                  </w:tcBorders>
                  <w:vAlign w:val="center"/>
                </w:tcPr>
                <w:p w14:paraId="1ACE0605">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652D3F89">
                  <w:pPr>
                    <w:pStyle w:val="50"/>
                    <w:spacing w:beforeLines="0" w:line="240" w:lineRule="auto"/>
                    <w:rPr>
                      <w:rFonts w:ascii="Times New Roman" w:hAnsi="Times New Roman"/>
                      <w:bCs/>
                      <w:color w:val="000000"/>
                      <w:szCs w:val="21"/>
                    </w:rPr>
                  </w:pPr>
                  <w:r>
                    <w:rPr>
                      <w:rFonts w:ascii="Times New Roman" w:hAnsi="Times New Roman"/>
                      <w:bCs/>
                      <w:color w:val="000000"/>
                      <w:szCs w:val="21"/>
                    </w:rPr>
                    <w:t>45-50</w:t>
                  </w:r>
                </w:p>
              </w:tc>
              <w:tc>
                <w:tcPr>
                  <w:tcW w:w="402" w:type="dxa"/>
                  <w:tcBorders>
                    <w:top w:val="single" w:color="auto" w:sz="6" w:space="0"/>
                    <w:left w:val="single" w:color="auto" w:sz="6" w:space="0"/>
                    <w:bottom w:val="single" w:color="auto" w:sz="6" w:space="0"/>
                    <w:right w:val="single" w:color="auto" w:sz="12" w:space="0"/>
                  </w:tcBorders>
                  <w:vAlign w:val="center"/>
                </w:tcPr>
                <w:p w14:paraId="61AECE48">
                  <w:pPr>
                    <w:pStyle w:val="50"/>
                    <w:spacing w:beforeLines="0" w:line="240" w:lineRule="auto"/>
                    <w:rPr>
                      <w:rFonts w:ascii="Times New Roman" w:hAnsi="Times New Roman"/>
                      <w:bCs/>
                      <w:color w:val="000000"/>
                      <w:szCs w:val="21"/>
                    </w:rPr>
                  </w:pPr>
                  <w:r>
                    <w:rPr>
                      <w:rFonts w:ascii="Times New Roman" w:hAnsi="Times New Roman"/>
                      <w:bCs/>
                      <w:color w:val="000000"/>
                      <w:szCs w:val="21"/>
                    </w:rPr>
                    <w:t>1</w:t>
                  </w:r>
                </w:p>
              </w:tc>
            </w:tr>
            <w:tr w14:paraId="76BA47E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dxa"/>
                  <w:tcBorders>
                    <w:top w:val="single" w:color="auto" w:sz="6" w:space="0"/>
                    <w:left w:val="single" w:color="auto" w:sz="12" w:space="0"/>
                    <w:bottom w:val="single" w:color="auto" w:sz="6" w:space="0"/>
                    <w:right w:val="single" w:color="auto" w:sz="6" w:space="0"/>
                  </w:tcBorders>
                  <w:vAlign w:val="center"/>
                </w:tcPr>
                <w:p w14:paraId="6FDFA5C9">
                  <w:pPr>
                    <w:widowControl/>
                    <w:adjustRightInd w:val="0"/>
                    <w:snapToGrid w:val="0"/>
                    <w:jc w:val="center"/>
                    <w:rPr>
                      <w:bCs/>
                      <w:color w:val="000000"/>
                      <w:szCs w:val="21"/>
                    </w:rPr>
                  </w:pPr>
                  <w:r>
                    <w:rPr>
                      <w:bCs/>
                      <w:color w:val="000000"/>
                      <w:szCs w:val="21"/>
                    </w:rPr>
                    <w:t>8</w:t>
                  </w:r>
                </w:p>
              </w:tc>
              <w:tc>
                <w:tcPr>
                  <w:tcW w:w="431" w:type="dxa"/>
                  <w:vMerge w:val="continue"/>
                  <w:tcBorders>
                    <w:left w:val="single" w:color="auto" w:sz="6" w:space="0"/>
                    <w:right w:val="single" w:color="auto" w:sz="6" w:space="0"/>
                  </w:tcBorders>
                  <w:vAlign w:val="center"/>
                </w:tcPr>
                <w:p w14:paraId="3773EC9F">
                  <w:pPr>
                    <w:jc w:val="center"/>
                    <w:rPr>
                      <w:color w:val="000000"/>
                      <w:szCs w:val="21"/>
                    </w:rPr>
                  </w:pPr>
                </w:p>
              </w:tc>
              <w:tc>
                <w:tcPr>
                  <w:tcW w:w="707" w:type="dxa"/>
                  <w:tcBorders>
                    <w:top w:val="single" w:color="auto" w:sz="6" w:space="0"/>
                    <w:left w:val="single" w:color="auto" w:sz="6" w:space="0"/>
                    <w:bottom w:val="single" w:color="auto" w:sz="6" w:space="0"/>
                    <w:right w:val="single" w:color="auto" w:sz="6" w:space="0"/>
                  </w:tcBorders>
                  <w:vAlign w:val="center"/>
                </w:tcPr>
                <w:p w14:paraId="4C40A715">
                  <w:pPr>
                    <w:jc w:val="center"/>
                    <w:rPr>
                      <w:color w:val="000000"/>
                      <w:szCs w:val="21"/>
                    </w:rPr>
                  </w:pPr>
                  <w:r>
                    <w:rPr>
                      <w:color w:val="000000"/>
                      <w:szCs w:val="21"/>
                    </w:rPr>
                    <w:t>清洗出料输送机</w:t>
                  </w:r>
                </w:p>
              </w:tc>
              <w:tc>
                <w:tcPr>
                  <w:tcW w:w="480" w:type="dxa"/>
                  <w:tcBorders>
                    <w:top w:val="single" w:color="auto" w:sz="6" w:space="0"/>
                    <w:left w:val="single" w:color="auto" w:sz="6" w:space="0"/>
                    <w:bottom w:val="single" w:color="auto" w:sz="6" w:space="0"/>
                    <w:right w:val="single" w:color="auto" w:sz="6" w:space="0"/>
                  </w:tcBorders>
                  <w:vAlign w:val="center"/>
                </w:tcPr>
                <w:p w14:paraId="2C70B233">
                  <w:pPr>
                    <w:jc w:val="center"/>
                    <w:rPr>
                      <w:color w:val="000000"/>
                      <w:szCs w:val="21"/>
                    </w:rPr>
                  </w:pPr>
                  <w:r>
                    <w:rPr>
                      <w:color w:val="000000"/>
                      <w:szCs w:val="21"/>
                    </w:rPr>
                    <w:t>1</w:t>
                  </w:r>
                </w:p>
              </w:tc>
              <w:tc>
                <w:tcPr>
                  <w:tcW w:w="760" w:type="dxa"/>
                  <w:tcBorders>
                    <w:top w:val="single" w:color="auto" w:sz="6" w:space="0"/>
                    <w:left w:val="single" w:color="auto" w:sz="6" w:space="0"/>
                    <w:bottom w:val="single" w:color="auto" w:sz="6" w:space="0"/>
                    <w:right w:val="single" w:color="auto" w:sz="6" w:space="0"/>
                  </w:tcBorders>
                  <w:vAlign w:val="center"/>
                </w:tcPr>
                <w:p w14:paraId="324D3C64">
                  <w:pPr>
                    <w:adjustRightInd w:val="0"/>
                    <w:snapToGrid w:val="0"/>
                    <w:jc w:val="center"/>
                    <w:rPr>
                      <w:color w:val="000000"/>
                      <w:szCs w:val="21"/>
                    </w:rPr>
                  </w:pPr>
                  <w:r>
                    <w:rPr>
                      <w:color w:val="000000"/>
                      <w:szCs w:val="21"/>
                    </w:rPr>
                    <w:t>70-80</w:t>
                  </w:r>
                </w:p>
              </w:tc>
              <w:tc>
                <w:tcPr>
                  <w:tcW w:w="520" w:type="dxa"/>
                  <w:vMerge w:val="continue"/>
                  <w:tcBorders>
                    <w:left w:val="single" w:color="auto" w:sz="6" w:space="0"/>
                    <w:right w:val="single" w:color="auto" w:sz="6" w:space="0"/>
                  </w:tcBorders>
                  <w:vAlign w:val="center"/>
                </w:tcPr>
                <w:p w14:paraId="1660D6A6">
                  <w:pPr>
                    <w:widowControl/>
                    <w:adjustRightInd w:val="0"/>
                    <w:snapToGrid w:val="0"/>
                    <w:jc w:val="center"/>
                    <w:rPr>
                      <w:color w:val="000000"/>
                      <w:szCs w:val="21"/>
                    </w:rPr>
                  </w:pPr>
                </w:p>
              </w:tc>
              <w:tc>
                <w:tcPr>
                  <w:tcW w:w="586" w:type="dxa"/>
                  <w:tcBorders>
                    <w:top w:val="single" w:color="auto" w:sz="6" w:space="0"/>
                    <w:left w:val="single" w:color="auto" w:sz="6" w:space="0"/>
                    <w:bottom w:val="single" w:color="auto" w:sz="6" w:space="0"/>
                    <w:right w:val="single" w:color="auto" w:sz="6" w:space="0"/>
                  </w:tcBorders>
                  <w:vAlign w:val="center"/>
                </w:tcPr>
                <w:p w14:paraId="3F5C2C5D">
                  <w:pPr>
                    <w:pStyle w:val="50"/>
                    <w:spacing w:beforeLines="0" w:line="240" w:lineRule="auto"/>
                    <w:rPr>
                      <w:rFonts w:ascii="Times New Roman" w:hAnsi="Times New Roman"/>
                      <w:bCs/>
                      <w:color w:val="000000"/>
                      <w:szCs w:val="21"/>
                    </w:rPr>
                  </w:pPr>
                  <w:r>
                    <w:rPr>
                      <w:rFonts w:ascii="Times New Roman" w:hAnsi="Times New Roman"/>
                      <w:bCs/>
                      <w:color w:val="000000"/>
                      <w:szCs w:val="21"/>
                    </w:rPr>
                    <w:t>120.53</w:t>
                  </w:r>
                </w:p>
              </w:tc>
              <w:tc>
                <w:tcPr>
                  <w:tcW w:w="534" w:type="dxa"/>
                  <w:tcBorders>
                    <w:top w:val="single" w:color="auto" w:sz="6" w:space="0"/>
                    <w:left w:val="single" w:color="auto" w:sz="6" w:space="0"/>
                    <w:bottom w:val="single" w:color="auto" w:sz="6" w:space="0"/>
                    <w:right w:val="single" w:color="auto" w:sz="6" w:space="0"/>
                  </w:tcBorders>
                  <w:vAlign w:val="center"/>
                </w:tcPr>
                <w:p w14:paraId="78DBFAC4">
                  <w:pPr>
                    <w:pStyle w:val="50"/>
                    <w:spacing w:beforeLines="0" w:line="240" w:lineRule="auto"/>
                    <w:rPr>
                      <w:rFonts w:ascii="Times New Roman" w:hAnsi="Times New Roman"/>
                      <w:bCs/>
                      <w:color w:val="000000"/>
                      <w:szCs w:val="21"/>
                    </w:rPr>
                  </w:pPr>
                  <w:r>
                    <w:rPr>
                      <w:rFonts w:ascii="Times New Roman" w:hAnsi="Times New Roman"/>
                      <w:bCs/>
                      <w:color w:val="000000"/>
                      <w:szCs w:val="21"/>
                    </w:rPr>
                    <w:t>-107.29</w:t>
                  </w:r>
                </w:p>
              </w:tc>
              <w:tc>
                <w:tcPr>
                  <w:tcW w:w="533" w:type="dxa"/>
                  <w:tcBorders>
                    <w:top w:val="single" w:color="auto" w:sz="6" w:space="0"/>
                    <w:left w:val="single" w:color="auto" w:sz="6" w:space="0"/>
                    <w:bottom w:val="single" w:color="auto" w:sz="6" w:space="0"/>
                    <w:right w:val="single" w:color="auto" w:sz="6" w:space="0"/>
                  </w:tcBorders>
                  <w:vAlign w:val="center"/>
                </w:tcPr>
                <w:p w14:paraId="7DC564B2">
                  <w:pPr>
                    <w:jc w:val="center"/>
                    <w:rPr>
                      <w:szCs w:val="21"/>
                    </w:rPr>
                  </w:pPr>
                  <w:r>
                    <w:rPr>
                      <w:bCs/>
                      <w:color w:val="000000"/>
                      <w:szCs w:val="21"/>
                    </w:rPr>
                    <w:t>1.5</w:t>
                  </w:r>
                </w:p>
              </w:tc>
              <w:tc>
                <w:tcPr>
                  <w:tcW w:w="517" w:type="dxa"/>
                  <w:tcBorders>
                    <w:top w:val="single" w:color="auto" w:sz="6" w:space="0"/>
                    <w:left w:val="single" w:color="auto" w:sz="6" w:space="0"/>
                    <w:bottom w:val="single" w:color="auto" w:sz="6" w:space="0"/>
                    <w:right w:val="single" w:color="auto" w:sz="6" w:space="0"/>
                  </w:tcBorders>
                  <w:vAlign w:val="center"/>
                </w:tcPr>
                <w:p w14:paraId="1C9F8B1B">
                  <w:pPr>
                    <w:pStyle w:val="50"/>
                    <w:spacing w:beforeLines="0" w:line="240" w:lineRule="auto"/>
                    <w:rPr>
                      <w:rFonts w:ascii="Times New Roman" w:hAnsi="Times New Roman"/>
                      <w:bCs/>
                      <w:color w:val="000000"/>
                      <w:szCs w:val="21"/>
                    </w:rPr>
                  </w:pPr>
                  <w:r>
                    <w:rPr>
                      <w:rFonts w:ascii="Times New Roman" w:hAnsi="Times New Roman"/>
                      <w:bCs/>
                      <w:color w:val="000000"/>
                      <w:szCs w:val="21"/>
                    </w:rPr>
                    <w:t>5</w:t>
                  </w:r>
                </w:p>
              </w:tc>
              <w:tc>
                <w:tcPr>
                  <w:tcW w:w="644" w:type="dxa"/>
                  <w:tcBorders>
                    <w:top w:val="single" w:color="auto" w:sz="6" w:space="0"/>
                    <w:left w:val="single" w:color="auto" w:sz="6" w:space="0"/>
                    <w:bottom w:val="single" w:color="auto" w:sz="6" w:space="0"/>
                    <w:right w:val="single" w:color="auto" w:sz="6" w:space="0"/>
                  </w:tcBorders>
                  <w:vAlign w:val="center"/>
                </w:tcPr>
                <w:p w14:paraId="09F82383">
                  <w:pPr>
                    <w:jc w:val="center"/>
                    <w:rPr>
                      <w:color w:val="000000"/>
                      <w:kern w:val="0"/>
                      <w:szCs w:val="21"/>
                    </w:rPr>
                  </w:pPr>
                  <w:r>
                    <w:rPr>
                      <w:color w:val="000000"/>
                      <w:kern w:val="0"/>
                      <w:szCs w:val="21"/>
                    </w:rPr>
                    <w:t>60-65</w:t>
                  </w:r>
                </w:p>
              </w:tc>
              <w:tc>
                <w:tcPr>
                  <w:tcW w:w="733" w:type="dxa"/>
                  <w:vMerge w:val="continue"/>
                  <w:tcBorders>
                    <w:left w:val="single" w:color="auto" w:sz="6" w:space="0"/>
                    <w:right w:val="single" w:color="auto" w:sz="6" w:space="0"/>
                  </w:tcBorders>
                  <w:vAlign w:val="center"/>
                </w:tcPr>
                <w:p w14:paraId="03D5B1C6">
                  <w:pPr>
                    <w:widowControl/>
                    <w:adjustRightInd w:val="0"/>
                    <w:snapToGrid w:val="0"/>
                    <w:jc w:val="center"/>
                    <w:rPr>
                      <w:bCs/>
                      <w:color w:val="000000"/>
                      <w:szCs w:val="21"/>
                    </w:rPr>
                  </w:pPr>
                </w:p>
              </w:tc>
              <w:tc>
                <w:tcPr>
                  <w:tcW w:w="644" w:type="dxa"/>
                  <w:tcBorders>
                    <w:top w:val="single" w:color="auto" w:sz="6" w:space="0"/>
                    <w:left w:val="single" w:color="auto" w:sz="6" w:space="0"/>
                    <w:bottom w:val="single" w:color="auto" w:sz="6" w:space="0"/>
                    <w:right w:val="single" w:color="auto" w:sz="6" w:space="0"/>
                  </w:tcBorders>
                  <w:vAlign w:val="center"/>
                </w:tcPr>
                <w:p w14:paraId="34E126D3">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0F9A3DCE">
                  <w:pPr>
                    <w:jc w:val="center"/>
                    <w:rPr>
                      <w:bCs/>
                      <w:color w:val="000000"/>
                      <w:szCs w:val="21"/>
                    </w:rPr>
                  </w:pPr>
                  <w:r>
                    <w:rPr>
                      <w:bCs/>
                      <w:color w:val="000000"/>
                      <w:szCs w:val="21"/>
                    </w:rPr>
                    <w:t>50-55</w:t>
                  </w:r>
                </w:p>
              </w:tc>
              <w:tc>
                <w:tcPr>
                  <w:tcW w:w="402" w:type="dxa"/>
                  <w:tcBorders>
                    <w:top w:val="single" w:color="auto" w:sz="6" w:space="0"/>
                    <w:left w:val="single" w:color="auto" w:sz="6" w:space="0"/>
                    <w:bottom w:val="single" w:color="auto" w:sz="6" w:space="0"/>
                    <w:right w:val="single" w:color="auto" w:sz="12" w:space="0"/>
                  </w:tcBorders>
                  <w:vAlign w:val="center"/>
                </w:tcPr>
                <w:p w14:paraId="0EF39106">
                  <w:pPr>
                    <w:pStyle w:val="50"/>
                    <w:spacing w:beforeLines="0" w:line="240" w:lineRule="auto"/>
                    <w:rPr>
                      <w:rFonts w:ascii="Times New Roman" w:hAnsi="Times New Roman"/>
                      <w:bCs/>
                      <w:color w:val="000000"/>
                      <w:szCs w:val="21"/>
                    </w:rPr>
                  </w:pPr>
                  <w:r>
                    <w:rPr>
                      <w:rFonts w:ascii="Times New Roman" w:hAnsi="Times New Roman"/>
                      <w:bCs/>
                      <w:color w:val="000000"/>
                      <w:szCs w:val="21"/>
                    </w:rPr>
                    <w:t>1</w:t>
                  </w:r>
                </w:p>
              </w:tc>
            </w:tr>
            <w:tr w14:paraId="1696679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dxa"/>
                  <w:tcBorders>
                    <w:top w:val="single" w:color="auto" w:sz="6" w:space="0"/>
                    <w:left w:val="single" w:color="auto" w:sz="12" w:space="0"/>
                    <w:bottom w:val="single" w:color="auto" w:sz="6" w:space="0"/>
                    <w:right w:val="single" w:color="auto" w:sz="6" w:space="0"/>
                  </w:tcBorders>
                  <w:vAlign w:val="center"/>
                </w:tcPr>
                <w:p w14:paraId="61AE162D">
                  <w:pPr>
                    <w:widowControl/>
                    <w:adjustRightInd w:val="0"/>
                    <w:snapToGrid w:val="0"/>
                    <w:jc w:val="center"/>
                    <w:rPr>
                      <w:bCs/>
                      <w:color w:val="000000"/>
                      <w:szCs w:val="21"/>
                    </w:rPr>
                  </w:pPr>
                  <w:r>
                    <w:rPr>
                      <w:bCs/>
                      <w:color w:val="000000"/>
                      <w:szCs w:val="21"/>
                    </w:rPr>
                    <w:t>9</w:t>
                  </w:r>
                </w:p>
              </w:tc>
              <w:tc>
                <w:tcPr>
                  <w:tcW w:w="431" w:type="dxa"/>
                  <w:vMerge w:val="continue"/>
                  <w:tcBorders>
                    <w:left w:val="single" w:color="auto" w:sz="6" w:space="0"/>
                    <w:right w:val="single" w:color="auto" w:sz="6" w:space="0"/>
                  </w:tcBorders>
                  <w:vAlign w:val="center"/>
                </w:tcPr>
                <w:p w14:paraId="661BB98E">
                  <w:pPr>
                    <w:jc w:val="center"/>
                    <w:rPr>
                      <w:color w:val="000000"/>
                      <w:szCs w:val="21"/>
                    </w:rPr>
                  </w:pPr>
                </w:p>
              </w:tc>
              <w:tc>
                <w:tcPr>
                  <w:tcW w:w="707" w:type="dxa"/>
                  <w:tcBorders>
                    <w:top w:val="single" w:color="auto" w:sz="6" w:space="0"/>
                    <w:left w:val="single" w:color="auto" w:sz="6" w:space="0"/>
                    <w:bottom w:val="single" w:color="auto" w:sz="6" w:space="0"/>
                    <w:right w:val="single" w:color="auto" w:sz="6" w:space="0"/>
                  </w:tcBorders>
                  <w:vAlign w:val="center"/>
                </w:tcPr>
                <w:p w14:paraId="77717E9C">
                  <w:pPr>
                    <w:jc w:val="center"/>
                    <w:rPr>
                      <w:color w:val="000000"/>
                      <w:szCs w:val="21"/>
                    </w:rPr>
                  </w:pPr>
                  <w:r>
                    <w:rPr>
                      <w:color w:val="000000"/>
                      <w:szCs w:val="21"/>
                    </w:rPr>
                    <w:t>双层修毛输送机</w:t>
                  </w:r>
                </w:p>
              </w:tc>
              <w:tc>
                <w:tcPr>
                  <w:tcW w:w="480" w:type="dxa"/>
                  <w:tcBorders>
                    <w:top w:val="single" w:color="auto" w:sz="6" w:space="0"/>
                    <w:left w:val="single" w:color="auto" w:sz="6" w:space="0"/>
                    <w:bottom w:val="single" w:color="auto" w:sz="6" w:space="0"/>
                    <w:right w:val="single" w:color="auto" w:sz="6" w:space="0"/>
                  </w:tcBorders>
                  <w:vAlign w:val="center"/>
                </w:tcPr>
                <w:p w14:paraId="3220FB85">
                  <w:pPr>
                    <w:jc w:val="center"/>
                    <w:rPr>
                      <w:color w:val="000000"/>
                      <w:szCs w:val="21"/>
                    </w:rPr>
                  </w:pPr>
                  <w:r>
                    <w:rPr>
                      <w:color w:val="000000"/>
                      <w:szCs w:val="21"/>
                    </w:rPr>
                    <w:t>1</w:t>
                  </w:r>
                </w:p>
              </w:tc>
              <w:tc>
                <w:tcPr>
                  <w:tcW w:w="760" w:type="dxa"/>
                  <w:tcBorders>
                    <w:top w:val="single" w:color="auto" w:sz="6" w:space="0"/>
                    <w:left w:val="single" w:color="auto" w:sz="6" w:space="0"/>
                    <w:bottom w:val="single" w:color="auto" w:sz="6" w:space="0"/>
                    <w:right w:val="single" w:color="auto" w:sz="6" w:space="0"/>
                  </w:tcBorders>
                  <w:vAlign w:val="center"/>
                </w:tcPr>
                <w:p w14:paraId="1990E413">
                  <w:pPr>
                    <w:adjustRightInd w:val="0"/>
                    <w:snapToGrid w:val="0"/>
                    <w:jc w:val="center"/>
                    <w:rPr>
                      <w:color w:val="000000"/>
                      <w:szCs w:val="21"/>
                    </w:rPr>
                  </w:pPr>
                  <w:r>
                    <w:rPr>
                      <w:color w:val="000000"/>
                      <w:szCs w:val="21"/>
                    </w:rPr>
                    <w:t>70-80</w:t>
                  </w:r>
                </w:p>
              </w:tc>
              <w:tc>
                <w:tcPr>
                  <w:tcW w:w="520" w:type="dxa"/>
                  <w:vMerge w:val="continue"/>
                  <w:tcBorders>
                    <w:left w:val="single" w:color="auto" w:sz="6" w:space="0"/>
                    <w:right w:val="single" w:color="auto" w:sz="6" w:space="0"/>
                  </w:tcBorders>
                  <w:vAlign w:val="center"/>
                </w:tcPr>
                <w:p w14:paraId="0472BAE9">
                  <w:pPr>
                    <w:widowControl/>
                    <w:adjustRightInd w:val="0"/>
                    <w:snapToGrid w:val="0"/>
                    <w:jc w:val="center"/>
                    <w:rPr>
                      <w:color w:val="000000"/>
                      <w:szCs w:val="21"/>
                    </w:rPr>
                  </w:pPr>
                </w:p>
              </w:tc>
              <w:tc>
                <w:tcPr>
                  <w:tcW w:w="586" w:type="dxa"/>
                  <w:tcBorders>
                    <w:top w:val="single" w:color="auto" w:sz="6" w:space="0"/>
                    <w:left w:val="single" w:color="auto" w:sz="6" w:space="0"/>
                    <w:bottom w:val="single" w:color="auto" w:sz="6" w:space="0"/>
                    <w:right w:val="single" w:color="auto" w:sz="6" w:space="0"/>
                  </w:tcBorders>
                  <w:vAlign w:val="center"/>
                </w:tcPr>
                <w:p w14:paraId="71C8771E">
                  <w:pPr>
                    <w:pStyle w:val="50"/>
                    <w:spacing w:beforeLines="0" w:line="240" w:lineRule="auto"/>
                    <w:rPr>
                      <w:rFonts w:ascii="Times New Roman" w:hAnsi="Times New Roman"/>
                      <w:bCs/>
                      <w:color w:val="000000"/>
                      <w:szCs w:val="21"/>
                    </w:rPr>
                  </w:pPr>
                  <w:r>
                    <w:rPr>
                      <w:rFonts w:ascii="Times New Roman" w:hAnsi="Times New Roman"/>
                      <w:bCs/>
                      <w:color w:val="000000"/>
                      <w:szCs w:val="21"/>
                    </w:rPr>
                    <w:t>124.42</w:t>
                  </w:r>
                </w:p>
              </w:tc>
              <w:tc>
                <w:tcPr>
                  <w:tcW w:w="534" w:type="dxa"/>
                  <w:tcBorders>
                    <w:top w:val="single" w:color="auto" w:sz="6" w:space="0"/>
                    <w:left w:val="single" w:color="auto" w:sz="6" w:space="0"/>
                    <w:bottom w:val="single" w:color="auto" w:sz="6" w:space="0"/>
                    <w:right w:val="single" w:color="auto" w:sz="6" w:space="0"/>
                  </w:tcBorders>
                  <w:vAlign w:val="center"/>
                </w:tcPr>
                <w:p w14:paraId="7AB1A49C">
                  <w:pPr>
                    <w:pStyle w:val="50"/>
                    <w:spacing w:beforeLines="0" w:line="240" w:lineRule="auto"/>
                    <w:rPr>
                      <w:rFonts w:ascii="Times New Roman" w:hAnsi="Times New Roman"/>
                      <w:bCs/>
                      <w:color w:val="000000"/>
                      <w:szCs w:val="21"/>
                    </w:rPr>
                  </w:pPr>
                  <w:r>
                    <w:rPr>
                      <w:rFonts w:ascii="Times New Roman" w:hAnsi="Times New Roman"/>
                      <w:bCs/>
                      <w:color w:val="000000"/>
                      <w:szCs w:val="21"/>
                    </w:rPr>
                    <w:t>-100.63</w:t>
                  </w:r>
                </w:p>
              </w:tc>
              <w:tc>
                <w:tcPr>
                  <w:tcW w:w="533" w:type="dxa"/>
                  <w:tcBorders>
                    <w:top w:val="single" w:color="auto" w:sz="6" w:space="0"/>
                    <w:left w:val="single" w:color="auto" w:sz="6" w:space="0"/>
                    <w:bottom w:val="single" w:color="auto" w:sz="6" w:space="0"/>
                    <w:right w:val="single" w:color="auto" w:sz="6" w:space="0"/>
                  </w:tcBorders>
                  <w:vAlign w:val="center"/>
                </w:tcPr>
                <w:p w14:paraId="5DA7C48E">
                  <w:pPr>
                    <w:jc w:val="center"/>
                    <w:rPr>
                      <w:szCs w:val="21"/>
                    </w:rPr>
                  </w:pPr>
                  <w:r>
                    <w:rPr>
                      <w:bCs/>
                      <w:color w:val="000000"/>
                      <w:szCs w:val="21"/>
                    </w:rPr>
                    <w:t>1.5</w:t>
                  </w:r>
                </w:p>
              </w:tc>
              <w:tc>
                <w:tcPr>
                  <w:tcW w:w="517" w:type="dxa"/>
                  <w:tcBorders>
                    <w:top w:val="single" w:color="auto" w:sz="6" w:space="0"/>
                    <w:left w:val="single" w:color="auto" w:sz="6" w:space="0"/>
                    <w:bottom w:val="single" w:color="auto" w:sz="6" w:space="0"/>
                    <w:right w:val="single" w:color="auto" w:sz="6" w:space="0"/>
                  </w:tcBorders>
                  <w:vAlign w:val="center"/>
                </w:tcPr>
                <w:p w14:paraId="62AE0D39">
                  <w:pPr>
                    <w:pStyle w:val="50"/>
                    <w:spacing w:beforeLines="0" w:line="240" w:lineRule="auto"/>
                    <w:rPr>
                      <w:rFonts w:ascii="Times New Roman" w:hAnsi="Times New Roman"/>
                      <w:bCs/>
                      <w:color w:val="000000"/>
                      <w:szCs w:val="21"/>
                    </w:rPr>
                  </w:pPr>
                  <w:r>
                    <w:rPr>
                      <w:rFonts w:ascii="Times New Roman" w:hAnsi="Times New Roman"/>
                      <w:bCs/>
                      <w:color w:val="000000"/>
                      <w:szCs w:val="21"/>
                    </w:rPr>
                    <w:t>5</w:t>
                  </w:r>
                </w:p>
              </w:tc>
              <w:tc>
                <w:tcPr>
                  <w:tcW w:w="644" w:type="dxa"/>
                  <w:tcBorders>
                    <w:top w:val="single" w:color="auto" w:sz="6" w:space="0"/>
                    <w:left w:val="single" w:color="auto" w:sz="6" w:space="0"/>
                    <w:bottom w:val="single" w:color="auto" w:sz="6" w:space="0"/>
                    <w:right w:val="single" w:color="auto" w:sz="6" w:space="0"/>
                  </w:tcBorders>
                  <w:vAlign w:val="center"/>
                </w:tcPr>
                <w:p w14:paraId="1B383A35">
                  <w:pPr>
                    <w:jc w:val="center"/>
                    <w:rPr>
                      <w:color w:val="000000"/>
                      <w:kern w:val="0"/>
                      <w:szCs w:val="21"/>
                    </w:rPr>
                  </w:pPr>
                  <w:r>
                    <w:rPr>
                      <w:color w:val="000000"/>
                      <w:kern w:val="0"/>
                      <w:szCs w:val="21"/>
                    </w:rPr>
                    <w:t>60-65</w:t>
                  </w:r>
                </w:p>
              </w:tc>
              <w:tc>
                <w:tcPr>
                  <w:tcW w:w="733" w:type="dxa"/>
                  <w:vMerge w:val="continue"/>
                  <w:tcBorders>
                    <w:left w:val="single" w:color="auto" w:sz="6" w:space="0"/>
                    <w:right w:val="single" w:color="auto" w:sz="6" w:space="0"/>
                  </w:tcBorders>
                  <w:vAlign w:val="center"/>
                </w:tcPr>
                <w:p w14:paraId="6626F648">
                  <w:pPr>
                    <w:widowControl/>
                    <w:adjustRightInd w:val="0"/>
                    <w:snapToGrid w:val="0"/>
                    <w:jc w:val="center"/>
                    <w:rPr>
                      <w:bCs/>
                      <w:color w:val="000000"/>
                      <w:szCs w:val="21"/>
                    </w:rPr>
                  </w:pPr>
                </w:p>
              </w:tc>
              <w:tc>
                <w:tcPr>
                  <w:tcW w:w="644" w:type="dxa"/>
                  <w:tcBorders>
                    <w:top w:val="single" w:color="auto" w:sz="6" w:space="0"/>
                    <w:left w:val="single" w:color="auto" w:sz="6" w:space="0"/>
                    <w:bottom w:val="single" w:color="auto" w:sz="6" w:space="0"/>
                    <w:right w:val="single" w:color="auto" w:sz="6" w:space="0"/>
                  </w:tcBorders>
                  <w:vAlign w:val="center"/>
                </w:tcPr>
                <w:p w14:paraId="2C34A533">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7B5A4E58">
                  <w:pPr>
                    <w:jc w:val="center"/>
                    <w:rPr>
                      <w:bCs/>
                      <w:color w:val="000000"/>
                      <w:szCs w:val="21"/>
                    </w:rPr>
                  </w:pPr>
                  <w:r>
                    <w:rPr>
                      <w:bCs/>
                      <w:color w:val="000000"/>
                      <w:szCs w:val="21"/>
                    </w:rPr>
                    <w:t>50-55</w:t>
                  </w:r>
                </w:p>
              </w:tc>
              <w:tc>
                <w:tcPr>
                  <w:tcW w:w="402" w:type="dxa"/>
                  <w:tcBorders>
                    <w:top w:val="single" w:color="auto" w:sz="6" w:space="0"/>
                    <w:left w:val="single" w:color="auto" w:sz="6" w:space="0"/>
                    <w:bottom w:val="single" w:color="auto" w:sz="6" w:space="0"/>
                    <w:right w:val="single" w:color="auto" w:sz="12" w:space="0"/>
                  </w:tcBorders>
                  <w:vAlign w:val="center"/>
                </w:tcPr>
                <w:p w14:paraId="215D4254">
                  <w:pPr>
                    <w:pStyle w:val="50"/>
                    <w:spacing w:beforeLines="0" w:line="240" w:lineRule="auto"/>
                    <w:rPr>
                      <w:rFonts w:ascii="Times New Roman" w:hAnsi="Times New Roman"/>
                      <w:bCs/>
                      <w:color w:val="000000"/>
                      <w:szCs w:val="21"/>
                    </w:rPr>
                  </w:pPr>
                  <w:r>
                    <w:rPr>
                      <w:rFonts w:ascii="Times New Roman" w:hAnsi="Times New Roman"/>
                      <w:bCs/>
                      <w:color w:val="000000"/>
                      <w:szCs w:val="21"/>
                    </w:rPr>
                    <w:t>1</w:t>
                  </w:r>
                </w:p>
              </w:tc>
            </w:tr>
            <w:tr w14:paraId="309BED4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dxa"/>
                  <w:tcBorders>
                    <w:top w:val="single" w:color="auto" w:sz="6" w:space="0"/>
                    <w:left w:val="single" w:color="auto" w:sz="12" w:space="0"/>
                    <w:bottom w:val="single" w:color="auto" w:sz="6" w:space="0"/>
                    <w:right w:val="single" w:color="auto" w:sz="6" w:space="0"/>
                  </w:tcBorders>
                  <w:vAlign w:val="center"/>
                </w:tcPr>
                <w:p w14:paraId="6BBC49F1">
                  <w:pPr>
                    <w:widowControl/>
                    <w:adjustRightInd w:val="0"/>
                    <w:snapToGrid w:val="0"/>
                    <w:jc w:val="center"/>
                    <w:rPr>
                      <w:bCs/>
                      <w:color w:val="000000"/>
                      <w:szCs w:val="21"/>
                    </w:rPr>
                  </w:pPr>
                  <w:r>
                    <w:rPr>
                      <w:bCs/>
                      <w:color w:val="000000"/>
                      <w:szCs w:val="21"/>
                    </w:rPr>
                    <w:t>10</w:t>
                  </w:r>
                </w:p>
              </w:tc>
              <w:tc>
                <w:tcPr>
                  <w:tcW w:w="431" w:type="dxa"/>
                  <w:vMerge w:val="continue"/>
                  <w:tcBorders>
                    <w:left w:val="single" w:color="auto" w:sz="6" w:space="0"/>
                    <w:right w:val="single" w:color="auto" w:sz="6" w:space="0"/>
                  </w:tcBorders>
                  <w:vAlign w:val="center"/>
                </w:tcPr>
                <w:p w14:paraId="71E79DE9">
                  <w:pPr>
                    <w:jc w:val="center"/>
                    <w:rPr>
                      <w:color w:val="000000"/>
                      <w:szCs w:val="21"/>
                    </w:rPr>
                  </w:pPr>
                </w:p>
              </w:tc>
              <w:tc>
                <w:tcPr>
                  <w:tcW w:w="707" w:type="dxa"/>
                  <w:tcBorders>
                    <w:top w:val="single" w:color="auto" w:sz="6" w:space="0"/>
                    <w:left w:val="single" w:color="auto" w:sz="6" w:space="0"/>
                    <w:bottom w:val="single" w:color="auto" w:sz="6" w:space="0"/>
                    <w:right w:val="single" w:color="auto" w:sz="6" w:space="0"/>
                  </w:tcBorders>
                  <w:vAlign w:val="center"/>
                </w:tcPr>
                <w:p w14:paraId="5DD58ED2">
                  <w:pPr>
                    <w:jc w:val="center"/>
                    <w:rPr>
                      <w:color w:val="000000"/>
                      <w:szCs w:val="21"/>
                    </w:rPr>
                  </w:pPr>
                  <w:r>
                    <w:rPr>
                      <w:color w:val="000000"/>
                      <w:szCs w:val="21"/>
                    </w:rPr>
                    <w:t>分级出料输送机 1</w:t>
                  </w:r>
                </w:p>
              </w:tc>
              <w:tc>
                <w:tcPr>
                  <w:tcW w:w="480" w:type="dxa"/>
                  <w:tcBorders>
                    <w:top w:val="single" w:color="auto" w:sz="6" w:space="0"/>
                    <w:left w:val="single" w:color="auto" w:sz="6" w:space="0"/>
                    <w:bottom w:val="single" w:color="auto" w:sz="6" w:space="0"/>
                    <w:right w:val="single" w:color="auto" w:sz="6" w:space="0"/>
                  </w:tcBorders>
                  <w:vAlign w:val="center"/>
                </w:tcPr>
                <w:p w14:paraId="07A7ECD0">
                  <w:pPr>
                    <w:jc w:val="center"/>
                    <w:rPr>
                      <w:color w:val="000000"/>
                      <w:szCs w:val="21"/>
                    </w:rPr>
                  </w:pPr>
                  <w:r>
                    <w:rPr>
                      <w:color w:val="000000"/>
                      <w:szCs w:val="21"/>
                    </w:rPr>
                    <w:t>1</w:t>
                  </w:r>
                </w:p>
              </w:tc>
              <w:tc>
                <w:tcPr>
                  <w:tcW w:w="760" w:type="dxa"/>
                  <w:tcBorders>
                    <w:top w:val="single" w:color="auto" w:sz="6" w:space="0"/>
                    <w:left w:val="single" w:color="auto" w:sz="6" w:space="0"/>
                    <w:bottom w:val="single" w:color="auto" w:sz="6" w:space="0"/>
                    <w:right w:val="single" w:color="auto" w:sz="6" w:space="0"/>
                  </w:tcBorders>
                  <w:vAlign w:val="center"/>
                </w:tcPr>
                <w:p w14:paraId="741295BF">
                  <w:pPr>
                    <w:adjustRightInd w:val="0"/>
                    <w:snapToGrid w:val="0"/>
                    <w:jc w:val="center"/>
                    <w:rPr>
                      <w:color w:val="000000"/>
                      <w:szCs w:val="21"/>
                    </w:rPr>
                  </w:pPr>
                  <w:r>
                    <w:rPr>
                      <w:color w:val="000000"/>
                      <w:szCs w:val="21"/>
                    </w:rPr>
                    <w:t>70-80</w:t>
                  </w:r>
                </w:p>
              </w:tc>
              <w:tc>
                <w:tcPr>
                  <w:tcW w:w="520" w:type="dxa"/>
                  <w:vMerge w:val="continue"/>
                  <w:tcBorders>
                    <w:left w:val="single" w:color="auto" w:sz="6" w:space="0"/>
                    <w:right w:val="single" w:color="auto" w:sz="6" w:space="0"/>
                  </w:tcBorders>
                  <w:vAlign w:val="center"/>
                </w:tcPr>
                <w:p w14:paraId="43FCE8B1">
                  <w:pPr>
                    <w:widowControl/>
                    <w:adjustRightInd w:val="0"/>
                    <w:snapToGrid w:val="0"/>
                    <w:jc w:val="center"/>
                    <w:rPr>
                      <w:color w:val="000000"/>
                      <w:szCs w:val="21"/>
                    </w:rPr>
                  </w:pPr>
                </w:p>
              </w:tc>
              <w:tc>
                <w:tcPr>
                  <w:tcW w:w="586" w:type="dxa"/>
                  <w:tcBorders>
                    <w:top w:val="single" w:color="auto" w:sz="6" w:space="0"/>
                    <w:left w:val="single" w:color="auto" w:sz="6" w:space="0"/>
                    <w:bottom w:val="single" w:color="auto" w:sz="6" w:space="0"/>
                    <w:right w:val="single" w:color="auto" w:sz="6" w:space="0"/>
                  </w:tcBorders>
                  <w:vAlign w:val="center"/>
                </w:tcPr>
                <w:p w14:paraId="3F8E6B29">
                  <w:pPr>
                    <w:pStyle w:val="50"/>
                    <w:spacing w:beforeLines="0" w:line="240" w:lineRule="auto"/>
                    <w:rPr>
                      <w:rFonts w:ascii="Times New Roman" w:hAnsi="Times New Roman"/>
                      <w:bCs/>
                      <w:color w:val="000000"/>
                      <w:szCs w:val="21"/>
                    </w:rPr>
                  </w:pPr>
                  <w:r>
                    <w:rPr>
                      <w:rFonts w:ascii="Times New Roman" w:hAnsi="Times New Roman"/>
                      <w:bCs/>
                      <w:color w:val="000000"/>
                      <w:szCs w:val="21"/>
                    </w:rPr>
                    <w:t>134.88</w:t>
                  </w:r>
                </w:p>
              </w:tc>
              <w:tc>
                <w:tcPr>
                  <w:tcW w:w="534" w:type="dxa"/>
                  <w:tcBorders>
                    <w:top w:val="single" w:color="auto" w:sz="6" w:space="0"/>
                    <w:left w:val="single" w:color="auto" w:sz="6" w:space="0"/>
                    <w:bottom w:val="single" w:color="auto" w:sz="6" w:space="0"/>
                    <w:right w:val="single" w:color="auto" w:sz="6" w:space="0"/>
                  </w:tcBorders>
                  <w:vAlign w:val="center"/>
                </w:tcPr>
                <w:p w14:paraId="5914A4FA">
                  <w:pPr>
                    <w:pStyle w:val="50"/>
                    <w:spacing w:beforeLines="0" w:line="240" w:lineRule="auto"/>
                    <w:rPr>
                      <w:rFonts w:ascii="Times New Roman" w:hAnsi="Times New Roman"/>
                      <w:bCs/>
                      <w:color w:val="000000"/>
                      <w:szCs w:val="21"/>
                    </w:rPr>
                  </w:pPr>
                  <w:r>
                    <w:rPr>
                      <w:rFonts w:ascii="Times New Roman" w:hAnsi="Times New Roman"/>
                      <w:bCs/>
                      <w:color w:val="000000"/>
                      <w:szCs w:val="21"/>
                    </w:rPr>
                    <w:t>-102.44</w:t>
                  </w:r>
                </w:p>
              </w:tc>
              <w:tc>
                <w:tcPr>
                  <w:tcW w:w="533" w:type="dxa"/>
                  <w:tcBorders>
                    <w:top w:val="single" w:color="auto" w:sz="6" w:space="0"/>
                    <w:left w:val="single" w:color="auto" w:sz="6" w:space="0"/>
                    <w:bottom w:val="single" w:color="auto" w:sz="6" w:space="0"/>
                    <w:right w:val="single" w:color="auto" w:sz="6" w:space="0"/>
                  </w:tcBorders>
                  <w:vAlign w:val="center"/>
                </w:tcPr>
                <w:p w14:paraId="744AF668">
                  <w:pPr>
                    <w:jc w:val="center"/>
                    <w:rPr>
                      <w:szCs w:val="21"/>
                    </w:rPr>
                  </w:pPr>
                  <w:r>
                    <w:rPr>
                      <w:bCs/>
                      <w:color w:val="000000"/>
                      <w:szCs w:val="21"/>
                    </w:rPr>
                    <w:t>1.5</w:t>
                  </w:r>
                </w:p>
              </w:tc>
              <w:tc>
                <w:tcPr>
                  <w:tcW w:w="517" w:type="dxa"/>
                  <w:tcBorders>
                    <w:top w:val="single" w:color="auto" w:sz="6" w:space="0"/>
                    <w:left w:val="single" w:color="auto" w:sz="6" w:space="0"/>
                    <w:bottom w:val="single" w:color="auto" w:sz="6" w:space="0"/>
                    <w:right w:val="single" w:color="auto" w:sz="6" w:space="0"/>
                  </w:tcBorders>
                  <w:vAlign w:val="center"/>
                </w:tcPr>
                <w:p w14:paraId="5D90AD2A">
                  <w:pPr>
                    <w:pStyle w:val="50"/>
                    <w:spacing w:beforeLines="0" w:line="240" w:lineRule="auto"/>
                    <w:rPr>
                      <w:rFonts w:ascii="Times New Roman" w:hAnsi="Times New Roman"/>
                      <w:bCs/>
                      <w:color w:val="000000"/>
                      <w:szCs w:val="21"/>
                    </w:rPr>
                  </w:pPr>
                  <w:r>
                    <w:rPr>
                      <w:rFonts w:ascii="Times New Roman" w:hAnsi="Times New Roman"/>
                      <w:bCs/>
                      <w:color w:val="000000"/>
                      <w:szCs w:val="21"/>
                    </w:rPr>
                    <w:t>5</w:t>
                  </w:r>
                </w:p>
              </w:tc>
              <w:tc>
                <w:tcPr>
                  <w:tcW w:w="644" w:type="dxa"/>
                  <w:tcBorders>
                    <w:top w:val="single" w:color="auto" w:sz="6" w:space="0"/>
                    <w:left w:val="single" w:color="auto" w:sz="6" w:space="0"/>
                    <w:bottom w:val="single" w:color="auto" w:sz="6" w:space="0"/>
                    <w:right w:val="single" w:color="auto" w:sz="6" w:space="0"/>
                  </w:tcBorders>
                  <w:vAlign w:val="center"/>
                </w:tcPr>
                <w:p w14:paraId="59960A12">
                  <w:pPr>
                    <w:jc w:val="center"/>
                    <w:rPr>
                      <w:color w:val="000000"/>
                      <w:kern w:val="0"/>
                      <w:szCs w:val="21"/>
                    </w:rPr>
                  </w:pPr>
                  <w:r>
                    <w:rPr>
                      <w:color w:val="000000"/>
                      <w:kern w:val="0"/>
                      <w:szCs w:val="21"/>
                    </w:rPr>
                    <w:t>60-65</w:t>
                  </w:r>
                </w:p>
              </w:tc>
              <w:tc>
                <w:tcPr>
                  <w:tcW w:w="733" w:type="dxa"/>
                  <w:vMerge w:val="continue"/>
                  <w:tcBorders>
                    <w:left w:val="single" w:color="auto" w:sz="6" w:space="0"/>
                    <w:right w:val="single" w:color="auto" w:sz="6" w:space="0"/>
                  </w:tcBorders>
                  <w:vAlign w:val="center"/>
                </w:tcPr>
                <w:p w14:paraId="57BB58BB">
                  <w:pPr>
                    <w:widowControl/>
                    <w:adjustRightInd w:val="0"/>
                    <w:snapToGrid w:val="0"/>
                    <w:jc w:val="center"/>
                    <w:rPr>
                      <w:bCs/>
                      <w:color w:val="000000"/>
                      <w:szCs w:val="21"/>
                    </w:rPr>
                  </w:pPr>
                </w:p>
              </w:tc>
              <w:tc>
                <w:tcPr>
                  <w:tcW w:w="644" w:type="dxa"/>
                  <w:tcBorders>
                    <w:top w:val="single" w:color="auto" w:sz="6" w:space="0"/>
                    <w:left w:val="single" w:color="auto" w:sz="6" w:space="0"/>
                    <w:bottom w:val="single" w:color="auto" w:sz="6" w:space="0"/>
                    <w:right w:val="single" w:color="auto" w:sz="6" w:space="0"/>
                  </w:tcBorders>
                  <w:vAlign w:val="center"/>
                </w:tcPr>
                <w:p w14:paraId="469D4D70">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38B17123">
                  <w:pPr>
                    <w:jc w:val="center"/>
                    <w:rPr>
                      <w:bCs/>
                      <w:color w:val="000000"/>
                      <w:szCs w:val="21"/>
                    </w:rPr>
                  </w:pPr>
                  <w:r>
                    <w:rPr>
                      <w:bCs/>
                      <w:color w:val="000000"/>
                      <w:szCs w:val="21"/>
                    </w:rPr>
                    <w:t>50-55</w:t>
                  </w:r>
                </w:p>
              </w:tc>
              <w:tc>
                <w:tcPr>
                  <w:tcW w:w="402" w:type="dxa"/>
                  <w:tcBorders>
                    <w:top w:val="single" w:color="auto" w:sz="6" w:space="0"/>
                    <w:left w:val="single" w:color="auto" w:sz="6" w:space="0"/>
                    <w:bottom w:val="single" w:color="auto" w:sz="6" w:space="0"/>
                    <w:right w:val="single" w:color="auto" w:sz="12" w:space="0"/>
                  </w:tcBorders>
                  <w:vAlign w:val="center"/>
                </w:tcPr>
                <w:p w14:paraId="7A03E7F7">
                  <w:pPr>
                    <w:pStyle w:val="50"/>
                    <w:spacing w:beforeLines="0" w:line="240" w:lineRule="auto"/>
                    <w:rPr>
                      <w:rFonts w:ascii="Times New Roman" w:hAnsi="Times New Roman"/>
                      <w:bCs/>
                      <w:color w:val="000000"/>
                      <w:szCs w:val="21"/>
                    </w:rPr>
                  </w:pPr>
                  <w:r>
                    <w:rPr>
                      <w:rFonts w:ascii="Times New Roman" w:hAnsi="Times New Roman"/>
                      <w:bCs/>
                      <w:color w:val="000000"/>
                      <w:szCs w:val="21"/>
                    </w:rPr>
                    <w:t>1</w:t>
                  </w:r>
                </w:p>
              </w:tc>
            </w:tr>
            <w:tr w14:paraId="2A2FCD1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dxa"/>
                  <w:tcBorders>
                    <w:top w:val="single" w:color="auto" w:sz="6" w:space="0"/>
                    <w:left w:val="single" w:color="auto" w:sz="12" w:space="0"/>
                    <w:bottom w:val="single" w:color="auto" w:sz="6" w:space="0"/>
                    <w:right w:val="single" w:color="auto" w:sz="6" w:space="0"/>
                  </w:tcBorders>
                  <w:vAlign w:val="center"/>
                </w:tcPr>
                <w:p w14:paraId="446D77ED">
                  <w:pPr>
                    <w:widowControl/>
                    <w:adjustRightInd w:val="0"/>
                    <w:snapToGrid w:val="0"/>
                    <w:jc w:val="center"/>
                    <w:rPr>
                      <w:bCs/>
                      <w:color w:val="000000"/>
                      <w:szCs w:val="21"/>
                    </w:rPr>
                  </w:pPr>
                  <w:r>
                    <w:rPr>
                      <w:bCs/>
                      <w:color w:val="000000"/>
                      <w:szCs w:val="21"/>
                    </w:rPr>
                    <w:t>11</w:t>
                  </w:r>
                </w:p>
              </w:tc>
              <w:tc>
                <w:tcPr>
                  <w:tcW w:w="431" w:type="dxa"/>
                  <w:vMerge w:val="continue"/>
                  <w:tcBorders>
                    <w:left w:val="single" w:color="auto" w:sz="6" w:space="0"/>
                    <w:right w:val="single" w:color="auto" w:sz="6" w:space="0"/>
                  </w:tcBorders>
                  <w:vAlign w:val="center"/>
                </w:tcPr>
                <w:p w14:paraId="296B1251">
                  <w:pPr>
                    <w:widowControl/>
                    <w:jc w:val="center"/>
                    <w:rPr>
                      <w:color w:val="000000"/>
                      <w:kern w:val="0"/>
                      <w:szCs w:val="21"/>
                    </w:rPr>
                  </w:pPr>
                </w:p>
              </w:tc>
              <w:tc>
                <w:tcPr>
                  <w:tcW w:w="707" w:type="dxa"/>
                  <w:tcBorders>
                    <w:top w:val="single" w:color="auto" w:sz="6" w:space="0"/>
                    <w:left w:val="single" w:color="auto" w:sz="6" w:space="0"/>
                    <w:bottom w:val="single" w:color="auto" w:sz="6" w:space="0"/>
                    <w:right w:val="single" w:color="auto" w:sz="6" w:space="0"/>
                  </w:tcBorders>
                  <w:vAlign w:val="center"/>
                </w:tcPr>
                <w:p w14:paraId="75307A56">
                  <w:pPr>
                    <w:widowControl/>
                    <w:jc w:val="center"/>
                    <w:rPr>
                      <w:color w:val="000000"/>
                      <w:kern w:val="0"/>
                      <w:szCs w:val="21"/>
                    </w:rPr>
                  </w:pPr>
                  <w:r>
                    <w:rPr>
                      <w:color w:val="000000"/>
                      <w:szCs w:val="21"/>
                    </w:rPr>
                    <w:t>分级出料双层输送机</w:t>
                  </w:r>
                </w:p>
              </w:tc>
              <w:tc>
                <w:tcPr>
                  <w:tcW w:w="480" w:type="dxa"/>
                  <w:tcBorders>
                    <w:top w:val="single" w:color="auto" w:sz="6" w:space="0"/>
                    <w:left w:val="single" w:color="auto" w:sz="6" w:space="0"/>
                    <w:bottom w:val="single" w:color="auto" w:sz="6" w:space="0"/>
                    <w:right w:val="single" w:color="auto" w:sz="6" w:space="0"/>
                  </w:tcBorders>
                  <w:vAlign w:val="center"/>
                </w:tcPr>
                <w:p w14:paraId="7486E781">
                  <w:pPr>
                    <w:jc w:val="center"/>
                    <w:rPr>
                      <w:color w:val="000000"/>
                      <w:szCs w:val="21"/>
                    </w:rPr>
                  </w:pPr>
                  <w:r>
                    <w:rPr>
                      <w:color w:val="000000"/>
                      <w:szCs w:val="21"/>
                    </w:rPr>
                    <w:t>1</w:t>
                  </w:r>
                </w:p>
              </w:tc>
              <w:tc>
                <w:tcPr>
                  <w:tcW w:w="760" w:type="dxa"/>
                  <w:tcBorders>
                    <w:top w:val="single" w:color="auto" w:sz="6" w:space="0"/>
                    <w:left w:val="single" w:color="auto" w:sz="6" w:space="0"/>
                    <w:bottom w:val="single" w:color="auto" w:sz="6" w:space="0"/>
                    <w:right w:val="single" w:color="auto" w:sz="6" w:space="0"/>
                  </w:tcBorders>
                  <w:vAlign w:val="center"/>
                </w:tcPr>
                <w:p w14:paraId="3DF2169E">
                  <w:pPr>
                    <w:adjustRightInd w:val="0"/>
                    <w:snapToGrid w:val="0"/>
                    <w:jc w:val="center"/>
                    <w:rPr>
                      <w:color w:val="000000"/>
                      <w:szCs w:val="21"/>
                    </w:rPr>
                  </w:pPr>
                  <w:r>
                    <w:rPr>
                      <w:color w:val="000000"/>
                      <w:szCs w:val="21"/>
                    </w:rPr>
                    <w:t>70-80</w:t>
                  </w:r>
                </w:p>
              </w:tc>
              <w:tc>
                <w:tcPr>
                  <w:tcW w:w="520" w:type="dxa"/>
                  <w:vMerge w:val="continue"/>
                  <w:tcBorders>
                    <w:left w:val="single" w:color="auto" w:sz="6" w:space="0"/>
                    <w:right w:val="single" w:color="auto" w:sz="6" w:space="0"/>
                  </w:tcBorders>
                  <w:vAlign w:val="center"/>
                </w:tcPr>
                <w:p w14:paraId="5CB85399">
                  <w:pPr>
                    <w:widowControl/>
                    <w:adjustRightInd w:val="0"/>
                    <w:snapToGrid w:val="0"/>
                    <w:jc w:val="center"/>
                    <w:rPr>
                      <w:color w:val="000000"/>
                      <w:szCs w:val="21"/>
                    </w:rPr>
                  </w:pPr>
                </w:p>
              </w:tc>
              <w:tc>
                <w:tcPr>
                  <w:tcW w:w="586" w:type="dxa"/>
                  <w:tcBorders>
                    <w:top w:val="single" w:color="auto" w:sz="6" w:space="0"/>
                    <w:left w:val="single" w:color="auto" w:sz="6" w:space="0"/>
                    <w:bottom w:val="single" w:color="auto" w:sz="6" w:space="0"/>
                    <w:right w:val="single" w:color="auto" w:sz="6" w:space="0"/>
                  </w:tcBorders>
                  <w:vAlign w:val="center"/>
                </w:tcPr>
                <w:p w14:paraId="0546AC0D">
                  <w:pPr>
                    <w:pStyle w:val="50"/>
                    <w:spacing w:beforeLines="0" w:line="240" w:lineRule="auto"/>
                    <w:rPr>
                      <w:rFonts w:ascii="Times New Roman" w:hAnsi="Times New Roman"/>
                      <w:bCs/>
                      <w:color w:val="000000"/>
                      <w:szCs w:val="21"/>
                    </w:rPr>
                  </w:pPr>
                  <w:r>
                    <w:rPr>
                      <w:rFonts w:ascii="Times New Roman" w:hAnsi="Times New Roman"/>
                      <w:bCs/>
                      <w:color w:val="000000"/>
                      <w:szCs w:val="21"/>
                    </w:rPr>
                    <w:t>156.01</w:t>
                  </w:r>
                </w:p>
              </w:tc>
              <w:tc>
                <w:tcPr>
                  <w:tcW w:w="534" w:type="dxa"/>
                  <w:tcBorders>
                    <w:top w:val="single" w:color="auto" w:sz="6" w:space="0"/>
                    <w:left w:val="single" w:color="auto" w:sz="6" w:space="0"/>
                    <w:bottom w:val="single" w:color="auto" w:sz="6" w:space="0"/>
                    <w:right w:val="single" w:color="auto" w:sz="6" w:space="0"/>
                  </w:tcBorders>
                  <w:vAlign w:val="center"/>
                </w:tcPr>
                <w:p w14:paraId="57F7725D">
                  <w:pPr>
                    <w:pStyle w:val="50"/>
                    <w:spacing w:beforeLines="0" w:line="240" w:lineRule="auto"/>
                    <w:rPr>
                      <w:rFonts w:ascii="Times New Roman" w:hAnsi="Times New Roman"/>
                      <w:bCs/>
                      <w:color w:val="000000"/>
                      <w:szCs w:val="21"/>
                    </w:rPr>
                  </w:pPr>
                  <w:r>
                    <w:rPr>
                      <w:rFonts w:ascii="Times New Roman" w:hAnsi="Times New Roman"/>
                      <w:bCs/>
                      <w:color w:val="000000"/>
                      <w:szCs w:val="21"/>
                    </w:rPr>
                    <w:t>-103.44</w:t>
                  </w:r>
                </w:p>
              </w:tc>
              <w:tc>
                <w:tcPr>
                  <w:tcW w:w="533" w:type="dxa"/>
                  <w:tcBorders>
                    <w:top w:val="single" w:color="auto" w:sz="6" w:space="0"/>
                    <w:left w:val="single" w:color="auto" w:sz="6" w:space="0"/>
                    <w:bottom w:val="single" w:color="auto" w:sz="6" w:space="0"/>
                    <w:right w:val="single" w:color="auto" w:sz="6" w:space="0"/>
                  </w:tcBorders>
                  <w:vAlign w:val="center"/>
                </w:tcPr>
                <w:p w14:paraId="4B14880E">
                  <w:pPr>
                    <w:jc w:val="center"/>
                    <w:rPr>
                      <w:szCs w:val="21"/>
                    </w:rPr>
                  </w:pPr>
                  <w:r>
                    <w:rPr>
                      <w:bCs/>
                      <w:color w:val="000000"/>
                      <w:szCs w:val="21"/>
                    </w:rPr>
                    <w:t>1.5</w:t>
                  </w:r>
                </w:p>
              </w:tc>
              <w:tc>
                <w:tcPr>
                  <w:tcW w:w="517" w:type="dxa"/>
                  <w:tcBorders>
                    <w:top w:val="single" w:color="auto" w:sz="6" w:space="0"/>
                    <w:left w:val="single" w:color="auto" w:sz="6" w:space="0"/>
                    <w:bottom w:val="single" w:color="auto" w:sz="6" w:space="0"/>
                    <w:right w:val="single" w:color="auto" w:sz="6" w:space="0"/>
                  </w:tcBorders>
                  <w:vAlign w:val="center"/>
                </w:tcPr>
                <w:p w14:paraId="3C557320">
                  <w:pPr>
                    <w:pStyle w:val="50"/>
                    <w:spacing w:beforeLines="0" w:line="240" w:lineRule="auto"/>
                    <w:rPr>
                      <w:rFonts w:ascii="Times New Roman" w:hAnsi="Times New Roman"/>
                      <w:bCs/>
                      <w:color w:val="000000"/>
                      <w:szCs w:val="21"/>
                    </w:rPr>
                  </w:pPr>
                  <w:r>
                    <w:rPr>
                      <w:rFonts w:ascii="Times New Roman" w:hAnsi="Times New Roman"/>
                      <w:bCs/>
                      <w:color w:val="000000"/>
                      <w:szCs w:val="21"/>
                    </w:rPr>
                    <w:t>5</w:t>
                  </w:r>
                </w:p>
              </w:tc>
              <w:tc>
                <w:tcPr>
                  <w:tcW w:w="644" w:type="dxa"/>
                  <w:tcBorders>
                    <w:top w:val="single" w:color="auto" w:sz="6" w:space="0"/>
                    <w:left w:val="single" w:color="auto" w:sz="6" w:space="0"/>
                    <w:bottom w:val="single" w:color="auto" w:sz="6" w:space="0"/>
                    <w:right w:val="single" w:color="auto" w:sz="6" w:space="0"/>
                  </w:tcBorders>
                  <w:vAlign w:val="center"/>
                </w:tcPr>
                <w:p w14:paraId="2700B59F">
                  <w:pPr>
                    <w:pStyle w:val="50"/>
                    <w:spacing w:beforeLines="0" w:line="240" w:lineRule="auto"/>
                    <w:rPr>
                      <w:rFonts w:ascii="Times New Roman" w:hAnsi="Times New Roman"/>
                      <w:color w:val="000000"/>
                      <w:kern w:val="0"/>
                      <w:szCs w:val="21"/>
                    </w:rPr>
                  </w:pPr>
                  <w:r>
                    <w:rPr>
                      <w:rFonts w:ascii="Times New Roman" w:hAnsi="Times New Roman"/>
                      <w:color w:val="000000"/>
                      <w:kern w:val="0"/>
                      <w:szCs w:val="21"/>
                    </w:rPr>
                    <w:t>60-65</w:t>
                  </w:r>
                </w:p>
              </w:tc>
              <w:tc>
                <w:tcPr>
                  <w:tcW w:w="733" w:type="dxa"/>
                  <w:vMerge w:val="continue"/>
                  <w:tcBorders>
                    <w:left w:val="single" w:color="auto" w:sz="6" w:space="0"/>
                    <w:right w:val="single" w:color="auto" w:sz="6" w:space="0"/>
                  </w:tcBorders>
                  <w:vAlign w:val="center"/>
                </w:tcPr>
                <w:p w14:paraId="287D7AC8">
                  <w:pPr>
                    <w:widowControl/>
                    <w:adjustRightInd w:val="0"/>
                    <w:snapToGrid w:val="0"/>
                    <w:jc w:val="center"/>
                    <w:rPr>
                      <w:bCs/>
                      <w:color w:val="000000"/>
                      <w:szCs w:val="21"/>
                    </w:rPr>
                  </w:pPr>
                </w:p>
              </w:tc>
              <w:tc>
                <w:tcPr>
                  <w:tcW w:w="644" w:type="dxa"/>
                  <w:tcBorders>
                    <w:top w:val="single" w:color="auto" w:sz="6" w:space="0"/>
                    <w:left w:val="single" w:color="auto" w:sz="6" w:space="0"/>
                    <w:bottom w:val="single" w:color="auto" w:sz="6" w:space="0"/>
                    <w:right w:val="single" w:color="auto" w:sz="6" w:space="0"/>
                  </w:tcBorders>
                  <w:vAlign w:val="center"/>
                </w:tcPr>
                <w:p w14:paraId="529321F7">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6F2F3520">
                  <w:pPr>
                    <w:pStyle w:val="50"/>
                    <w:spacing w:beforeLines="0" w:line="240" w:lineRule="auto"/>
                    <w:rPr>
                      <w:rFonts w:ascii="Times New Roman" w:hAnsi="Times New Roman"/>
                      <w:bCs/>
                      <w:color w:val="000000"/>
                      <w:szCs w:val="21"/>
                    </w:rPr>
                  </w:pPr>
                  <w:r>
                    <w:rPr>
                      <w:rFonts w:ascii="Times New Roman" w:hAnsi="Times New Roman"/>
                      <w:bCs/>
                      <w:color w:val="000000"/>
                      <w:szCs w:val="21"/>
                    </w:rPr>
                    <w:t>50-55</w:t>
                  </w:r>
                </w:p>
              </w:tc>
              <w:tc>
                <w:tcPr>
                  <w:tcW w:w="402" w:type="dxa"/>
                  <w:tcBorders>
                    <w:top w:val="single" w:color="auto" w:sz="6" w:space="0"/>
                    <w:left w:val="single" w:color="auto" w:sz="6" w:space="0"/>
                    <w:bottom w:val="single" w:color="auto" w:sz="6" w:space="0"/>
                    <w:right w:val="single" w:color="auto" w:sz="12" w:space="0"/>
                  </w:tcBorders>
                  <w:vAlign w:val="center"/>
                </w:tcPr>
                <w:p w14:paraId="42158F16">
                  <w:pPr>
                    <w:pStyle w:val="50"/>
                    <w:spacing w:beforeLines="0" w:line="240" w:lineRule="auto"/>
                    <w:rPr>
                      <w:rFonts w:ascii="Times New Roman" w:hAnsi="Times New Roman"/>
                      <w:bCs/>
                      <w:color w:val="000000"/>
                      <w:szCs w:val="21"/>
                    </w:rPr>
                  </w:pPr>
                  <w:r>
                    <w:rPr>
                      <w:rFonts w:ascii="Times New Roman" w:hAnsi="Times New Roman"/>
                      <w:bCs/>
                      <w:color w:val="000000"/>
                      <w:szCs w:val="21"/>
                    </w:rPr>
                    <w:t>1</w:t>
                  </w:r>
                </w:p>
              </w:tc>
            </w:tr>
            <w:tr w14:paraId="4B31D1F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dxa"/>
                  <w:tcBorders>
                    <w:top w:val="single" w:color="auto" w:sz="6" w:space="0"/>
                    <w:left w:val="single" w:color="auto" w:sz="12" w:space="0"/>
                    <w:bottom w:val="single" w:color="auto" w:sz="6" w:space="0"/>
                    <w:right w:val="single" w:color="auto" w:sz="6" w:space="0"/>
                  </w:tcBorders>
                  <w:vAlign w:val="center"/>
                </w:tcPr>
                <w:p w14:paraId="6323C11F">
                  <w:pPr>
                    <w:widowControl/>
                    <w:adjustRightInd w:val="0"/>
                    <w:snapToGrid w:val="0"/>
                    <w:jc w:val="center"/>
                    <w:rPr>
                      <w:bCs/>
                      <w:color w:val="000000"/>
                      <w:szCs w:val="21"/>
                    </w:rPr>
                  </w:pPr>
                  <w:r>
                    <w:rPr>
                      <w:bCs/>
                      <w:color w:val="000000"/>
                      <w:szCs w:val="21"/>
                    </w:rPr>
                    <w:t>12</w:t>
                  </w:r>
                </w:p>
              </w:tc>
              <w:tc>
                <w:tcPr>
                  <w:tcW w:w="431" w:type="dxa"/>
                  <w:vMerge w:val="continue"/>
                  <w:tcBorders>
                    <w:left w:val="single" w:color="auto" w:sz="6" w:space="0"/>
                    <w:right w:val="single" w:color="auto" w:sz="6" w:space="0"/>
                  </w:tcBorders>
                  <w:vAlign w:val="center"/>
                </w:tcPr>
                <w:p w14:paraId="66A69685">
                  <w:pPr>
                    <w:jc w:val="center"/>
                    <w:rPr>
                      <w:color w:val="000000"/>
                      <w:szCs w:val="21"/>
                    </w:rPr>
                  </w:pPr>
                </w:p>
              </w:tc>
              <w:tc>
                <w:tcPr>
                  <w:tcW w:w="707" w:type="dxa"/>
                  <w:tcBorders>
                    <w:top w:val="single" w:color="auto" w:sz="6" w:space="0"/>
                    <w:left w:val="single" w:color="auto" w:sz="6" w:space="0"/>
                    <w:bottom w:val="single" w:color="auto" w:sz="6" w:space="0"/>
                    <w:right w:val="single" w:color="auto" w:sz="6" w:space="0"/>
                  </w:tcBorders>
                  <w:vAlign w:val="center"/>
                </w:tcPr>
                <w:p w14:paraId="47E01351">
                  <w:pPr>
                    <w:jc w:val="center"/>
                    <w:rPr>
                      <w:color w:val="000000"/>
                      <w:szCs w:val="21"/>
                    </w:rPr>
                  </w:pPr>
                  <w:r>
                    <w:rPr>
                      <w:color w:val="000000"/>
                      <w:szCs w:val="21"/>
                    </w:rPr>
                    <w:t>切块清洗机</w:t>
                  </w:r>
                </w:p>
              </w:tc>
              <w:tc>
                <w:tcPr>
                  <w:tcW w:w="480" w:type="dxa"/>
                  <w:tcBorders>
                    <w:top w:val="single" w:color="auto" w:sz="6" w:space="0"/>
                    <w:left w:val="single" w:color="auto" w:sz="6" w:space="0"/>
                    <w:bottom w:val="single" w:color="auto" w:sz="6" w:space="0"/>
                    <w:right w:val="single" w:color="auto" w:sz="6" w:space="0"/>
                  </w:tcBorders>
                  <w:vAlign w:val="center"/>
                </w:tcPr>
                <w:p w14:paraId="4AC82899">
                  <w:pPr>
                    <w:jc w:val="center"/>
                    <w:rPr>
                      <w:color w:val="000000"/>
                      <w:szCs w:val="21"/>
                    </w:rPr>
                  </w:pPr>
                  <w:r>
                    <w:rPr>
                      <w:color w:val="000000"/>
                      <w:szCs w:val="21"/>
                    </w:rPr>
                    <w:t>2</w:t>
                  </w:r>
                </w:p>
              </w:tc>
              <w:tc>
                <w:tcPr>
                  <w:tcW w:w="760" w:type="dxa"/>
                  <w:tcBorders>
                    <w:top w:val="single" w:color="auto" w:sz="6" w:space="0"/>
                    <w:left w:val="single" w:color="auto" w:sz="6" w:space="0"/>
                    <w:bottom w:val="single" w:color="auto" w:sz="6" w:space="0"/>
                    <w:right w:val="single" w:color="auto" w:sz="6" w:space="0"/>
                  </w:tcBorders>
                  <w:vAlign w:val="center"/>
                </w:tcPr>
                <w:p w14:paraId="6A4D3E33">
                  <w:pPr>
                    <w:adjustRightInd w:val="0"/>
                    <w:snapToGrid w:val="0"/>
                    <w:jc w:val="center"/>
                    <w:rPr>
                      <w:color w:val="000000"/>
                      <w:szCs w:val="21"/>
                    </w:rPr>
                  </w:pPr>
                  <w:r>
                    <w:rPr>
                      <w:color w:val="000000"/>
                      <w:szCs w:val="21"/>
                    </w:rPr>
                    <w:t>70-75</w:t>
                  </w:r>
                </w:p>
              </w:tc>
              <w:tc>
                <w:tcPr>
                  <w:tcW w:w="520" w:type="dxa"/>
                  <w:vMerge w:val="continue"/>
                  <w:tcBorders>
                    <w:left w:val="single" w:color="auto" w:sz="6" w:space="0"/>
                    <w:right w:val="single" w:color="auto" w:sz="6" w:space="0"/>
                  </w:tcBorders>
                  <w:vAlign w:val="center"/>
                </w:tcPr>
                <w:p w14:paraId="57EC3C1D">
                  <w:pPr>
                    <w:widowControl/>
                    <w:adjustRightInd w:val="0"/>
                    <w:snapToGrid w:val="0"/>
                    <w:jc w:val="center"/>
                    <w:rPr>
                      <w:color w:val="000000"/>
                      <w:szCs w:val="21"/>
                    </w:rPr>
                  </w:pPr>
                </w:p>
              </w:tc>
              <w:tc>
                <w:tcPr>
                  <w:tcW w:w="586" w:type="dxa"/>
                  <w:tcBorders>
                    <w:top w:val="single" w:color="auto" w:sz="6" w:space="0"/>
                    <w:left w:val="single" w:color="auto" w:sz="6" w:space="0"/>
                    <w:bottom w:val="single" w:color="auto" w:sz="6" w:space="0"/>
                    <w:right w:val="single" w:color="auto" w:sz="6" w:space="0"/>
                  </w:tcBorders>
                  <w:vAlign w:val="center"/>
                </w:tcPr>
                <w:p w14:paraId="3D92DBC5">
                  <w:pPr>
                    <w:pStyle w:val="50"/>
                    <w:spacing w:beforeLines="0" w:line="240" w:lineRule="auto"/>
                    <w:rPr>
                      <w:rFonts w:ascii="Times New Roman" w:hAnsi="Times New Roman"/>
                      <w:bCs/>
                      <w:color w:val="000000"/>
                      <w:szCs w:val="21"/>
                    </w:rPr>
                  </w:pPr>
                  <w:r>
                    <w:rPr>
                      <w:rFonts w:ascii="Times New Roman" w:hAnsi="Times New Roman"/>
                      <w:bCs/>
                      <w:color w:val="000000"/>
                      <w:szCs w:val="21"/>
                    </w:rPr>
                    <w:t>136.49</w:t>
                  </w:r>
                </w:p>
              </w:tc>
              <w:tc>
                <w:tcPr>
                  <w:tcW w:w="534" w:type="dxa"/>
                  <w:tcBorders>
                    <w:top w:val="single" w:color="auto" w:sz="6" w:space="0"/>
                    <w:left w:val="single" w:color="auto" w:sz="6" w:space="0"/>
                    <w:bottom w:val="single" w:color="auto" w:sz="6" w:space="0"/>
                    <w:right w:val="single" w:color="auto" w:sz="6" w:space="0"/>
                  </w:tcBorders>
                  <w:vAlign w:val="center"/>
                </w:tcPr>
                <w:p w14:paraId="41CCDD60">
                  <w:pPr>
                    <w:pStyle w:val="50"/>
                    <w:spacing w:beforeLines="0" w:line="240" w:lineRule="auto"/>
                    <w:rPr>
                      <w:rFonts w:ascii="Times New Roman" w:hAnsi="Times New Roman"/>
                      <w:bCs/>
                      <w:color w:val="000000"/>
                      <w:szCs w:val="21"/>
                    </w:rPr>
                  </w:pPr>
                  <w:r>
                    <w:rPr>
                      <w:rFonts w:ascii="Times New Roman" w:hAnsi="Times New Roman"/>
                      <w:bCs/>
                      <w:color w:val="000000"/>
                      <w:szCs w:val="21"/>
                    </w:rPr>
                    <w:t>-113.1</w:t>
                  </w:r>
                </w:p>
              </w:tc>
              <w:tc>
                <w:tcPr>
                  <w:tcW w:w="533" w:type="dxa"/>
                  <w:tcBorders>
                    <w:top w:val="single" w:color="auto" w:sz="6" w:space="0"/>
                    <w:left w:val="single" w:color="auto" w:sz="6" w:space="0"/>
                    <w:bottom w:val="single" w:color="auto" w:sz="6" w:space="0"/>
                    <w:right w:val="single" w:color="auto" w:sz="6" w:space="0"/>
                  </w:tcBorders>
                  <w:vAlign w:val="center"/>
                </w:tcPr>
                <w:p w14:paraId="3A3C84C4">
                  <w:pPr>
                    <w:jc w:val="center"/>
                    <w:rPr>
                      <w:szCs w:val="21"/>
                    </w:rPr>
                  </w:pPr>
                  <w:r>
                    <w:rPr>
                      <w:bCs/>
                      <w:color w:val="000000"/>
                      <w:szCs w:val="21"/>
                    </w:rPr>
                    <w:t>1.5</w:t>
                  </w:r>
                </w:p>
              </w:tc>
              <w:tc>
                <w:tcPr>
                  <w:tcW w:w="517" w:type="dxa"/>
                  <w:tcBorders>
                    <w:top w:val="single" w:color="auto" w:sz="6" w:space="0"/>
                    <w:left w:val="single" w:color="auto" w:sz="6" w:space="0"/>
                    <w:bottom w:val="single" w:color="auto" w:sz="6" w:space="0"/>
                    <w:right w:val="single" w:color="auto" w:sz="6" w:space="0"/>
                  </w:tcBorders>
                  <w:vAlign w:val="center"/>
                </w:tcPr>
                <w:p w14:paraId="6441AEF3">
                  <w:pPr>
                    <w:pStyle w:val="50"/>
                    <w:spacing w:beforeLines="0" w:line="240" w:lineRule="auto"/>
                    <w:rPr>
                      <w:rFonts w:ascii="Times New Roman" w:hAnsi="Times New Roman"/>
                      <w:bCs/>
                      <w:color w:val="000000"/>
                      <w:szCs w:val="21"/>
                    </w:rPr>
                  </w:pPr>
                  <w:r>
                    <w:rPr>
                      <w:rFonts w:ascii="Times New Roman" w:hAnsi="Times New Roman"/>
                      <w:bCs/>
                      <w:color w:val="000000"/>
                      <w:szCs w:val="21"/>
                    </w:rPr>
                    <w:t>5</w:t>
                  </w:r>
                </w:p>
              </w:tc>
              <w:tc>
                <w:tcPr>
                  <w:tcW w:w="644" w:type="dxa"/>
                  <w:tcBorders>
                    <w:top w:val="single" w:color="auto" w:sz="6" w:space="0"/>
                    <w:left w:val="single" w:color="auto" w:sz="6" w:space="0"/>
                    <w:bottom w:val="single" w:color="auto" w:sz="6" w:space="0"/>
                    <w:right w:val="single" w:color="auto" w:sz="6" w:space="0"/>
                  </w:tcBorders>
                  <w:vAlign w:val="center"/>
                </w:tcPr>
                <w:p w14:paraId="24809921">
                  <w:pPr>
                    <w:pStyle w:val="50"/>
                    <w:spacing w:beforeLines="0" w:line="240" w:lineRule="auto"/>
                    <w:rPr>
                      <w:rFonts w:ascii="Times New Roman" w:hAnsi="Times New Roman"/>
                      <w:color w:val="000000"/>
                      <w:kern w:val="0"/>
                      <w:szCs w:val="21"/>
                    </w:rPr>
                  </w:pPr>
                  <w:r>
                    <w:rPr>
                      <w:rFonts w:ascii="Times New Roman" w:hAnsi="Times New Roman"/>
                      <w:color w:val="000000"/>
                      <w:kern w:val="0"/>
                      <w:szCs w:val="21"/>
                    </w:rPr>
                    <w:t>55-60</w:t>
                  </w:r>
                </w:p>
              </w:tc>
              <w:tc>
                <w:tcPr>
                  <w:tcW w:w="733" w:type="dxa"/>
                  <w:vMerge w:val="continue"/>
                  <w:tcBorders>
                    <w:left w:val="single" w:color="auto" w:sz="6" w:space="0"/>
                    <w:right w:val="single" w:color="auto" w:sz="6" w:space="0"/>
                  </w:tcBorders>
                  <w:vAlign w:val="center"/>
                </w:tcPr>
                <w:p w14:paraId="75EA769C">
                  <w:pPr>
                    <w:widowControl/>
                    <w:adjustRightInd w:val="0"/>
                    <w:snapToGrid w:val="0"/>
                    <w:jc w:val="center"/>
                    <w:rPr>
                      <w:bCs/>
                      <w:color w:val="000000"/>
                      <w:szCs w:val="21"/>
                    </w:rPr>
                  </w:pPr>
                </w:p>
              </w:tc>
              <w:tc>
                <w:tcPr>
                  <w:tcW w:w="644" w:type="dxa"/>
                  <w:tcBorders>
                    <w:top w:val="single" w:color="auto" w:sz="6" w:space="0"/>
                    <w:left w:val="single" w:color="auto" w:sz="6" w:space="0"/>
                    <w:bottom w:val="single" w:color="auto" w:sz="6" w:space="0"/>
                    <w:right w:val="single" w:color="auto" w:sz="6" w:space="0"/>
                  </w:tcBorders>
                  <w:vAlign w:val="center"/>
                </w:tcPr>
                <w:p w14:paraId="6A76FC38">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3BF4C921">
                  <w:pPr>
                    <w:pStyle w:val="50"/>
                    <w:spacing w:beforeLines="0" w:line="240" w:lineRule="auto"/>
                    <w:rPr>
                      <w:rFonts w:ascii="Times New Roman" w:hAnsi="Times New Roman"/>
                      <w:bCs/>
                      <w:color w:val="000000"/>
                      <w:szCs w:val="21"/>
                    </w:rPr>
                  </w:pPr>
                  <w:r>
                    <w:rPr>
                      <w:rFonts w:ascii="Times New Roman" w:hAnsi="Times New Roman"/>
                      <w:bCs/>
                      <w:color w:val="000000"/>
                      <w:szCs w:val="21"/>
                    </w:rPr>
                    <w:t>50-55</w:t>
                  </w:r>
                </w:p>
              </w:tc>
              <w:tc>
                <w:tcPr>
                  <w:tcW w:w="402" w:type="dxa"/>
                  <w:tcBorders>
                    <w:top w:val="single" w:color="auto" w:sz="6" w:space="0"/>
                    <w:left w:val="single" w:color="auto" w:sz="6" w:space="0"/>
                    <w:bottom w:val="single" w:color="auto" w:sz="6" w:space="0"/>
                    <w:right w:val="single" w:color="auto" w:sz="12" w:space="0"/>
                  </w:tcBorders>
                  <w:vAlign w:val="center"/>
                </w:tcPr>
                <w:p w14:paraId="6A9FDE5A">
                  <w:pPr>
                    <w:pStyle w:val="50"/>
                    <w:spacing w:beforeLines="0" w:line="240" w:lineRule="auto"/>
                    <w:rPr>
                      <w:rFonts w:ascii="Times New Roman" w:hAnsi="Times New Roman"/>
                      <w:bCs/>
                      <w:color w:val="000000"/>
                      <w:szCs w:val="21"/>
                    </w:rPr>
                  </w:pPr>
                  <w:r>
                    <w:rPr>
                      <w:rFonts w:ascii="Times New Roman" w:hAnsi="Times New Roman"/>
                      <w:bCs/>
                      <w:color w:val="000000"/>
                      <w:szCs w:val="21"/>
                    </w:rPr>
                    <w:t>1</w:t>
                  </w:r>
                </w:p>
              </w:tc>
            </w:tr>
            <w:tr w14:paraId="38CDBED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dxa"/>
                  <w:tcBorders>
                    <w:top w:val="single" w:color="auto" w:sz="6" w:space="0"/>
                    <w:left w:val="single" w:color="auto" w:sz="12" w:space="0"/>
                    <w:bottom w:val="single" w:color="auto" w:sz="6" w:space="0"/>
                    <w:right w:val="single" w:color="auto" w:sz="6" w:space="0"/>
                  </w:tcBorders>
                  <w:vAlign w:val="center"/>
                </w:tcPr>
                <w:p w14:paraId="5F414D04">
                  <w:pPr>
                    <w:widowControl/>
                    <w:adjustRightInd w:val="0"/>
                    <w:snapToGrid w:val="0"/>
                    <w:jc w:val="center"/>
                    <w:rPr>
                      <w:bCs/>
                      <w:color w:val="000000"/>
                      <w:szCs w:val="21"/>
                    </w:rPr>
                  </w:pPr>
                  <w:r>
                    <w:rPr>
                      <w:bCs/>
                      <w:color w:val="000000"/>
                      <w:szCs w:val="21"/>
                    </w:rPr>
                    <w:t>13</w:t>
                  </w:r>
                </w:p>
              </w:tc>
              <w:tc>
                <w:tcPr>
                  <w:tcW w:w="431" w:type="dxa"/>
                  <w:vMerge w:val="continue"/>
                  <w:tcBorders>
                    <w:left w:val="single" w:color="auto" w:sz="6" w:space="0"/>
                    <w:right w:val="single" w:color="auto" w:sz="6" w:space="0"/>
                  </w:tcBorders>
                  <w:vAlign w:val="center"/>
                </w:tcPr>
                <w:p w14:paraId="782A2BC3">
                  <w:pPr>
                    <w:jc w:val="center"/>
                    <w:rPr>
                      <w:color w:val="000000"/>
                      <w:szCs w:val="21"/>
                    </w:rPr>
                  </w:pPr>
                </w:p>
              </w:tc>
              <w:tc>
                <w:tcPr>
                  <w:tcW w:w="707" w:type="dxa"/>
                  <w:tcBorders>
                    <w:top w:val="single" w:color="auto" w:sz="6" w:space="0"/>
                    <w:left w:val="single" w:color="auto" w:sz="6" w:space="0"/>
                    <w:bottom w:val="single" w:color="auto" w:sz="6" w:space="0"/>
                    <w:right w:val="single" w:color="auto" w:sz="6" w:space="0"/>
                  </w:tcBorders>
                  <w:vAlign w:val="center"/>
                </w:tcPr>
                <w:p w14:paraId="11FE29A4">
                  <w:pPr>
                    <w:jc w:val="center"/>
                    <w:rPr>
                      <w:color w:val="000000"/>
                      <w:szCs w:val="21"/>
                    </w:rPr>
                  </w:pPr>
                  <w:r>
                    <w:rPr>
                      <w:color w:val="000000"/>
                      <w:szCs w:val="21"/>
                    </w:rPr>
                    <w:t>380g输送机 1</w:t>
                  </w:r>
                </w:p>
              </w:tc>
              <w:tc>
                <w:tcPr>
                  <w:tcW w:w="480" w:type="dxa"/>
                  <w:tcBorders>
                    <w:top w:val="single" w:color="auto" w:sz="6" w:space="0"/>
                    <w:left w:val="single" w:color="auto" w:sz="6" w:space="0"/>
                    <w:bottom w:val="single" w:color="auto" w:sz="6" w:space="0"/>
                    <w:right w:val="single" w:color="auto" w:sz="6" w:space="0"/>
                  </w:tcBorders>
                  <w:vAlign w:val="center"/>
                </w:tcPr>
                <w:p w14:paraId="58D864DF">
                  <w:pPr>
                    <w:jc w:val="center"/>
                    <w:rPr>
                      <w:color w:val="000000"/>
                      <w:szCs w:val="21"/>
                    </w:rPr>
                  </w:pPr>
                  <w:r>
                    <w:rPr>
                      <w:color w:val="000000"/>
                      <w:szCs w:val="21"/>
                    </w:rPr>
                    <w:t>1</w:t>
                  </w:r>
                </w:p>
              </w:tc>
              <w:tc>
                <w:tcPr>
                  <w:tcW w:w="760" w:type="dxa"/>
                  <w:tcBorders>
                    <w:top w:val="single" w:color="auto" w:sz="6" w:space="0"/>
                    <w:left w:val="single" w:color="auto" w:sz="6" w:space="0"/>
                    <w:bottom w:val="single" w:color="auto" w:sz="6" w:space="0"/>
                    <w:right w:val="single" w:color="auto" w:sz="6" w:space="0"/>
                  </w:tcBorders>
                  <w:vAlign w:val="center"/>
                </w:tcPr>
                <w:p w14:paraId="42109962">
                  <w:pPr>
                    <w:adjustRightInd w:val="0"/>
                    <w:snapToGrid w:val="0"/>
                    <w:jc w:val="center"/>
                    <w:rPr>
                      <w:color w:val="000000"/>
                      <w:szCs w:val="21"/>
                    </w:rPr>
                  </w:pPr>
                  <w:r>
                    <w:rPr>
                      <w:color w:val="000000"/>
                      <w:szCs w:val="21"/>
                    </w:rPr>
                    <w:t>70-80</w:t>
                  </w:r>
                </w:p>
              </w:tc>
              <w:tc>
                <w:tcPr>
                  <w:tcW w:w="520" w:type="dxa"/>
                  <w:vMerge w:val="continue"/>
                  <w:tcBorders>
                    <w:left w:val="single" w:color="auto" w:sz="6" w:space="0"/>
                    <w:right w:val="single" w:color="auto" w:sz="6" w:space="0"/>
                  </w:tcBorders>
                  <w:vAlign w:val="center"/>
                </w:tcPr>
                <w:p w14:paraId="35BC9E7A">
                  <w:pPr>
                    <w:widowControl/>
                    <w:adjustRightInd w:val="0"/>
                    <w:snapToGrid w:val="0"/>
                    <w:jc w:val="center"/>
                    <w:rPr>
                      <w:color w:val="000000"/>
                      <w:szCs w:val="21"/>
                    </w:rPr>
                  </w:pPr>
                </w:p>
              </w:tc>
              <w:tc>
                <w:tcPr>
                  <w:tcW w:w="586" w:type="dxa"/>
                  <w:tcBorders>
                    <w:top w:val="single" w:color="auto" w:sz="6" w:space="0"/>
                    <w:left w:val="single" w:color="auto" w:sz="6" w:space="0"/>
                    <w:bottom w:val="single" w:color="auto" w:sz="6" w:space="0"/>
                    <w:right w:val="single" w:color="auto" w:sz="6" w:space="0"/>
                  </w:tcBorders>
                  <w:vAlign w:val="center"/>
                </w:tcPr>
                <w:p w14:paraId="3B1861CD">
                  <w:pPr>
                    <w:pStyle w:val="50"/>
                    <w:spacing w:beforeLines="0" w:line="240" w:lineRule="auto"/>
                    <w:rPr>
                      <w:rFonts w:ascii="Times New Roman" w:hAnsi="Times New Roman"/>
                      <w:bCs/>
                      <w:color w:val="000000"/>
                      <w:szCs w:val="21"/>
                    </w:rPr>
                  </w:pPr>
                  <w:r>
                    <w:rPr>
                      <w:rFonts w:ascii="Times New Roman" w:hAnsi="Times New Roman"/>
                      <w:bCs/>
                      <w:color w:val="000000"/>
                      <w:szCs w:val="21"/>
                    </w:rPr>
                    <w:t>152.83</w:t>
                  </w:r>
                </w:p>
              </w:tc>
              <w:tc>
                <w:tcPr>
                  <w:tcW w:w="534" w:type="dxa"/>
                  <w:tcBorders>
                    <w:top w:val="single" w:color="auto" w:sz="6" w:space="0"/>
                    <w:left w:val="single" w:color="auto" w:sz="6" w:space="0"/>
                    <w:bottom w:val="single" w:color="auto" w:sz="6" w:space="0"/>
                    <w:right w:val="single" w:color="auto" w:sz="6" w:space="0"/>
                  </w:tcBorders>
                  <w:vAlign w:val="center"/>
                </w:tcPr>
                <w:p w14:paraId="75D5255D">
                  <w:pPr>
                    <w:pStyle w:val="50"/>
                    <w:spacing w:beforeLines="0" w:line="240" w:lineRule="auto"/>
                    <w:rPr>
                      <w:rFonts w:ascii="Times New Roman" w:hAnsi="Times New Roman"/>
                      <w:bCs/>
                      <w:color w:val="000000"/>
                      <w:szCs w:val="21"/>
                    </w:rPr>
                  </w:pPr>
                  <w:r>
                    <w:rPr>
                      <w:rFonts w:ascii="Times New Roman" w:hAnsi="Times New Roman"/>
                      <w:bCs/>
                      <w:color w:val="000000"/>
                      <w:szCs w:val="21"/>
                    </w:rPr>
                    <w:t>-108.37</w:t>
                  </w:r>
                </w:p>
              </w:tc>
              <w:tc>
                <w:tcPr>
                  <w:tcW w:w="533" w:type="dxa"/>
                  <w:tcBorders>
                    <w:top w:val="single" w:color="auto" w:sz="6" w:space="0"/>
                    <w:left w:val="single" w:color="auto" w:sz="6" w:space="0"/>
                    <w:bottom w:val="single" w:color="auto" w:sz="6" w:space="0"/>
                    <w:right w:val="single" w:color="auto" w:sz="6" w:space="0"/>
                  </w:tcBorders>
                  <w:vAlign w:val="center"/>
                </w:tcPr>
                <w:p w14:paraId="14089C0A">
                  <w:pPr>
                    <w:jc w:val="center"/>
                    <w:rPr>
                      <w:szCs w:val="21"/>
                    </w:rPr>
                  </w:pPr>
                  <w:r>
                    <w:rPr>
                      <w:bCs/>
                      <w:color w:val="000000"/>
                      <w:szCs w:val="21"/>
                    </w:rPr>
                    <w:t>1.5</w:t>
                  </w:r>
                </w:p>
              </w:tc>
              <w:tc>
                <w:tcPr>
                  <w:tcW w:w="517" w:type="dxa"/>
                  <w:tcBorders>
                    <w:top w:val="single" w:color="auto" w:sz="6" w:space="0"/>
                    <w:left w:val="single" w:color="auto" w:sz="6" w:space="0"/>
                    <w:bottom w:val="single" w:color="auto" w:sz="6" w:space="0"/>
                    <w:right w:val="single" w:color="auto" w:sz="6" w:space="0"/>
                  </w:tcBorders>
                  <w:vAlign w:val="center"/>
                </w:tcPr>
                <w:p w14:paraId="0DB84371">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19FAA702">
                  <w:pPr>
                    <w:jc w:val="center"/>
                    <w:rPr>
                      <w:color w:val="000000"/>
                      <w:kern w:val="0"/>
                      <w:szCs w:val="21"/>
                    </w:rPr>
                  </w:pPr>
                  <w:r>
                    <w:rPr>
                      <w:color w:val="000000"/>
                      <w:kern w:val="0"/>
                      <w:szCs w:val="21"/>
                    </w:rPr>
                    <w:t>60-65</w:t>
                  </w:r>
                </w:p>
              </w:tc>
              <w:tc>
                <w:tcPr>
                  <w:tcW w:w="733" w:type="dxa"/>
                  <w:vMerge w:val="continue"/>
                  <w:tcBorders>
                    <w:left w:val="single" w:color="auto" w:sz="6" w:space="0"/>
                    <w:right w:val="single" w:color="auto" w:sz="6" w:space="0"/>
                  </w:tcBorders>
                  <w:vAlign w:val="center"/>
                </w:tcPr>
                <w:p w14:paraId="2BFB1B43">
                  <w:pPr>
                    <w:widowControl/>
                    <w:adjustRightInd w:val="0"/>
                    <w:snapToGrid w:val="0"/>
                    <w:jc w:val="center"/>
                    <w:rPr>
                      <w:bCs/>
                      <w:color w:val="000000"/>
                      <w:szCs w:val="21"/>
                    </w:rPr>
                  </w:pPr>
                </w:p>
              </w:tc>
              <w:tc>
                <w:tcPr>
                  <w:tcW w:w="644" w:type="dxa"/>
                  <w:tcBorders>
                    <w:top w:val="single" w:color="auto" w:sz="6" w:space="0"/>
                    <w:left w:val="single" w:color="auto" w:sz="6" w:space="0"/>
                    <w:bottom w:val="single" w:color="auto" w:sz="6" w:space="0"/>
                    <w:right w:val="single" w:color="auto" w:sz="6" w:space="0"/>
                  </w:tcBorders>
                  <w:vAlign w:val="center"/>
                </w:tcPr>
                <w:p w14:paraId="2B0A189B">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60FFBA54">
                  <w:pPr>
                    <w:jc w:val="center"/>
                    <w:rPr>
                      <w:bCs/>
                      <w:color w:val="000000"/>
                      <w:szCs w:val="21"/>
                    </w:rPr>
                  </w:pPr>
                  <w:r>
                    <w:rPr>
                      <w:bCs/>
                      <w:color w:val="000000"/>
                      <w:szCs w:val="21"/>
                    </w:rPr>
                    <w:t>50-55</w:t>
                  </w:r>
                </w:p>
              </w:tc>
              <w:tc>
                <w:tcPr>
                  <w:tcW w:w="402" w:type="dxa"/>
                  <w:tcBorders>
                    <w:top w:val="single" w:color="auto" w:sz="6" w:space="0"/>
                    <w:left w:val="single" w:color="auto" w:sz="6" w:space="0"/>
                    <w:bottom w:val="single" w:color="auto" w:sz="6" w:space="0"/>
                    <w:right w:val="single" w:color="auto" w:sz="12" w:space="0"/>
                  </w:tcBorders>
                  <w:vAlign w:val="center"/>
                </w:tcPr>
                <w:p w14:paraId="40A37A0D">
                  <w:pPr>
                    <w:pStyle w:val="50"/>
                    <w:spacing w:beforeLines="0" w:line="240" w:lineRule="auto"/>
                    <w:rPr>
                      <w:rFonts w:ascii="Times New Roman" w:hAnsi="Times New Roman"/>
                      <w:bCs/>
                      <w:color w:val="000000"/>
                      <w:szCs w:val="21"/>
                    </w:rPr>
                  </w:pPr>
                  <w:r>
                    <w:rPr>
                      <w:rFonts w:ascii="Times New Roman" w:hAnsi="Times New Roman"/>
                      <w:bCs/>
                      <w:color w:val="000000"/>
                      <w:szCs w:val="21"/>
                    </w:rPr>
                    <w:t>1</w:t>
                  </w:r>
                </w:p>
              </w:tc>
            </w:tr>
            <w:tr w14:paraId="2B34B9A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dxa"/>
                  <w:tcBorders>
                    <w:top w:val="single" w:color="auto" w:sz="6" w:space="0"/>
                    <w:left w:val="single" w:color="auto" w:sz="12" w:space="0"/>
                    <w:bottom w:val="single" w:color="auto" w:sz="6" w:space="0"/>
                    <w:right w:val="single" w:color="auto" w:sz="6" w:space="0"/>
                  </w:tcBorders>
                  <w:vAlign w:val="center"/>
                </w:tcPr>
                <w:p w14:paraId="01689A04">
                  <w:pPr>
                    <w:widowControl/>
                    <w:adjustRightInd w:val="0"/>
                    <w:snapToGrid w:val="0"/>
                    <w:jc w:val="center"/>
                    <w:rPr>
                      <w:bCs/>
                      <w:color w:val="000000"/>
                      <w:szCs w:val="21"/>
                    </w:rPr>
                  </w:pPr>
                  <w:r>
                    <w:rPr>
                      <w:bCs/>
                      <w:color w:val="000000"/>
                      <w:szCs w:val="21"/>
                    </w:rPr>
                    <w:t>14</w:t>
                  </w:r>
                </w:p>
              </w:tc>
              <w:tc>
                <w:tcPr>
                  <w:tcW w:w="431" w:type="dxa"/>
                  <w:vMerge w:val="continue"/>
                  <w:tcBorders>
                    <w:left w:val="single" w:color="auto" w:sz="6" w:space="0"/>
                    <w:right w:val="single" w:color="auto" w:sz="6" w:space="0"/>
                  </w:tcBorders>
                  <w:vAlign w:val="center"/>
                </w:tcPr>
                <w:p w14:paraId="2122E0CC">
                  <w:pPr>
                    <w:jc w:val="center"/>
                    <w:rPr>
                      <w:color w:val="000000"/>
                      <w:szCs w:val="21"/>
                    </w:rPr>
                  </w:pPr>
                </w:p>
              </w:tc>
              <w:tc>
                <w:tcPr>
                  <w:tcW w:w="707" w:type="dxa"/>
                  <w:tcBorders>
                    <w:top w:val="single" w:color="auto" w:sz="6" w:space="0"/>
                    <w:left w:val="single" w:color="auto" w:sz="6" w:space="0"/>
                    <w:bottom w:val="single" w:color="auto" w:sz="6" w:space="0"/>
                    <w:right w:val="single" w:color="auto" w:sz="6" w:space="0"/>
                  </w:tcBorders>
                  <w:vAlign w:val="center"/>
                </w:tcPr>
                <w:p w14:paraId="0A29B847">
                  <w:pPr>
                    <w:jc w:val="center"/>
                    <w:rPr>
                      <w:color w:val="000000"/>
                      <w:szCs w:val="21"/>
                    </w:rPr>
                  </w:pPr>
                  <w:r>
                    <w:rPr>
                      <w:color w:val="000000"/>
                      <w:szCs w:val="21"/>
                    </w:rPr>
                    <w:t>380g 输送机 2</w:t>
                  </w:r>
                </w:p>
              </w:tc>
              <w:tc>
                <w:tcPr>
                  <w:tcW w:w="480" w:type="dxa"/>
                  <w:tcBorders>
                    <w:top w:val="single" w:color="auto" w:sz="6" w:space="0"/>
                    <w:left w:val="single" w:color="auto" w:sz="6" w:space="0"/>
                    <w:bottom w:val="single" w:color="auto" w:sz="6" w:space="0"/>
                    <w:right w:val="single" w:color="auto" w:sz="6" w:space="0"/>
                  </w:tcBorders>
                  <w:vAlign w:val="center"/>
                </w:tcPr>
                <w:p w14:paraId="534245FD">
                  <w:pPr>
                    <w:jc w:val="center"/>
                    <w:rPr>
                      <w:color w:val="000000"/>
                      <w:szCs w:val="21"/>
                    </w:rPr>
                  </w:pPr>
                  <w:r>
                    <w:rPr>
                      <w:color w:val="000000"/>
                      <w:szCs w:val="21"/>
                    </w:rPr>
                    <w:t>1</w:t>
                  </w:r>
                </w:p>
              </w:tc>
              <w:tc>
                <w:tcPr>
                  <w:tcW w:w="760" w:type="dxa"/>
                  <w:tcBorders>
                    <w:top w:val="single" w:color="auto" w:sz="6" w:space="0"/>
                    <w:left w:val="single" w:color="auto" w:sz="6" w:space="0"/>
                    <w:bottom w:val="single" w:color="auto" w:sz="6" w:space="0"/>
                    <w:right w:val="single" w:color="auto" w:sz="6" w:space="0"/>
                  </w:tcBorders>
                  <w:vAlign w:val="center"/>
                </w:tcPr>
                <w:p w14:paraId="7DA58789">
                  <w:pPr>
                    <w:adjustRightInd w:val="0"/>
                    <w:snapToGrid w:val="0"/>
                    <w:jc w:val="center"/>
                    <w:rPr>
                      <w:color w:val="000000"/>
                      <w:szCs w:val="21"/>
                    </w:rPr>
                  </w:pPr>
                  <w:r>
                    <w:rPr>
                      <w:color w:val="000000"/>
                      <w:szCs w:val="21"/>
                    </w:rPr>
                    <w:t>70-80</w:t>
                  </w:r>
                </w:p>
              </w:tc>
              <w:tc>
                <w:tcPr>
                  <w:tcW w:w="520" w:type="dxa"/>
                  <w:vMerge w:val="continue"/>
                  <w:tcBorders>
                    <w:left w:val="single" w:color="auto" w:sz="6" w:space="0"/>
                    <w:right w:val="single" w:color="auto" w:sz="6" w:space="0"/>
                  </w:tcBorders>
                  <w:vAlign w:val="center"/>
                </w:tcPr>
                <w:p w14:paraId="7474294E">
                  <w:pPr>
                    <w:widowControl/>
                    <w:adjustRightInd w:val="0"/>
                    <w:snapToGrid w:val="0"/>
                    <w:jc w:val="center"/>
                    <w:rPr>
                      <w:color w:val="000000"/>
                      <w:szCs w:val="21"/>
                    </w:rPr>
                  </w:pPr>
                </w:p>
              </w:tc>
              <w:tc>
                <w:tcPr>
                  <w:tcW w:w="586" w:type="dxa"/>
                  <w:tcBorders>
                    <w:top w:val="single" w:color="auto" w:sz="6" w:space="0"/>
                    <w:left w:val="single" w:color="auto" w:sz="6" w:space="0"/>
                    <w:bottom w:val="single" w:color="auto" w:sz="6" w:space="0"/>
                    <w:right w:val="single" w:color="auto" w:sz="6" w:space="0"/>
                  </w:tcBorders>
                  <w:vAlign w:val="center"/>
                </w:tcPr>
                <w:p w14:paraId="2912EB5D">
                  <w:pPr>
                    <w:pStyle w:val="50"/>
                    <w:spacing w:beforeLines="0" w:line="240" w:lineRule="auto"/>
                    <w:rPr>
                      <w:rFonts w:ascii="Times New Roman" w:hAnsi="Times New Roman"/>
                      <w:bCs/>
                      <w:color w:val="000000"/>
                      <w:szCs w:val="21"/>
                    </w:rPr>
                  </w:pPr>
                  <w:r>
                    <w:rPr>
                      <w:rFonts w:ascii="Times New Roman" w:hAnsi="Times New Roman"/>
                      <w:bCs/>
                      <w:color w:val="000000"/>
                      <w:szCs w:val="21"/>
                    </w:rPr>
                    <w:t>167.88</w:t>
                  </w:r>
                </w:p>
              </w:tc>
              <w:tc>
                <w:tcPr>
                  <w:tcW w:w="534" w:type="dxa"/>
                  <w:tcBorders>
                    <w:top w:val="single" w:color="auto" w:sz="6" w:space="0"/>
                    <w:left w:val="single" w:color="auto" w:sz="6" w:space="0"/>
                    <w:bottom w:val="single" w:color="auto" w:sz="6" w:space="0"/>
                    <w:right w:val="single" w:color="auto" w:sz="6" w:space="0"/>
                  </w:tcBorders>
                  <w:vAlign w:val="center"/>
                </w:tcPr>
                <w:p w14:paraId="1326F852">
                  <w:pPr>
                    <w:pStyle w:val="50"/>
                    <w:spacing w:beforeLines="0" w:line="240" w:lineRule="auto"/>
                    <w:rPr>
                      <w:rFonts w:ascii="Times New Roman" w:hAnsi="Times New Roman"/>
                      <w:bCs/>
                      <w:color w:val="000000"/>
                      <w:szCs w:val="21"/>
                    </w:rPr>
                  </w:pPr>
                  <w:r>
                    <w:rPr>
                      <w:rFonts w:ascii="Times New Roman" w:hAnsi="Times New Roman"/>
                      <w:bCs/>
                      <w:color w:val="000000"/>
                      <w:szCs w:val="21"/>
                    </w:rPr>
                    <w:t>-105.05</w:t>
                  </w:r>
                </w:p>
              </w:tc>
              <w:tc>
                <w:tcPr>
                  <w:tcW w:w="533" w:type="dxa"/>
                  <w:tcBorders>
                    <w:top w:val="single" w:color="auto" w:sz="6" w:space="0"/>
                    <w:left w:val="single" w:color="auto" w:sz="6" w:space="0"/>
                    <w:bottom w:val="single" w:color="auto" w:sz="6" w:space="0"/>
                    <w:right w:val="single" w:color="auto" w:sz="6" w:space="0"/>
                  </w:tcBorders>
                  <w:vAlign w:val="center"/>
                </w:tcPr>
                <w:p w14:paraId="422AA0D8">
                  <w:pPr>
                    <w:jc w:val="center"/>
                    <w:rPr>
                      <w:szCs w:val="21"/>
                    </w:rPr>
                  </w:pPr>
                  <w:r>
                    <w:rPr>
                      <w:bCs/>
                      <w:color w:val="000000"/>
                      <w:szCs w:val="21"/>
                    </w:rPr>
                    <w:t>1.5</w:t>
                  </w:r>
                </w:p>
              </w:tc>
              <w:tc>
                <w:tcPr>
                  <w:tcW w:w="517" w:type="dxa"/>
                  <w:tcBorders>
                    <w:top w:val="single" w:color="auto" w:sz="6" w:space="0"/>
                    <w:left w:val="single" w:color="auto" w:sz="6" w:space="0"/>
                    <w:bottom w:val="single" w:color="auto" w:sz="6" w:space="0"/>
                    <w:right w:val="single" w:color="auto" w:sz="6" w:space="0"/>
                  </w:tcBorders>
                  <w:vAlign w:val="center"/>
                </w:tcPr>
                <w:p w14:paraId="09F69FF6">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22266752">
                  <w:pPr>
                    <w:jc w:val="center"/>
                    <w:rPr>
                      <w:color w:val="000000"/>
                      <w:kern w:val="0"/>
                      <w:szCs w:val="21"/>
                    </w:rPr>
                  </w:pPr>
                  <w:r>
                    <w:rPr>
                      <w:color w:val="000000"/>
                      <w:kern w:val="0"/>
                      <w:szCs w:val="21"/>
                    </w:rPr>
                    <w:t>60-65</w:t>
                  </w:r>
                </w:p>
              </w:tc>
              <w:tc>
                <w:tcPr>
                  <w:tcW w:w="733" w:type="dxa"/>
                  <w:vMerge w:val="continue"/>
                  <w:tcBorders>
                    <w:left w:val="single" w:color="auto" w:sz="6" w:space="0"/>
                    <w:right w:val="single" w:color="auto" w:sz="6" w:space="0"/>
                  </w:tcBorders>
                  <w:vAlign w:val="center"/>
                </w:tcPr>
                <w:p w14:paraId="79FF4BAE">
                  <w:pPr>
                    <w:widowControl/>
                    <w:adjustRightInd w:val="0"/>
                    <w:snapToGrid w:val="0"/>
                    <w:jc w:val="center"/>
                    <w:rPr>
                      <w:bCs/>
                      <w:color w:val="000000"/>
                      <w:szCs w:val="21"/>
                    </w:rPr>
                  </w:pPr>
                </w:p>
              </w:tc>
              <w:tc>
                <w:tcPr>
                  <w:tcW w:w="644" w:type="dxa"/>
                  <w:tcBorders>
                    <w:top w:val="single" w:color="auto" w:sz="6" w:space="0"/>
                    <w:left w:val="single" w:color="auto" w:sz="6" w:space="0"/>
                    <w:bottom w:val="single" w:color="auto" w:sz="6" w:space="0"/>
                    <w:right w:val="single" w:color="auto" w:sz="6" w:space="0"/>
                  </w:tcBorders>
                  <w:vAlign w:val="center"/>
                </w:tcPr>
                <w:p w14:paraId="1FA5D848">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63B095E0">
                  <w:pPr>
                    <w:jc w:val="center"/>
                    <w:rPr>
                      <w:bCs/>
                      <w:color w:val="000000"/>
                      <w:szCs w:val="21"/>
                    </w:rPr>
                  </w:pPr>
                  <w:r>
                    <w:rPr>
                      <w:bCs/>
                      <w:color w:val="000000"/>
                      <w:szCs w:val="21"/>
                    </w:rPr>
                    <w:t>50-55</w:t>
                  </w:r>
                </w:p>
              </w:tc>
              <w:tc>
                <w:tcPr>
                  <w:tcW w:w="402" w:type="dxa"/>
                  <w:tcBorders>
                    <w:top w:val="single" w:color="auto" w:sz="6" w:space="0"/>
                    <w:left w:val="single" w:color="auto" w:sz="6" w:space="0"/>
                    <w:bottom w:val="single" w:color="auto" w:sz="6" w:space="0"/>
                    <w:right w:val="single" w:color="auto" w:sz="12" w:space="0"/>
                  </w:tcBorders>
                  <w:vAlign w:val="center"/>
                </w:tcPr>
                <w:p w14:paraId="4273EE49">
                  <w:pPr>
                    <w:pStyle w:val="50"/>
                    <w:spacing w:beforeLines="0" w:line="240" w:lineRule="auto"/>
                    <w:rPr>
                      <w:rFonts w:ascii="Times New Roman" w:hAnsi="Times New Roman"/>
                      <w:bCs/>
                      <w:color w:val="000000"/>
                      <w:szCs w:val="21"/>
                    </w:rPr>
                  </w:pPr>
                  <w:r>
                    <w:rPr>
                      <w:rFonts w:ascii="Times New Roman" w:hAnsi="Times New Roman"/>
                      <w:bCs/>
                      <w:color w:val="000000"/>
                      <w:szCs w:val="21"/>
                    </w:rPr>
                    <w:t>1</w:t>
                  </w:r>
                </w:p>
              </w:tc>
            </w:tr>
            <w:tr w14:paraId="597E71A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dxa"/>
                  <w:tcBorders>
                    <w:top w:val="single" w:color="auto" w:sz="6" w:space="0"/>
                    <w:left w:val="single" w:color="auto" w:sz="12" w:space="0"/>
                    <w:bottom w:val="single" w:color="auto" w:sz="6" w:space="0"/>
                    <w:right w:val="single" w:color="auto" w:sz="6" w:space="0"/>
                  </w:tcBorders>
                  <w:vAlign w:val="center"/>
                </w:tcPr>
                <w:p w14:paraId="41A02F07">
                  <w:pPr>
                    <w:widowControl/>
                    <w:adjustRightInd w:val="0"/>
                    <w:snapToGrid w:val="0"/>
                    <w:jc w:val="center"/>
                    <w:rPr>
                      <w:bCs/>
                      <w:color w:val="000000"/>
                      <w:szCs w:val="21"/>
                    </w:rPr>
                  </w:pPr>
                  <w:r>
                    <w:rPr>
                      <w:bCs/>
                      <w:color w:val="000000"/>
                      <w:szCs w:val="21"/>
                    </w:rPr>
                    <w:t>15</w:t>
                  </w:r>
                </w:p>
              </w:tc>
              <w:tc>
                <w:tcPr>
                  <w:tcW w:w="431" w:type="dxa"/>
                  <w:vMerge w:val="continue"/>
                  <w:tcBorders>
                    <w:left w:val="single" w:color="auto" w:sz="6" w:space="0"/>
                    <w:right w:val="single" w:color="auto" w:sz="6" w:space="0"/>
                  </w:tcBorders>
                  <w:vAlign w:val="center"/>
                </w:tcPr>
                <w:p w14:paraId="2530E686">
                  <w:pPr>
                    <w:jc w:val="center"/>
                    <w:rPr>
                      <w:color w:val="000000"/>
                      <w:szCs w:val="21"/>
                    </w:rPr>
                  </w:pPr>
                </w:p>
              </w:tc>
              <w:tc>
                <w:tcPr>
                  <w:tcW w:w="707" w:type="dxa"/>
                  <w:tcBorders>
                    <w:top w:val="single" w:color="auto" w:sz="6" w:space="0"/>
                    <w:left w:val="single" w:color="auto" w:sz="6" w:space="0"/>
                    <w:bottom w:val="single" w:color="auto" w:sz="6" w:space="0"/>
                    <w:right w:val="single" w:color="auto" w:sz="6" w:space="0"/>
                  </w:tcBorders>
                  <w:vAlign w:val="center"/>
                </w:tcPr>
                <w:p w14:paraId="7652BD5C">
                  <w:pPr>
                    <w:jc w:val="center"/>
                    <w:rPr>
                      <w:color w:val="000000"/>
                      <w:szCs w:val="21"/>
                    </w:rPr>
                  </w:pPr>
                  <w:r>
                    <w:rPr>
                      <w:color w:val="000000"/>
                      <w:szCs w:val="21"/>
                    </w:rPr>
                    <w:t>天然气烧毛机</w:t>
                  </w:r>
                </w:p>
              </w:tc>
              <w:tc>
                <w:tcPr>
                  <w:tcW w:w="480" w:type="dxa"/>
                  <w:tcBorders>
                    <w:top w:val="single" w:color="auto" w:sz="6" w:space="0"/>
                    <w:left w:val="single" w:color="auto" w:sz="6" w:space="0"/>
                    <w:bottom w:val="single" w:color="auto" w:sz="6" w:space="0"/>
                    <w:right w:val="single" w:color="auto" w:sz="6" w:space="0"/>
                  </w:tcBorders>
                  <w:vAlign w:val="center"/>
                </w:tcPr>
                <w:p w14:paraId="5091C7FD">
                  <w:pPr>
                    <w:jc w:val="center"/>
                    <w:rPr>
                      <w:color w:val="000000"/>
                      <w:szCs w:val="21"/>
                    </w:rPr>
                  </w:pPr>
                  <w:r>
                    <w:rPr>
                      <w:color w:val="000000"/>
                      <w:szCs w:val="21"/>
                    </w:rPr>
                    <w:t>2</w:t>
                  </w:r>
                </w:p>
              </w:tc>
              <w:tc>
                <w:tcPr>
                  <w:tcW w:w="760" w:type="dxa"/>
                  <w:tcBorders>
                    <w:top w:val="single" w:color="auto" w:sz="6" w:space="0"/>
                    <w:left w:val="single" w:color="auto" w:sz="6" w:space="0"/>
                    <w:bottom w:val="single" w:color="auto" w:sz="6" w:space="0"/>
                    <w:right w:val="single" w:color="auto" w:sz="6" w:space="0"/>
                  </w:tcBorders>
                  <w:vAlign w:val="center"/>
                </w:tcPr>
                <w:p w14:paraId="20B8FB05">
                  <w:pPr>
                    <w:adjustRightInd w:val="0"/>
                    <w:snapToGrid w:val="0"/>
                    <w:jc w:val="center"/>
                    <w:rPr>
                      <w:color w:val="000000"/>
                      <w:szCs w:val="21"/>
                    </w:rPr>
                  </w:pPr>
                  <w:r>
                    <w:rPr>
                      <w:color w:val="000000"/>
                      <w:szCs w:val="21"/>
                    </w:rPr>
                    <w:t>65-75</w:t>
                  </w:r>
                </w:p>
              </w:tc>
              <w:tc>
                <w:tcPr>
                  <w:tcW w:w="520" w:type="dxa"/>
                  <w:vMerge w:val="continue"/>
                  <w:tcBorders>
                    <w:left w:val="single" w:color="auto" w:sz="6" w:space="0"/>
                    <w:right w:val="single" w:color="auto" w:sz="6" w:space="0"/>
                  </w:tcBorders>
                  <w:vAlign w:val="center"/>
                </w:tcPr>
                <w:p w14:paraId="11B492A8">
                  <w:pPr>
                    <w:widowControl/>
                    <w:adjustRightInd w:val="0"/>
                    <w:snapToGrid w:val="0"/>
                    <w:jc w:val="center"/>
                    <w:rPr>
                      <w:color w:val="000000"/>
                      <w:szCs w:val="21"/>
                    </w:rPr>
                  </w:pPr>
                </w:p>
              </w:tc>
              <w:tc>
                <w:tcPr>
                  <w:tcW w:w="586" w:type="dxa"/>
                  <w:tcBorders>
                    <w:top w:val="single" w:color="auto" w:sz="6" w:space="0"/>
                    <w:left w:val="single" w:color="auto" w:sz="6" w:space="0"/>
                    <w:bottom w:val="single" w:color="auto" w:sz="6" w:space="0"/>
                    <w:right w:val="single" w:color="auto" w:sz="6" w:space="0"/>
                  </w:tcBorders>
                  <w:vAlign w:val="center"/>
                </w:tcPr>
                <w:p w14:paraId="3584ED16">
                  <w:pPr>
                    <w:pStyle w:val="50"/>
                    <w:spacing w:beforeLines="0" w:line="240" w:lineRule="auto"/>
                    <w:rPr>
                      <w:rFonts w:ascii="Times New Roman" w:hAnsi="Times New Roman"/>
                      <w:bCs/>
                      <w:color w:val="000000"/>
                      <w:szCs w:val="21"/>
                    </w:rPr>
                  </w:pPr>
                  <w:r>
                    <w:rPr>
                      <w:rFonts w:ascii="Times New Roman" w:hAnsi="Times New Roman"/>
                      <w:bCs/>
                      <w:color w:val="000000"/>
                      <w:szCs w:val="21"/>
                    </w:rPr>
                    <w:t>164.83</w:t>
                  </w:r>
                </w:p>
              </w:tc>
              <w:tc>
                <w:tcPr>
                  <w:tcW w:w="534" w:type="dxa"/>
                  <w:tcBorders>
                    <w:top w:val="single" w:color="auto" w:sz="6" w:space="0"/>
                    <w:left w:val="single" w:color="auto" w:sz="6" w:space="0"/>
                    <w:bottom w:val="single" w:color="auto" w:sz="6" w:space="0"/>
                    <w:right w:val="single" w:color="auto" w:sz="6" w:space="0"/>
                  </w:tcBorders>
                  <w:vAlign w:val="center"/>
                </w:tcPr>
                <w:p w14:paraId="06666C7F">
                  <w:pPr>
                    <w:pStyle w:val="50"/>
                    <w:spacing w:beforeLines="0" w:line="240" w:lineRule="auto"/>
                    <w:rPr>
                      <w:rFonts w:ascii="Times New Roman" w:hAnsi="Times New Roman"/>
                      <w:bCs/>
                      <w:color w:val="000000"/>
                      <w:szCs w:val="21"/>
                    </w:rPr>
                  </w:pPr>
                  <w:r>
                    <w:rPr>
                      <w:rFonts w:ascii="Times New Roman" w:hAnsi="Times New Roman"/>
                      <w:bCs/>
                      <w:color w:val="000000"/>
                      <w:szCs w:val="21"/>
                    </w:rPr>
                    <w:t>-107.23</w:t>
                  </w:r>
                </w:p>
              </w:tc>
              <w:tc>
                <w:tcPr>
                  <w:tcW w:w="533" w:type="dxa"/>
                  <w:tcBorders>
                    <w:top w:val="single" w:color="auto" w:sz="6" w:space="0"/>
                    <w:left w:val="single" w:color="auto" w:sz="6" w:space="0"/>
                    <w:bottom w:val="single" w:color="auto" w:sz="6" w:space="0"/>
                    <w:right w:val="single" w:color="auto" w:sz="6" w:space="0"/>
                  </w:tcBorders>
                  <w:vAlign w:val="center"/>
                </w:tcPr>
                <w:p w14:paraId="5DB39F86">
                  <w:pPr>
                    <w:jc w:val="center"/>
                    <w:rPr>
                      <w:szCs w:val="21"/>
                    </w:rPr>
                  </w:pPr>
                  <w:r>
                    <w:rPr>
                      <w:rFonts w:hint="eastAsia"/>
                      <w:bCs/>
                      <w:color w:val="000000"/>
                      <w:szCs w:val="21"/>
                    </w:rPr>
                    <w:t>4.5</w:t>
                  </w:r>
                </w:p>
              </w:tc>
              <w:tc>
                <w:tcPr>
                  <w:tcW w:w="517" w:type="dxa"/>
                  <w:tcBorders>
                    <w:top w:val="single" w:color="auto" w:sz="6" w:space="0"/>
                    <w:left w:val="single" w:color="auto" w:sz="6" w:space="0"/>
                    <w:bottom w:val="single" w:color="auto" w:sz="6" w:space="0"/>
                    <w:right w:val="single" w:color="auto" w:sz="6" w:space="0"/>
                  </w:tcBorders>
                  <w:vAlign w:val="center"/>
                </w:tcPr>
                <w:p w14:paraId="6E5AFC9F">
                  <w:pPr>
                    <w:pStyle w:val="50"/>
                    <w:spacing w:beforeLines="0" w:line="240" w:lineRule="auto"/>
                    <w:rPr>
                      <w:rFonts w:ascii="Times New Roman" w:hAnsi="Times New Roman"/>
                      <w:bCs/>
                      <w:color w:val="000000"/>
                      <w:szCs w:val="21"/>
                    </w:rPr>
                  </w:pPr>
                  <w:r>
                    <w:rPr>
                      <w:rFonts w:ascii="Times New Roman" w:hAnsi="Times New Roman"/>
                      <w:bCs/>
                      <w:color w:val="000000"/>
                      <w:szCs w:val="21"/>
                    </w:rPr>
                    <w:t>5</w:t>
                  </w:r>
                </w:p>
              </w:tc>
              <w:tc>
                <w:tcPr>
                  <w:tcW w:w="644" w:type="dxa"/>
                  <w:tcBorders>
                    <w:top w:val="single" w:color="auto" w:sz="6" w:space="0"/>
                    <w:left w:val="single" w:color="auto" w:sz="6" w:space="0"/>
                    <w:bottom w:val="single" w:color="auto" w:sz="6" w:space="0"/>
                    <w:right w:val="single" w:color="auto" w:sz="6" w:space="0"/>
                  </w:tcBorders>
                  <w:vAlign w:val="center"/>
                </w:tcPr>
                <w:p w14:paraId="29A71BF6">
                  <w:pPr>
                    <w:jc w:val="center"/>
                    <w:rPr>
                      <w:color w:val="000000"/>
                      <w:kern w:val="0"/>
                      <w:szCs w:val="21"/>
                    </w:rPr>
                  </w:pPr>
                  <w:r>
                    <w:rPr>
                      <w:color w:val="000000"/>
                      <w:kern w:val="0"/>
                      <w:szCs w:val="21"/>
                    </w:rPr>
                    <w:t>50-60</w:t>
                  </w:r>
                </w:p>
              </w:tc>
              <w:tc>
                <w:tcPr>
                  <w:tcW w:w="733" w:type="dxa"/>
                  <w:vMerge w:val="continue"/>
                  <w:tcBorders>
                    <w:left w:val="single" w:color="auto" w:sz="6" w:space="0"/>
                    <w:right w:val="single" w:color="auto" w:sz="6" w:space="0"/>
                  </w:tcBorders>
                  <w:vAlign w:val="center"/>
                </w:tcPr>
                <w:p w14:paraId="0E18A20F">
                  <w:pPr>
                    <w:widowControl/>
                    <w:adjustRightInd w:val="0"/>
                    <w:snapToGrid w:val="0"/>
                    <w:jc w:val="center"/>
                    <w:rPr>
                      <w:bCs/>
                      <w:color w:val="000000"/>
                      <w:szCs w:val="21"/>
                    </w:rPr>
                  </w:pPr>
                </w:p>
              </w:tc>
              <w:tc>
                <w:tcPr>
                  <w:tcW w:w="644" w:type="dxa"/>
                  <w:tcBorders>
                    <w:top w:val="single" w:color="auto" w:sz="6" w:space="0"/>
                    <w:left w:val="single" w:color="auto" w:sz="6" w:space="0"/>
                    <w:bottom w:val="single" w:color="auto" w:sz="6" w:space="0"/>
                    <w:right w:val="single" w:color="auto" w:sz="6" w:space="0"/>
                  </w:tcBorders>
                  <w:vAlign w:val="center"/>
                </w:tcPr>
                <w:p w14:paraId="66274139">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68A38FD8">
                  <w:pPr>
                    <w:jc w:val="center"/>
                    <w:rPr>
                      <w:bCs/>
                      <w:color w:val="000000"/>
                      <w:szCs w:val="21"/>
                    </w:rPr>
                  </w:pPr>
                  <w:r>
                    <w:rPr>
                      <w:bCs/>
                      <w:color w:val="000000"/>
                      <w:szCs w:val="21"/>
                    </w:rPr>
                    <w:t>45-50</w:t>
                  </w:r>
                </w:p>
              </w:tc>
              <w:tc>
                <w:tcPr>
                  <w:tcW w:w="402" w:type="dxa"/>
                  <w:tcBorders>
                    <w:top w:val="single" w:color="auto" w:sz="6" w:space="0"/>
                    <w:left w:val="single" w:color="auto" w:sz="6" w:space="0"/>
                    <w:bottom w:val="single" w:color="auto" w:sz="6" w:space="0"/>
                    <w:right w:val="single" w:color="auto" w:sz="12" w:space="0"/>
                  </w:tcBorders>
                  <w:vAlign w:val="center"/>
                </w:tcPr>
                <w:p w14:paraId="623C368C">
                  <w:pPr>
                    <w:pStyle w:val="50"/>
                    <w:spacing w:beforeLines="0" w:line="240" w:lineRule="auto"/>
                    <w:rPr>
                      <w:rFonts w:ascii="Times New Roman" w:hAnsi="Times New Roman"/>
                      <w:bCs/>
                      <w:color w:val="000000"/>
                      <w:szCs w:val="21"/>
                    </w:rPr>
                  </w:pPr>
                  <w:r>
                    <w:rPr>
                      <w:rFonts w:ascii="Times New Roman" w:hAnsi="Times New Roman"/>
                      <w:bCs/>
                      <w:color w:val="000000"/>
                      <w:szCs w:val="21"/>
                    </w:rPr>
                    <w:t>1</w:t>
                  </w:r>
                </w:p>
              </w:tc>
            </w:tr>
            <w:tr w14:paraId="46CB710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dxa"/>
                  <w:tcBorders>
                    <w:top w:val="single" w:color="auto" w:sz="6" w:space="0"/>
                    <w:left w:val="single" w:color="auto" w:sz="12" w:space="0"/>
                    <w:bottom w:val="single" w:color="auto" w:sz="6" w:space="0"/>
                    <w:right w:val="single" w:color="auto" w:sz="6" w:space="0"/>
                  </w:tcBorders>
                  <w:vAlign w:val="center"/>
                </w:tcPr>
                <w:p w14:paraId="48B8AB10">
                  <w:pPr>
                    <w:widowControl/>
                    <w:adjustRightInd w:val="0"/>
                    <w:snapToGrid w:val="0"/>
                    <w:jc w:val="center"/>
                    <w:rPr>
                      <w:bCs/>
                      <w:color w:val="000000"/>
                      <w:szCs w:val="21"/>
                    </w:rPr>
                  </w:pPr>
                  <w:r>
                    <w:rPr>
                      <w:bCs/>
                      <w:color w:val="000000"/>
                      <w:szCs w:val="21"/>
                    </w:rPr>
                    <w:t>16</w:t>
                  </w:r>
                </w:p>
              </w:tc>
              <w:tc>
                <w:tcPr>
                  <w:tcW w:w="431" w:type="dxa"/>
                  <w:vMerge w:val="continue"/>
                  <w:tcBorders>
                    <w:left w:val="single" w:color="auto" w:sz="6" w:space="0"/>
                    <w:right w:val="single" w:color="auto" w:sz="6" w:space="0"/>
                  </w:tcBorders>
                  <w:vAlign w:val="center"/>
                </w:tcPr>
                <w:p w14:paraId="2329271C">
                  <w:pPr>
                    <w:jc w:val="center"/>
                    <w:rPr>
                      <w:color w:val="000000"/>
                      <w:szCs w:val="21"/>
                    </w:rPr>
                  </w:pPr>
                </w:p>
              </w:tc>
              <w:tc>
                <w:tcPr>
                  <w:tcW w:w="707" w:type="dxa"/>
                  <w:tcBorders>
                    <w:top w:val="single" w:color="auto" w:sz="6" w:space="0"/>
                    <w:left w:val="single" w:color="auto" w:sz="6" w:space="0"/>
                    <w:bottom w:val="single" w:color="auto" w:sz="6" w:space="0"/>
                    <w:right w:val="single" w:color="auto" w:sz="6" w:space="0"/>
                  </w:tcBorders>
                  <w:vAlign w:val="center"/>
                </w:tcPr>
                <w:p w14:paraId="0DCFB002">
                  <w:pPr>
                    <w:jc w:val="center"/>
                    <w:rPr>
                      <w:color w:val="000000"/>
                      <w:szCs w:val="21"/>
                    </w:rPr>
                  </w:pPr>
                  <w:r>
                    <w:rPr>
                      <w:color w:val="000000"/>
                      <w:szCs w:val="21"/>
                    </w:rPr>
                    <w:t>分选机</w:t>
                  </w:r>
                </w:p>
              </w:tc>
              <w:tc>
                <w:tcPr>
                  <w:tcW w:w="480" w:type="dxa"/>
                  <w:tcBorders>
                    <w:top w:val="single" w:color="auto" w:sz="6" w:space="0"/>
                    <w:left w:val="single" w:color="auto" w:sz="6" w:space="0"/>
                    <w:bottom w:val="single" w:color="auto" w:sz="6" w:space="0"/>
                    <w:right w:val="single" w:color="auto" w:sz="6" w:space="0"/>
                  </w:tcBorders>
                  <w:vAlign w:val="center"/>
                </w:tcPr>
                <w:p w14:paraId="01FB869A">
                  <w:pPr>
                    <w:jc w:val="center"/>
                    <w:rPr>
                      <w:color w:val="000000"/>
                      <w:szCs w:val="21"/>
                    </w:rPr>
                  </w:pPr>
                  <w:r>
                    <w:rPr>
                      <w:color w:val="000000"/>
                      <w:szCs w:val="21"/>
                    </w:rPr>
                    <w:t>2</w:t>
                  </w:r>
                </w:p>
              </w:tc>
              <w:tc>
                <w:tcPr>
                  <w:tcW w:w="760" w:type="dxa"/>
                  <w:tcBorders>
                    <w:top w:val="single" w:color="auto" w:sz="6" w:space="0"/>
                    <w:left w:val="single" w:color="auto" w:sz="6" w:space="0"/>
                    <w:bottom w:val="single" w:color="auto" w:sz="6" w:space="0"/>
                    <w:right w:val="single" w:color="auto" w:sz="6" w:space="0"/>
                  </w:tcBorders>
                  <w:vAlign w:val="center"/>
                </w:tcPr>
                <w:p w14:paraId="57743B11">
                  <w:pPr>
                    <w:adjustRightInd w:val="0"/>
                    <w:snapToGrid w:val="0"/>
                    <w:jc w:val="center"/>
                    <w:rPr>
                      <w:color w:val="000000"/>
                      <w:szCs w:val="21"/>
                    </w:rPr>
                  </w:pPr>
                  <w:r>
                    <w:rPr>
                      <w:color w:val="000000"/>
                      <w:szCs w:val="21"/>
                    </w:rPr>
                    <w:t>65-75</w:t>
                  </w:r>
                </w:p>
              </w:tc>
              <w:tc>
                <w:tcPr>
                  <w:tcW w:w="520" w:type="dxa"/>
                  <w:vMerge w:val="continue"/>
                  <w:tcBorders>
                    <w:left w:val="single" w:color="auto" w:sz="6" w:space="0"/>
                    <w:right w:val="single" w:color="auto" w:sz="6" w:space="0"/>
                  </w:tcBorders>
                  <w:vAlign w:val="center"/>
                </w:tcPr>
                <w:p w14:paraId="151F34DE">
                  <w:pPr>
                    <w:widowControl/>
                    <w:adjustRightInd w:val="0"/>
                    <w:snapToGrid w:val="0"/>
                    <w:jc w:val="center"/>
                    <w:rPr>
                      <w:color w:val="000000"/>
                      <w:szCs w:val="21"/>
                    </w:rPr>
                  </w:pPr>
                </w:p>
              </w:tc>
              <w:tc>
                <w:tcPr>
                  <w:tcW w:w="586" w:type="dxa"/>
                  <w:tcBorders>
                    <w:top w:val="single" w:color="auto" w:sz="6" w:space="0"/>
                    <w:left w:val="single" w:color="auto" w:sz="6" w:space="0"/>
                    <w:bottom w:val="single" w:color="auto" w:sz="6" w:space="0"/>
                    <w:right w:val="single" w:color="auto" w:sz="6" w:space="0"/>
                  </w:tcBorders>
                  <w:vAlign w:val="center"/>
                </w:tcPr>
                <w:p w14:paraId="2AB9CBC3">
                  <w:pPr>
                    <w:pStyle w:val="50"/>
                    <w:spacing w:beforeLines="0" w:line="240" w:lineRule="auto"/>
                    <w:rPr>
                      <w:rFonts w:ascii="Times New Roman" w:hAnsi="Times New Roman"/>
                      <w:bCs/>
                      <w:color w:val="000000"/>
                      <w:szCs w:val="21"/>
                    </w:rPr>
                  </w:pPr>
                  <w:r>
                    <w:rPr>
                      <w:rFonts w:ascii="Times New Roman" w:hAnsi="Times New Roman"/>
                      <w:bCs/>
                      <w:color w:val="000000"/>
                      <w:szCs w:val="21"/>
                    </w:rPr>
                    <w:t>152.99</w:t>
                  </w:r>
                </w:p>
              </w:tc>
              <w:tc>
                <w:tcPr>
                  <w:tcW w:w="534" w:type="dxa"/>
                  <w:tcBorders>
                    <w:top w:val="single" w:color="auto" w:sz="6" w:space="0"/>
                    <w:left w:val="single" w:color="auto" w:sz="6" w:space="0"/>
                    <w:bottom w:val="single" w:color="auto" w:sz="6" w:space="0"/>
                    <w:right w:val="single" w:color="auto" w:sz="6" w:space="0"/>
                  </w:tcBorders>
                  <w:vAlign w:val="center"/>
                </w:tcPr>
                <w:p w14:paraId="1A291FB4">
                  <w:pPr>
                    <w:pStyle w:val="50"/>
                    <w:spacing w:beforeLines="0" w:line="240" w:lineRule="auto"/>
                    <w:rPr>
                      <w:rFonts w:ascii="Times New Roman" w:hAnsi="Times New Roman"/>
                      <w:bCs/>
                      <w:color w:val="000000"/>
                      <w:szCs w:val="21"/>
                    </w:rPr>
                  </w:pPr>
                  <w:r>
                    <w:rPr>
                      <w:rFonts w:ascii="Times New Roman" w:hAnsi="Times New Roman"/>
                      <w:bCs/>
                      <w:color w:val="000000"/>
                      <w:szCs w:val="21"/>
                    </w:rPr>
                    <w:t>-114.31</w:t>
                  </w:r>
                </w:p>
              </w:tc>
              <w:tc>
                <w:tcPr>
                  <w:tcW w:w="533" w:type="dxa"/>
                  <w:tcBorders>
                    <w:top w:val="single" w:color="auto" w:sz="6" w:space="0"/>
                    <w:left w:val="single" w:color="auto" w:sz="6" w:space="0"/>
                    <w:bottom w:val="single" w:color="auto" w:sz="6" w:space="0"/>
                    <w:right w:val="single" w:color="auto" w:sz="6" w:space="0"/>
                  </w:tcBorders>
                  <w:vAlign w:val="center"/>
                </w:tcPr>
                <w:p w14:paraId="4964BB3E">
                  <w:pPr>
                    <w:jc w:val="center"/>
                    <w:rPr>
                      <w:szCs w:val="21"/>
                    </w:rPr>
                  </w:pPr>
                  <w:r>
                    <w:rPr>
                      <w:bCs/>
                      <w:color w:val="000000"/>
                      <w:szCs w:val="21"/>
                    </w:rPr>
                    <w:t>1.5</w:t>
                  </w:r>
                </w:p>
              </w:tc>
              <w:tc>
                <w:tcPr>
                  <w:tcW w:w="517" w:type="dxa"/>
                  <w:tcBorders>
                    <w:top w:val="single" w:color="auto" w:sz="6" w:space="0"/>
                    <w:left w:val="single" w:color="auto" w:sz="6" w:space="0"/>
                    <w:bottom w:val="single" w:color="auto" w:sz="6" w:space="0"/>
                    <w:right w:val="single" w:color="auto" w:sz="6" w:space="0"/>
                  </w:tcBorders>
                  <w:vAlign w:val="center"/>
                </w:tcPr>
                <w:p w14:paraId="4F6DCFB5">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395AB8AD">
                  <w:pPr>
                    <w:jc w:val="center"/>
                    <w:rPr>
                      <w:color w:val="000000"/>
                      <w:kern w:val="0"/>
                      <w:szCs w:val="21"/>
                    </w:rPr>
                  </w:pPr>
                  <w:r>
                    <w:rPr>
                      <w:color w:val="000000"/>
                      <w:kern w:val="0"/>
                      <w:szCs w:val="21"/>
                    </w:rPr>
                    <w:t>50-60</w:t>
                  </w:r>
                </w:p>
              </w:tc>
              <w:tc>
                <w:tcPr>
                  <w:tcW w:w="733" w:type="dxa"/>
                  <w:vMerge w:val="continue"/>
                  <w:tcBorders>
                    <w:left w:val="single" w:color="auto" w:sz="6" w:space="0"/>
                    <w:right w:val="single" w:color="auto" w:sz="6" w:space="0"/>
                  </w:tcBorders>
                  <w:vAlign w:val="center"/>
                </w:tcPr>
                <w:p w14:paraId="795D3CCB">
                  <w:pPr>
                    <w:widowControl/>
                    <w:adjustRightInd w:val="0"/>
                    <w:snapToGrid w:val="0"/>
                    <w:jc w:val="center"/>
                    <w:rPr>
                      <w:bCs/>
                      <w:color w:val="000000"/>
                      <w:szCs w:val="21"/>
                    </w:rPr>
                  </w:pPr>
                </w:p>
              </w:tc>
              <w:tc>
                <w:tcPr>
                  <w:tcW w:w="644" w:type="dxa"/>
                  <w:tcBorders>
                    <w:top w:val="single" w:color="auto" w:sz="6" w:space="0"/>
                    <w:left w:val="single" w:color="auto" w:sz="6" w:space="0"/>
                    <w:bottom w:val="single" w:color="auto" w:sz="6" w:space="0"/>
                    <w:right w:val="single" w:color="auto" w:sz="6" w:space="0"/>
                  </w:tcBorders>
                  <w:vAlign w:val="center"/>
                </w:tcPr>
                <w:p w14:paraId="752D34C6">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23FAB8FD">
                  <w:pPr>
                    <w:jc w:val="center"/>
                    <w:rPr>
                      <w:bCs/>
                      <w:color w:val="000000"/>
                      <w:szCs w:val="21"/>
                    </w:rPr>
                  </w:pPr>
                  <w:r>
                    <w:rPr>
                      <w:bCs/>
                      <w:color w:val="000000"/>
                      <w:szCs w:val="21"/>
                    </w:rPr>
                    <w:t>45-50</w:t>
                  </w:r>
                </w:p>
              </w:tc>
              <w:tc>
                <w:tcPr>
                  <w:tcW w:w="402" w:type="dxa"/>
                  <w:tcBorders>
                    <w:top w:val="single" w:color="auto" w:sz="6" w:space="0"/>
                    <w:left w:val="single" w:color="auto" w:sz="6" w:space="0"/>
                    <w:bottom w:val="single" w:color="auto" w:sz="6" w:space="0"/>
                    <w:right w:val="single" w:color="auto" w:sz="12" w:space="0"/>
                  </w:tcBorders>
                  <w:vAlign w:val="center"/>
                </w:tcPr>
                <w:p w14:paraId="3A23BEFE">
                  <w:pPr>
                    <w:pStyle w:val="50"/>
                    <w:spacing w:beforeLines="0" w:line="240" w:lineRule="auto"/>
                    <w:rPr>
                      <w:rFonts w:ascii="Times New Roman" w:hAnsi="Times New Roman"/>
                      <w:bCs/>
                      <w:color w:val="000000"/>
                      <w:szCs w:val="21"/>
                    </w:rPr>
                  </w:pPr>
                  <w:r>
                    <w:rPr>
                      <w:rFonts w:ascii="Times New Roman" w:hAnsi="Times New Roman"/>
                      <w:bCs/>
                      <w:color w:val="000000"/>
                      <w:szCs w:val="21"/>
                    </w:rPr>
                    <w:t>1</w:t>
                  </w:r>
                </w:p>
              </w:tc>
            </w:tr>
            <w:tr w14:paraId="7DB7031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dxa"/>
                  <w:tcBorders>
                    <w:top w:val="single" w:color="auto" w:sz="6" w:space="0"/>
                    <w:left w:val="single" w:color="auto" w:sz="12" w:space="0"/>
                    <w:bottom w:val="single" w:color="auto" w:sz="6" w:space="0"/>
                    <w:right w:val="single" w:color="auto" w:sz="6" w:space="0"/>
                  </w:tcBorders>
                  <w:vAlign w:val="center"/>
                </w:tcPr>
                <w:p w14:paraId="5539130E">
                  <w:pPr>
                    <w:widowControl/>
                    <w:adjustRightInd w:val="0"/>
                    <w:snapToGrid w:val="0"/>
                    <w:jc w:val="center"/>
                    <w:rPr>
                      <w:bCs/>
                      <w:color w:val="000000"/>
                      <w:szCs w:val="21"/>
                    </w:rPr>
                  </w:pPr>
                  <w:r>
                    <w:rPr>
                      <w:bCs/>
                      <w:color w:val="000000"/>
                      <w:szCs w:val="21"/>
                    </w:rPr>
                    <w:t>17</w:t>
                  </w:r>
                </w:p>
              </w:tc>
              <w:tc>
                <w:tcPr>
                  <w:tcW w:w="431" w:type="dxa"/>
                  <w:vMerge w:val="continue"/>
                  <w:tcBorders>
                    <w:left w:val="single" w:color="auto" w:sz="6" w:space="0"/>
                    <w:right w:val="single" w:color="auto" w:sz="6" w:space="0"/>
                  </w:tcBorders>
                  <w:vAlign w:val="center"/>
                </w:tcPr>
                <w:p w14:paraId="4B13C22C">
                  <w:pPr>
                    <w:jc w:val="center"/>
                    <w:rPr>
                      <w:color w:val="000000"/>
                      <w:szCs w:val="21"/>
                    </w:rPr>
                  </w:pPr>
                </w:p>
              </w:tc>
              <w:tc>
                <w:tcPr>
                  <w:tcW w:w="707" w:type="dxa"/>
                  <w:tcBorders>
                    <w:top w:val="single" w:color="auto" w:sz="6" w:space="0"/>
                    <w:left w:val="single" w:color="auto" w:sz="6" w:space="0"/>
                    <w:bottom w:val="single" w:color="auto" w:sz="6" w:space="0"/>
                    <w:right w:val="single" w:color="auto" w:sz="6" w:space="0"/>
                  </w:tcBorders>
                  <w:vAlign w:val="center"/>
                </w:tcPr>
                <w:p w14:paraId="5E55CEEC">
                  <w:pPr>
                    <w:jc w:val="center"/>
                    <w:rPr>
                      <w:color w:val="000000"/>
                      <w:szCs w:val="21"/>
                    </w:rPr>
                  </w:pPr>
                  <w:r>
                    <w:rPr>
                      <w:color w:val="000000"/>
                      <w:szCs w:val="21"/>
                    </w:rPr>
                    <w:t>进料提升机</w:t>
                  </w:r>
                </w:p>
              </w:tc>
              <w:tc>
                <w:tcPr>
                  <w:tcW w:w="480" w:type="dxa"/>
                  <w:tcBorders>
                    <w:top w:val="single" w:color="auto" w:sz="6" w:space="0"/>
                    <w:left w:val="single" w:color="auto" w:sz="6" w:space="0"/>
                    <w:bottom w:val="single" w:color="auto" w:sz="6" w:space="0"/>
                    <w:right w:val="single" w:color="auto" w:sz="6" w:space="0"/>
                  </w:tcBorders>
                  <w:vAlign w:val="center"/>
                </w:tcPr>
                <w:p w14:paraId="63F5A25E">
                  <w:pPr>
                    <w:jc w:val="center"/>
                    <w:rPr>
                      <w:color w:val="000000"/>
                      <w:szCs w:val="21"/>
                    </w:rPr>
                  </w:pPr>
                  <w:r>
                    <w:rPr>
                      <w:color w:val="000000"/>
                      <w:szCs w:val="21"/>
                    </w:rPr>
                    <w:t>2</w:t>
                  </w:r>
                </w:p>
              </w:tc>
              <w:tc>
                <w:tcPr>
                  <w:tcW w:w="760" w:type="dxa"/>
                  <w:tcBorders>
                    <w:top w:val="single" w:color="auto" w:sz="6" w:space="0"/>
                    <w:left w:val="single" w:color="auto" w:sz="6" w:space="0"/>
                    <w:bottom w:val="single" w:color="auto" w:sz="6" w:space="0"/>
                    <w:right w:val="single" w:color="auto" w:sz="6" w:space="0"/>
                  </w:tcBorders>
                  <w:vAlign w:val="center"/>
                </w:tcPr>
                <w:p w14:paraId="258183C8">
                  <w:pPr>
                    <w:adjustRightInd w:val="0"/>
                    <w:snapToGrid w:val="0"/>
                    <w:jc w:val="center"/>
                    <w:rPr>
                      <w:color w:val="000000"/>
                      <w:szCs w:val="21"/>
                    </w:rPr>
                  </w:pPr>
                  <w:r>
                    <w:rPr>
                      <w:color w:val="000000"/>
                      <w:szCs w:val="21"/>
                    </w:rPr>
                    <w:t>70-80</w:t>
                  </w:r>
                </w:p>
              </w:tc>
              <w:tc>
                <w:tcPr>
                  <w:tcW w:w="520" w:type="dxa"/>
                  <w:vMerge w:val="continue"/>
                  <w:tcBorders>
                    <w:left w:val="single" w:color="auto" w:sz="6" w:space="0"/>
                    <w:right w:val="single" w:color="auto" w:sz="6" w:space="0"/>
                  </w:tcBorders>
                  <w:vAlign w:val="center"/>
                </w:tcPr>
                <w:p w14:paraId="63C7CC4A">
                  <w:pPr>
                    <w:widowControl/>
                    <w:adjustRightInd w:val="0"/>
                    <w:snapToGrid w:val="0"/>
                    <w:jc w:val="center"/>
                    <w:rPr>
                      <w:color w:val="000000"/>
                      <w:szCs w:val="21"/>
                    </w:rPr>
                  </w:pPr>
                </w:p>
              </w:tc>
              <w:tc>
                <w:tcPr>
                  <w:tcW w:w="586" w:type="dxa"/>
                  <w:tcBorders>
                    <w:top w:val="single" w:color="auto" w:sz="6" w:space="0"/>
                    <w:left w:val="single" w:color="auto" w:sz="6" w:space="0"/>
                    <w:bottom w:val="single" w:color="auto" w:sz="6" w:space="0"/>
                    <w:right w:val="single" w:color="auto" w:sz="6" w:space="0"/>
                  </w:tcBorders>
                  <w:vAlign w:val="center"/>
                </w:tcPr>
                <w:p w14:paraId="0C5C7C19">
                  <w:pPr>
                    <w:pStyle w:val="50"/>
                    <w:spacing w:beforeLines="0" w:line="240" w:lineRule="auto"/>
                    <w:rPr>
                      <w:rFonts w:ascii="Times New Roman" w:hAnsi="Times New Roman"/>
                      <w:bCs/>
                      <w:color w:val="000000"/>
                      <w:szCs w:val="21"/>
                    </w:rPr>
                  </w:pPr>
                  <w:r>
                    <w:rPr>
                      <w:rFonts w:ascii="Times New Roman" w:hAnsi="Times New Roman"/>
                      <w:bCs/>
                      <w:color w:val="000000"/>
                      <w:szCs w:val="21"/>
                    </w:rPr>
                    <w:t>163.54</w:t>
                  </w:r>
                </w:p>
              </w:tc>
              <w:tc>
                <w:tcPr>
                  <w:tcW w:w="534" w:type="dxa"/>
                  <w:tcBorders>
                    <w:top w:val="single" w:color="auto" w:sz="6" w:space="0"/>
                    <w:left w:val="single" w:color="auto" w:sz="6" w:space="0"/>
                    <w:bottom w:val="single" w:color="auto" w:sz="6" w:space="0"/>
                    <w:right w:val="single" w:color="auto" w:sz="6" w:space="0"/>
                  </w:tcBorders>
                  <w:vAlign w:val="center"/>
                </w:tcPr>
                <w:p w14:paraId="55A7BFDC">
                  <w:pPr>
                    <w:pStyle w:val="50"/>
                    <w:spacing w:beforeLines="0" w:line="240" w:lineRule="auto"/>
                    <w:rPr>
                      <w:rFonts w:ascii="Times New Roman" w:hAnsi="Times New Roman"/>
                      <w:bCs/>
                      <w:color w:val="000000"/>
                      <w:szCs w:val="21"/>
                    </w:rPr>
                  </w:pPr>
                  <w:r>
                    <w:rPr>
                      <w:rFonts w:ascii="Times New Roman" w:hAnsi="Times New Roman"/>
                      <w:bCs/>
                      <w:color w:val="000000"/>
                      <w:szCs w:val="21"/>
                    </w:rPr>
                    <w:t>-115.71</w:t>
                  </w:r>
                </w:p>
              </w:tc>
              <w:tc>
                <w:tcPr>
                  <w:tcW w:w="533" w:type="dxa"/>
                  <w:tcBorders>
                    <w:top w:val="single" w:color="auto" w:sz="6" w:space="0"/>
                    <w:left w:val="single" w:color="auto" w:sz="6" w:space="0"/>
                    <w:bottom w:val="single" w:color="auto" w:sz="6" w:space="0"/>
                    <w:right w:val="single" w:color="auto" w:sz="6" w:space="0"/>
                  </w:tcBorders>
                  <w:vAlign w:val="center"/>
                </w:tcPr>
                <w:p w14:paraId="01B8723A">
                  <w:pPr>
                    <w:jc w:val="center"/>
                    <w:rPr>
                      <w:szCs w:val="21"/>
                    </w:rPr>
                  </w:pPr>
                  <w:r>
                    <w:rPr>
                      <w:bCs/>
                      <w:color w:val="000000"/>
                      <w:szCs w:val="21"/>
                    </w:rPr>
                    <w:t>1.5</w:t>
                  </w:r>
                </w:p>
              </w:tc>
              <w:tc>
                <w:tcPr>
                  <w:tcW w:w="517" w:type="dxa"/>
                  <w:tcBorders>
                    <w:top w:val="single" w:color="auto" w:sz="6" w:space="0"/>
                    <w:left w:val="single" w:color="auto" w:sz="6" w:space="0"/>
                    <w:bottom w:val="single" w:color="auto" w:sz="6" w:space="0"/>
                    <w:right w:val="single" w:color="auto" w:sz="6" w:space="0"/>
                  </w:tcBorders>
                  <w:vAlign w:val="center"/>
                </w:tcPr>
                <w:p w14:paraId="5DCBF77B">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201EE3D7">
                  <w:pPr>
                    <w:pStyle w:val="50"/>
                    <w:spacing w:beforeLines="0" w:line="240" w:lineRule="auto"/>
                    <w:rPr>
                      <w:rFonts w:ascii="Times New Roman" w:hAnsi="Times New Roman"/>
                      <w:color w:val="000000"/>
                      <w:kern w:val="0"/>
                      <w:szCs w:val="21"/>
                    </w:rPr>
                  </w:pPr>
                  <w:r>
                    <w:rPr>
                      <w:rFonts w:ascii="Times New Roman" w:hAnsi="Times New Roman"/>
                      <w:color w:val="000000"/>
                      <w:kern w:val="0"/>
                      <w:szCs w:val="21"/>
                    </w:rPr>
                    <w:t>60-65</w:t>
                  </w:r>
                </w:p>
              </w:tc>
              <w:tc>
                <w:tcPr>
                  <w:tcW w:w="733" w:type="dxa"/>
                  <w:vMerge w:val="continue"/>
                  <w:tcBorders>
                    <w:left w:val="single" w:color="auto" w:sz="6" w:space="0"/>
                    <w:right w:val="single" w:color="auto" w:sz="6" w:space="0"/>
                  </w:tcBorders>
                  <w:vAlign w:val="center"/>
                </w:tcPr>
                <w:p w14:paraId="0560E3F5">
                  <w:pPr>
                    <w:widowControl/>
                    <w:adjustRightInd w:val="0"/>
                    <w:snapToGrid w:val="0"/>
                    <w:jc w:val="center"/>
                    <w:rPr>
                      <w:bCs/>
                      <w:color w:val="000000"/>
                      <w:szCs w:val="21"/>
                    </w:rPr>
                  </w:pPr>
                </w:p>
              </w:tc>
              <w:tc>
                <w:tcPr>
                  <w:tcW w:w="644" w:type="dxa"/>
                  <w:tcBorders>
                    <w:top w:val="single" w:color="auto" w:sz="6" w:space="0"/>
                    <w:left w:val="single" w:color="auto" w:sz="6" w:space="0"/>
                    <w:bottom w:val="single" w:color="auto" w:sz="6" w:space="0"/>
                    <w:right w:val="single" w:color="auto" w:sz="6" w:space="0"/>
                  </w:tcBorders>
                  <w:vAlign w:val="center"/>
                </w:tcPr>
                <w:p w14:paraId="636FDA42">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7B4B0388">
                  <w:pPr>
                    <w:pStyle w:val="50"/>
                    <w:spacing w:beforeLines="0" w:line="240" w:lineRule="auto"/>
                    <w:rPr>
                      <w:rFonts w:ascii="Times New Roman" w:hAnsi="Times New Roman"/>
                      <w:bCs/>
                      <w:color w:val="000000"/>
                      <w:szCs w:val="21"/>
                    </w:rPr>
                  </w:pPr>
                  <w:r>
                    <w:rPr>
                      <w:rFonts w:ascii="Times New Roman" w:hAnsi="Times New Roman"/>
                      <w:bCs/>
                      <w:color w:val="000000"/>
                      <w:szCs w:val="21"/>
                    </w:rPr>
                    <w:t>50-55</w:t>
                  </w:r>
                </w:p>
              </w:tc>
              <w:tc>
                <w:tcPr>
                  <w:tcW w:w="402" w:type="dxa"/>
                  <w:tcBorders>
                    <w:top w:val="single" w:color="auto" w:sz="6" w:space="0"/>
                    <w:left w:val="single" w:color="auto" w:sz="6" w:space="0"/>
                    <w:bottom w:val="single" w:color="auto" w:sz="6" w:space="0"/>
                    <w:right w:val="single" w:color="auto" w:sz="12" w:space="0"/>
                  </w:tcBorders>
                  <w:vAlign w:val="center"/>
                </w:tcPr>
                <w:p w14:paraId="6425C144">
                  <w:pPr>
                    <w:pStyle w:val="50"/>
                    <w:spacing w:beforeLines="0" w:line="240" w:lineRule="auto"/>
                    <w:rPr>
                      <w:rFonts w:ascii="Times New Roman" w:hAnsi="Times New Roman"/>
                      <w:bCs/>
                      <w:color w:val="000000"/>
                      <w:szCs w:val="21"/>
                    </w:rPr>
                  </w:pPr>
                  <w:r>
                    <w:rPr>
                      <w:rFonts w:ascii="Times New Roman" w:hAnsi="Times New Roman"/>
                      <w:bCs/>
                      <w:color w:val="000000"/>
                      <w:szCs w:val="21"/>
                    </w:rPr>
                    <w:t>1</w:t>
                  </w:r>
                </w:p>
              </w:tc>
            </w:tr>
            <w:tr w14:paraId="0563588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dxa"/>
                  <w:tcBorders>
                    <w:top w:val="single" w:color="auto" w:sz="6" w:space="0"/>
                    <w:left w:val="single" w:color="auto" w:sz="12" w:space="0"/>
                    <w:bottom w:val="single" w:color="auto" w:sz="6" w:space="0"/>
                    <w:right w:val="single" w:color="auto" w:sz="6" w:space="0"/>
                  </w:tcBorders>
                  <w:vAlign w:val="center"/>
                </w:tcPr>
                <w:p w14:paraId="06FEC3A7">
                  <w:pPr>
                    <w:widowControl/>
                    <w:adjustRightInd w:val="0"/>
                    <w:snapToGrid w:val="0"/>
                    <w:jc w:val="center"/>
                    <w:rPr>
                      <w:bCs/>
                      <w:color w:val="000000"/>
                      <w:szCs w:val="21"/>
                    </w:rPr>
                  </w:pPr>
                  <w:r>
                    <w:rPr>
                      <w:bCs/>
                      <w:color w:val="000000"/>
                      <w:szCs w:val="21"/>
                    </w:rPr>
                    <w:t>18</w:t>
                  </w:r>
                </w:p>
              </w:tc>
              <w:tc>
                <w:tcPr>
                  <w:tcW w:w="431" w:type="dxa"/>
                  <w:vMerge w:val="continue"/>
                  <w:tcBorders>
                    <w:left w:val="single" w:color="auto" w:sz="6" w:space="0"/>
                    <w:right w:val="single" w:color="auto" w:sz="6" w:space="0"/>
                  </w:tcBorders>
                  <w:vAlign w:val="center"/>
                </w:tcPr>
                <w:p w14:paraId="5BC4A9D1">
                  <w:pPr>
                    <w:jc w:val="center"/>
                    <w:rPr>
                      <w:color w:val="000000"/>
                      <w:szCs w:val="21"/>
                    </w:rPr>
                  </w:pPr>
                </w:p>
              </w:tc>
              <w:tc>
                <w:tcPr>
                  <w:tcW w:w="707" w:type="dxa"/>
                  <w:tcBorders>
                    <w:top w:val="single" w:color="auto" w:sz="6" w:space="0"/>
                    <w:left w:val="single" w:color="auto" w:sz="6" w:space="0"/>
                    <w:bottom w:val="single" w:color="auto" w:sz="6" w:space="0"/>
                    <w:right w:val="single" w:color="auto" w:sz="6" w:space="0"/>
                  </w:tcBorders>
                  <w:vAlign w:val="center"/>
                </w:tcPr>
                <w:p w14:paraId="04F25F4F">
                  <w:pPr>
                    <w:jc w:val="center"/>
                    <w:rPr>
                      <w:color w:val="000000"/>
                      <w:szCs w:val="21"/>
                    </w:rPr>
                  </w:pPr>
                  <w:r>
                    <w:rPr>
                      <w:color w:val="000000"/>
                      <w:szCs w:val="21"/>
                    </w:rPr>
                    <w:t>滚揉机</w:t>
                  </w:r>
                </w:p>
              </w:tc>
              <w:tc>
                <w:tcPr>
                  <w:tcW w:w="480" w:type="dxa"/>
                  <w:tcBorders>
                    <w:top w:val="single" w:color="auto" w:sz="6" w:space="0"/>
                    <w:left w:val="single" w:color="auto" w:sz="6" w:space="0"/>
                    <w:bottom w:val="single" w:color="auto" w:sz="6" w:space="0"/>
                    <w:right w:val="single" w:color="auto" w:sz="6" w:space="0"/>
                  </w:tcBorders>
                  <w:vAlign w:val="center"/>
                </w:tcPr>
                <w:p w14:paraId="1AF43954">
                  <w:pPr>
                    <w:jc w:val="center"/>
                    <w:rPr>
                      <w:color w:val="000000"/>
                      <w:szCs w:val="21"/>
                    </w:rPr>
                  </w:pPr>
                  <w:r>
                    <w:rPr>
                      <w:color w:val="000000"/>
                      <w:szCs w:val="21"/>
                    </w:rPr>
                    <w:t>2</w:t>
                  </w:r>
                </w:p>
              </w:tc>
              <w:tc>
                <w:tcPr>
                  <w:tcW w:w="760" w:type="dxa"/>
                  <w:tcBorders>
                    <w:top w:val="single" w:color="auto" w:sz="6" w:space="0"/>
                    <w:left w:val="single" w:color="auto" w:sz="6" w:space="0"/>
                    <w:bottom w:val="single" w:color="auto" w:sz="6" w:space="0"/>
                    <w:right w:val="single" w:color="auto" w:sz="6" w:space="0"/>
                  </w:tcBorders>
                  <w:vAlign w:val="center"/>
                </w:tcPr>
                <w:p w14:paraId="01BD503D">
                  <w:pPr>
                    <w:adjustRightInd w:val="0"/>
                    <w:snapToGrid w:val="0"/>
                    <w:jc w:val="center"/>
                    <w:rPr>
                      <w:color w:val="000000"/>
                      <w:szCs w:val="21"/>
                    </w:rPr>
                  </w:pPr>
                  <w:r>
                    <w:rPr>
                      <w:color w:val="000000"/>
                      <w:szCs w:val="21"/>
                    </w:rPr>
                    <w:t>75-85</w:t>
                  </w:r>
                </w:p>
              </w:tc>
              <w:tc>
                <w:tcPr>
                  <w:tcW w:w="520" w:type="dxa"/>
                  <w:vMerge w:val="continue"/>
                  <w:tcBorders>
                    <w:left w:val="single" w:color="auto" w:sz="6" w:space="0"/>
                    <w:right w:val="single" w:color="auto" w:sz="6" w:space="0"/>
                  </w:tcBorders>
                  <w:vAlign w:val="center"/>
                </w:tcPr>
                <w:p w14:paraId="2CEF4E59">
                  <w:pPr>
                    <w:widowControl/>
                    <w:adjustRightInd w:val="0"/>
                    <w:snapToGrid w:val="0"/>
                    <w:jc w:val="center"/>
                    <w:rPr>
                      <w:color w:val="000000"/>
                      <w:szCs w:val="21"/>
                    </w:rPr>
                  </w:pPr>
                </w:p>
              </w:tc>
              <w:tc>
                <w:tcPr>
                  <w:tcW w:w="586" w:type="dxa"/>
                  <w:tcBorders>
                    <w:top w:val="single" w:color="auto" w:sz="6" w:space="0"/>
                    <w:left w:val="single" w:color="auto" w:sz="6" w:space="0"/>
                    <w:bottom w:val="single" w:color="auto" w:sz="6" w:space="0"/>
                    <w:right w:val="single" w:color="auto" w:sz="6" w:space="0"/>
                  </w:tcBorders>
                  <w:vAlign w:val="center"/>
                </w:tcPr>
                <w:p w14:paraId="29FDDE66">
                  <w:pPr>
                    <w:pStyle w:val="50"/>
                    <w:spacing w:beforeLines="0" w:line="240" w:lineRule="auto"/>
                    <w:rPr>
                      <w:rFonts w:ascii="Times New Roman" w:hAnsi="Times New Roman"/>
                      <w:bCs/>
                      <w:color w:val="000000"/>
                      <w:szCs w:val="21"/>
                    </w:rPr>
                  </w:pPr>
                  <w:r>
                    <w:rPr>
                      <w:rFonts w:ascii="Times New Roman" w:hAnsi="Times New Roman"/>
                      <w:bCs/>
                      <w:color w:val="000000"/>
                      <w:szCs w:val="21"/>
                    </w:rPr>
                    <w:t>167.17</w:t>
                  </w:r>
                </w:p>
              </w:tc>
              <w:tc>
                <w:tcPr>
                  <w:tcW w:w="534" w:type="dxa"/>
                  <w:tcBorders>
                    <w:top w:val="single" w:color="auto" w:sz="6" w:space="0"/>
                    <w:left w:val="single" w:color="auto" w:sz="6" w:space="0"/>
                    <w:bottom w:val="single" w:color="auto" w:sz="6" w:space="0"/>
                    <w:right w:val="single" w:color="auto" w:sz="6" w:space="0"/>
                  </w:tcBorders>
                  <w:vAlign w:val="center"/>
                </w:tcPr>
                <w:p w14:paraId="01C56671">
                  <w:pPr>
                    <w:pStyle w:val="50"/>
                    <w:spacing w:beforeLines="0" w:line="240" w:lineRule="auto"/>
                    <w:rPr>
                      <w:rFonts w:ascii="Times New Roman" w:hAnsi="Times New Roman"/>
                      <w:bCs/>
                      <w:color w:val="000000"/>
                      <w:szCs w:val="21"/>
                    </w:rPr>
                  </w:pPr>
                  <w:r>
                    <w:rPr>
                      <w:rFonts w:ascii="Times New Roman" w:hAnsi="Times New Roman"/>
                      <w:bCs/>
                      <w:color w:val="000000"/>
                      <w:szCs w:val="21"/>
                    </w:rPr>
                    <w:t>-116.12</w:t>
                  </w:r>
                </w:p>
              </w:tc>
              <w:tc>
                <w:tcPr>
                  <w:tcW w:w="533" w:type="dxa"/>
                  <w:tcBorders>
                    <w:top w:val="single" w:color="auto" w:sz="6" w:space="0"/>
                    <w:left w:val="single" w:color="auto" w:sz="6" w:space="0"/>
                    <w:bottom w:val="single" w:color="auto" w:sz="6" w:space="0"/>
                    <w:right w:val="single" w:color="auto" w:sz="6" w:space="0"/>
                  </w:tcBorders>
                  <w:vAlign w:val="center"/>
                </w:tcPr>
                <w:p w14:paraId="65954B29">
                  <w:pPr>
                    <w:jc w:val="center"/>
                    <w:rPr>
                      <w:szCs w:val="21"/>
                    </w:rPr>
                  </w:pPr>
                  <w:r>
                    <w:rPr>
                      <w:bCs/>
                      <w:color w:val="000000"/>
                      <w:szCs w:val="21"/>
                    </w:rPr>
                    <w:t>1.5</w:t>
                  </w:r>
                </w:p>
              </w:tc>
              <w:tc>
                <w:tcPr>
                  <w:tcW w:w="517" w:type="dxa"/>
                  <w:tcBorders>
                    <w:top w:val="single" w:color="auto" w:sz="6" w:space="0"/>
                    <w:left w:val="single" w:color="auto" w:sz="6" w:space="0"/>
                    <w:bottom w:val="single" w:color="auto" w:sz="6" w:space="0"/>
                    <w:right w:val="single" w:color="auto" w:sz="6" w:space="0"/>
                  </w:tcBorders>
                  <w:vAlign w:val="center"/>
                </w:tcPr>
                <w:p w14:paraId="0CAD4DC7">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1FDC7DB7">
                  <w:pPr>
                    <w:pStyle w:val="50"/>
                    <w:spacing w:beforeLines="0" w:line="240" w:lineRule="auto"/>
                    <w:rPr>
                      <w:rFonts w:ascii="Times New Roman" w:hAnsi="Times New Roman"/>
                      <w:color w:val="000000"/>
                      <w:kern w:val="0"/>
                      <w:szCs w:val="21"/>
                    </w:rPr>
                  </w:pPr>
                  <w:r>
                    <w:rPr>
                      <w:rFonts w:ascii="Times New Roman" w:hAnsi="Times New Roman"/>
                      <w:color w:val="000000"/>
                      <w:kern w:val="0"/>
                      <w:szCs w:val="21"/>
                    </w:rPr>
                    <w:t>60-65</w:t>
                  </w:r>
                </w:p>
              </w:tc>
              <w:tc>
                <w:tcPr>
                  <w:tcW w:w="733" w:type="dxa"/>
                  <w:vMerge w:val="continue"/>
                  <w:tcBorders>
                    <w:left w:val="single" w:color="auto" w:sz="6" w:space="0"/>
                    <w:right w:val="single" w:color="auto" w:sz="6" w:space="0"/>
                  </w:tcBorders>
                  <w:vAlign w:val="center"/>
                </w:tcPr>
                <w:p w14:paraId="63B8B4BB">
                  <w:pPr>
                    <w:widowControl/>
                    <w:adjustRightInd w:val="0"/>
                    <w:snapToGrid w:val="0"/>
                    <w:jc w:val="center"/>
                    <w:rPr>
                      <w:bCs/>
                      <w:color w:val="000000"/>
                      <w:szCs w:val="21"/>
                    </w:rPr>
                  </w:pPr>
                </w:p>
              </w:tc>
              <w:tc>
                <w:tcPr>
                  <w:tcW w:w="644" w:type="dxa"/>
                  <w:tcBorders>
                    <w:top w:val="single" w:color="auto" w:sz="6" w:space="0"/>
                    <w:left w:val="single" w:color="auto" w:sz="6" w:space="0"/>
                    <w:bottom w:val="single" w:color="auto" w:sz="6" w:space="0"/>
                    <w:right w:val="single" w:color="auto" w:sz="6" w:space="0"/>
                  </w:tcBorders>
                  <w:vAlign w:val="center"/>
                </w:tcPr>
                <w:p w14:paraId="7AEBFEB2">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3F8B8AC3">
                  <w:pPr>
                    <w:pStyle w:val="50"/>
                    <w:spacing w:beforeLines="0" w:line="240" w:lineRule="auto"/>
                    <w:rPr>
                      <w:rFonts w:ascii="Times New Roman" w:hAnsi="Times New Roman"/>
                      <w:bCs/>
                      <w:color w:val="000000"/>
                      <w:szCs w:val="21"/>
                    </w:rPr>
                  </w:pPr>
                  <w:r>
                    <w:rPr>
                      <w:rFonts w:ascii="Times New Roman" w:hAnsi="Times New Roman"/>
                      <w:bCs/>
                      <w:color w:val="000000"/>
                      <w:szCs w:val="21"/>
                    </w:rPr>
                    <w:t>50-55</w:t>
                  </w:r>
                </w:p>
              </w:tc>
              <w:tc>
                <w:tcPr>
                  <w:tcW w:w="402" w:type="dxa"/>
                  <w:tcBorders>
                    <w:top w:val="single" w:color="auto" w:sz="6" w:space="0"/>
                    <w:left w:val="single" w:color="auto" w:sz="6" w:space="0"/>
                    <w:bottom w:val="single" w:color="auto" w:sz="6" w:space="0"/>
                    <w:right w:val="single" w:color="auto" w:sz="12" w:space="0"/>
                  </w:tcBorders>
                  <w:vAlign w:val="center"/>
                </w:tcPr>
                <w:p w14:paraId="33D3C4F7">
                  <w:pPr>
                    <w:pStyle w:val="50"/>
                    <w:spacing w:beforeLines="0" w:line="240" w:lineRule="auto"/>
                    <w:rPr>
                      <w:rFonts w:ascii="Times New Roman" w:hAnsi="Times New Roman"/>
                      <w:bCs/>
                      <w:color w:val="000000"/>
                      <w:szCs w:val="21"/>
                    </w:rPr>
                  </w:pPr>
                  <w:r>
                    <w:rPr>
                      <w:rFonts w:ascii="Times New Roman" w:hAnsi="Times New Roman"/>
                      <w:bCs/>
                      <w:color w:val="000000"/>
                      <w:szCs w:val="21"/>
                    </w:rPr>
                    <w:t>1</w:t>
                  </w:r>
                </w:p>
              </w:tc>
            </w:tr>
            <w:tr w14:paraId="239E6F2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dxa"/>
                  <w:tcBorders>
                    <w:top w:val="single" w:color="auto" w:sz="6" w:space="0"/>
                    <w:left w:val="single" w:color="auto" w:sz="12" w:space="0"/>
                    <w:bottom w:val="single" w:color="auto" w:sz="6" w:space="0"/>
                    <w:right w:val="single" w:color="auto" w:sz="6" w:space="0"/>
                  </w:tcBorders>
                  <w:vAlign w:val="center"/>
                </w:tcPr>
                <w:p w14:paraId="6F8D98C4">
                  <w:pPr>
                    <w:widowControl/>
                    <w:adjustRightInd w:val="0"/>
                    <w:snapToGrid w:val="0"/>
                    <w:jc w:val="center"/>
                    <w:rPr>
                      <w:bCs/>
                      <w:color w:val="000000"/>
                      <w:szCs w:val="21"/>
                    </w:rPr>
                  </w:pPr>
                  <w:r>
                    <w:rPr>
                      <w:bCs/>
                      <w:color w:val="000000"/>
                      <w:szCs w:val="21"/>
                    </w:rPr>
                    <w:t>19</w:t>
                  </w:r>
                </w:p>
              </w:tc>
              <w:tc>
                <w:tcPr>
                  <w:tcW w:w="431" w:type="dxa"/>
                  <w:vMerge w:val="continue"/>
                  <w:tcBorders>
                    <w:left w:val="single" w:color="auto" w:sz="6" w:space="0"/>
                    <w:right w:val="single" w:color="auto" w:sz="6" w:space="0"/>
                  </w:tcBorders>
                  <w:vAlign w:val="center"/>
                </w:tcPr>
                <w:p w14:paraId="505FB96F">
                  <w:pPr>
                    <w:jc w:val="center"/>
                    <w:rPr>
                      <w:color w:val="000000"/>
                      <w:szCs w:val="21"/>
                    </w:rPr>
                  </w:pPr>
                </w:p>
              </w:tc>
              <w:tc>
                <w:tcPr>
                  <w:tcW w:w="707" w:type="dxa"/>
                  <w:tcBorders>
                    <w:top w:val="single" w:color="auto" w:sz="6" w:space="0"/>
                    <w:left w:val="single" w:color="auto" w:sz="6" w:space="0"/>
                    <w:bottom w:val="single" w:color="auto" w:sz="6" w:space="0"/>
                    <w:right w:val="single" w:color="auto" w:sz="6" w:space="0"/>
                  </w:tcBorders>
                  <w:vAlign w:val="center"/>
                </w:tcPr>
                <w:p w14:paraId="09F65C28">
                  <w:pPr>
                    <w:jc w:val="center"/>
                    <w:rPr>
                      <w:color w:val="000000"/>
                      <w:szCs w:val="21"/>
                    </w:rPr>
                  </w:pPr>
                  <w:r>
                    <w:rPr>
                      <w:color w:val="000000"/>
                      <w:szCs w:val="21"/>
                    </w:rPr>
                    <w:t>焯水卤煮线</w:t>
                  </w:r>
                </w:p>
              </w:tc>
              <w:tc>
                <w:tcPr>
                  <w:tcW w:w="480" w:type="dxa"/>
                  <w:tcBorders>
                    <w:top w:val="single" w:color="auto" w:sz="6" w:space="0"/>
                    <w:left w:val="single" w:color="auto" w:sz="6" w:space="0"/>
                    <w:bottom w:val="single" w:color="auto" w:sz="6" w:space="0"/>
                    <w:right w:val="single" w:color="auto" w:sz="6" w:space="0"/>
                  </w:tcBorders>
                  <w:vAlign w:val="center"/>
                </w:tcPr>
                <w:p w14:paraId="0F999856">
                  <w:pPr>
                    <w:jc w:val="center"/>
                    <w:rPr>
                      <w:color w:val="000000"/>
                      <w:szCs w:val="21"/>
                    </w:rPr>
                  </w:pPr>
                  <w:r>
                    <w:rPr>
                      <w:color w:val="000000"/>
                      <w:szCs w:val="21"/>
                    </w:rPr>
                    <w:t>1</w:t>
                  </w:r>
                </w:p>
              </w:tc>
              <w:tc>
                <w:tcPr>
                  <w:tcW w:w="760" w:type="dxa"/>
                  <w:tcBorders>
                    <w:top w:val="single" w:color="auto" w:sz="6" w:space="0"/>
                    <w:left w:val="single" w:color="auto" w:sz="6" w:space="0"/>
                    <w:bottom w:val="single" w:color="auto" w:sz="6" w:space="0"/>
                    <w:right w:val="single" w:color="auto" w:sz="6" w:space="0"/>
                  </w:tcBorders>
                  <w:vAlign w:val="center"/>
                </w:tcPr>
                <w:p w14:paraId="686073EC">
                  <w:pPr>
                    <w:adjustRightInd w:val="0"/>
                    <w:snapToGrid w:val="0"/>
                    <w:jc w:val="center"/>
                    <w:rPr>
                      <w:color w:val="000000"/>
                      <w:szCs w:val="21"/>
                    </w:rPr>
                  </w:pPr>
                  <w:r>
                    <w:rPr>
                      <w:color w:val="000000"/>
                      <w:szCs w:val="21"/>
                    </w:rPr>
                    <w:t>60-70</w:t>
                  </w:r>
                </w:p>
              </w:tc>
              <w:tc>
                <w:tcPr>
                  <w:tcW w:w="520" w:type="dxa"/>
                  <w:vMerge w:val="continue"/>
                  <w:tcBorders>
                    <w:left w:val="single" w:color="auto" w:sz="6" w:space="0"/>
                    <w:right w:val="single" w:color="auto" w:sz="6" w:space="0"/>
                  </w:tcBorders>
                  <w:vAlign w:val="center"/>
                </w:tcPr>
                <w:p w14:paraId="4C819B66">
                  <w:pPr>
                    <w:widowControl/>
                    <w:adjustRightInd w:val="0"/>
                    <w:snapToGrid w:val="0"/>
                    <w:jc w:val="center"/>
                    <w:rPr>
                      <w:color w:val="000000"/>
                      <w:szCs w:val="21"/>
                    </w:rPr>
                  </w:pPr>
                </w:p>
              </w:tc>
              <w:tc>
                <w:tcPr>
                  <w:tcW w:w="586" w:type="dxa"/>
                  <w:tcBorders>
                    <w:top w:val="single" w:color="auto" w:sz="6" w:space="0"/>
                    <w:left w:val="single" w:color="auto" w:sz="6" w:space="0"/>
                    <w:bottom w:val="single" w:color="auto" w:sz="6" w:space="0"/>
                    <w:right w:val="single" w:color="auto" w:sz="6" w:space="0"/>
                  </w:tcBorders>
                  <w:vAlign w:val="center"/>
                </w:tcPr>
                <w:p w14:paraId="578974D8">
                  <w:pPr>
                    <w:pStyle w:val="50"/>
                    <w:spacing w:beforeLines="0" w:line="240" w:lineRule="auto"/>
                    <w:rPr>
                      <w:rFonts w:ascii="Times New Roman" w:hAnsi="Times New Roman"/>
                      <w:bCs/>
                      <w:color w:val="000000"/>
                      <w:szCs w:val="21"/>
                    </w:rPr>
                  </w:pPr>
                  <w:r>
                    <w:rPr>
                      <w:rFonts w:ascii="Times New Roman" w:hAnsi="Times New Roman"/>
                      <w:bCs/>
                      <w:color w:val="000000"/>
                      <w:szCs w:val="21"/>
                    </w:rPr>
                    <w:t>144.26</w:t>
                  </w:r>
                </w:p>
              </w:tc>
              <w:tc>
                <w:tcPr>
                  <w:tcW w:w="534" w:type="dxa"/>
                  <w:tcBorders>
                    <w:top w:val="single" w:color="auto" w:sz="6" w:space="0"/>
                    <w:left w:val="single" w:color="auto" w:sz="6" w:space="0"/>
                    <w:bottom w:val="single" w:color="auto" w:sz="6" w:space="0"/>
                    <w:right w:val="single" w:color="auto" w:sz="6" w:space="0"/>
                  </w:tcBorders>
                  <w:vAlign w:val="center"/>
                </w:tcPr>
                <w:p w14:paraId="0540C933">
                  <w:pPr>
                    <w:pStyle w:val="50"/>
                    <w:spacing w:beforeLines="0" w:line="240" w:lineRule="auto"/>
                    <w:rPr>
                      <w:rFonts w:ascii="Times New Roman" w:hAnsi="Times New Roman"/>
                      <w:bCs/>
                      <w:color w:val="000000"/>
                      <w:szCs w:val="21"/>
                    </w:rPr>
                  </w:pPr>
                  <w:r>
                    <w:rPr>
                      <w:rFonts w:ascii="Times New Roman" w:hAnsi="Times New Roman"/>
                      <w:bCs/>
                      <w:color w:val="000000"/>
                      <w:szCs w:val="21"/>
                    </w:rPr>
                    <w:t>-103.55</w:t>
                  </w:r>
                </w:p>
              </w:tc>
              <w:tc>
                <w:tcPr>
                  <w:tcW w:w="533" w:type="dxa"/>
                  <w:tcBorders>
                    <w:top w:val="single" w:color="auto" w:sz="6" w:space="0"/>
                    <w:left w:val="single" w:color="auto" w:sz="6" w:space="0"/>
                    <w:bottom w:val="single" w:color="auto" w:sz="6" w:space="0"/>
                    <w:right w:val="single" w:color="auto" w:sz="6" w:space="0"/>
                  </w:tcBorders>
                  <w:vAlign w:val="center"/>
                </w:tcPr>
                <w:p w14:paraId="25AF0C8F">
                  <w:pPr>
                    <w:jc w:val="center"/>
                    <w:rPr>
                      <w:szCs w:val="21"/>
                    </w:rPr>
                  </w:pPr>
                  <w:r>
                    <w:rPr>
                      <w:rFonts w:hint="eastAsia"/>
                      <w:bCs/>
                      <w:color w:val="000000"/>
                      <w:szCs w:val="21"/>
                    </w:rPr>
                    <w:t>4.5</w:t>
                  </w:r>
                </w:p>
              </w:tc>
              <w:tc>
                <w:tcPr>
                  <w:tcW w:w="517" w:type="dxa"/>
                  <w:tcBorders>
                    <w:top w:val="single" w:color="auto" w:sz="6" w:space="0"/>
                    <w:left w:val="single" w:color="auto" w:sz="6" w:space="0"/>
                    <w:bottom w:val="single" w:color="auto" w:sz="6" w:space="0"/>
                    <w:right w:val="single" w:color="auto" w:sz="6" w:space="0"/>
                  </w:tcBorders>
                  <w:vAlign w:val="center"/>
                </w:tcPr>
                <w:p w14:paraId="0A3578DE">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640363E4">
                  <w:pPr>
                    <w:pStyle w:val="50"/>
                    <w:spacing w:beforeLines="0" w:line="240" w:lineRule="auto"/>
                    <w:rPr>
                      <w:rFonts w:ascii="Times New Roman" w:hAnsi="Times New Roman"/>
                      <w:color w:val="000000"/>
                      <w:kern w:val="0"/>
                      <w:szCs w:val="21"/>
                    </w:rPr>
                  </w:pPr>
                  <w:r>
                    <w:rPr>
                      <w:rFonts w:ascii="Times New Roman" w:hAnsi="Times New Roman"/>
                      <w:color w:val="000000"/>
                      <w:kern w:val="0"/>
                      <w:szCs w:val="21"/>
                    </w:rPr>
                    <w:t>45-55</w:t>
                  </w:r>
                </w:p>
              </w:tc>
              <w:tc>
                <w:tcPr>
                  <w:tcW w:w="733" w:type="dxa"/>
                  <w:vMerge w:val="continue"/>
                  <w:tcBorders>
                    <w:left w:val="single" w:color="auto" w:sz="6" w:space="0"/>
                    <w:right w:val="single" w:color="auto" w:sz="6" w:space="0"/>
                  </w:tcBorders>
                  <w:vAlign w:val="center"/>
                </w:tcPr>
                <w:p w14:paraId="79C5DFBD">
                  <w:pPr>
                    <w:widowControl/>
                    <w:adjustRightInd w:val="0"/>
                    <w:snapToGrid w:val="0"/>
                    <w:jc w:val="center"/>
                    <w:rPr>
                      <w:bCs/>
                      <w:color w:val="000000"/>
                      <w:szCs w:val="21"/>
                    </w:rPr>
                  </w:pPr>
                </w:p>
              </w:tc>
              <w:tc>
                <w:tcPr>
                  <w:tcW w:w="644" w:type="dxa"/>
                  <w:tcBorders>
                    <w:top w:val="single" w:color="auto" w:sz="6" w:space="0"/>
                    <w:left w:val="single" w:color="auto" w:sz="6" w:space="0"/>
                    <w:bottom w:val="single" w:color="auto" w:sz="6" w:space="0"/>
                    <w:right w:val="single" w:color="auto" w:sz="6" w:space="0"/>
                  </w:tcBorders>
                  <w:vAlign w:val="center"/>
                </w:tcPr>
                <w:p w14:paraId="068586CD">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2629EF32">
                  <w:pPr>
                    <w:pStyle w:val="50"/>
                    <w:spacing w:beforeLines="0" w:line="240" w:lineRule="auto"/>
                    <w:rPr>
                      <w:rFonts w:ascii="Times New Roman" w:hAnsi="Times New Roman"/>
                      <w:bCs/>
                      <w:color w:val="000000"/>
                      <w:szCs w:val="21"/>
                    </w:rPr>
                  </w:pPr>
                  <w:r>
                    <w:rPr>
                      <w:rFonts w:ascii="Times New Roman" w:hAnsi="Times New Roman"/>
                      <w:bCs/>
                      <w:color w:val="000000"/>
                      <w:szCs w:val="21"/>
                    </w:rPr>
                    <w:t>40-45</w:t>
                  </w:r>
                </w:p>
              </w:tc>
              <w:tc>
                <w:tcPr>
                  <w:tcW w:w="402" w:type="dxa"/>
                  <w:tcBorders>
                    <w:top w:val="single" w:color="auto" w:sz="6" w:space="0"/>
                    <w:left w:val="single" w:color="auto" w:sz="6" w:space="0"/>
                    <w:bottom w:val="single" w:color="auto" w:sz="6" w:space="0"/>
                    <w:right w:val="single" w:color="auto" w:sz="12" w:space="0"/>
                  </w:tcBorders>
                  <w:vAlign w:val="center"/>
                </w:tcPr>
                <w:p w14:paraId="736F993B">
                  <w:pPr>
                    <w:pStyle w:val="50"/>
                    <w:spacing w:beforeLines="0" w:line="240" w:lineRule="auto"/>
                    <w:rPr>
                      <w:rFonts w:ascii="Times New Roman" w:hAnsi="Times New Roman"/>
                      <w:bCs/>
                      <w:color w:val="000000"/>
                      <w:szCs w:val="21"/>
                    </w:rPr>
                  </w:pPr>
                  <w:r>
                    <w:rPr>
                      <w:rFonts w:ascii="Times New Roman" w:hAnsi="Times New Roman"/>
                      <w:bCs/>
                      <w:color w:val="000000"/>
                      <w:szCs w:val="21"/>
                    </w:rPr>
                    <w:t>1</w:t>
                  </w:r>
                </w:p>
              </w:tc>
            </w:tr>
            <w:tr w14:paraId="1A3A2A8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dxa"/>
                  <w:tcBorders>
                    <w:top w:val="single" w:color="auto" w:sz="6" w:space="0"/>
                    <w:left w:val="single" w:color="auto" w:sz="12" w:space="0"/>
                    <w:bottom w:val="single" w:color="auto" w:sz="6" w:space="0"/>
                    <w:right w:val="single" w:color="auto" w:sz="6" w:space="0"/>
                  </w:tcBorders>
                  <w:vAlign w:val="center"/>
                </w:tcPr>
                <w:p w14:paraId="62CB4DC8">
                  <w:pPr>
                    <w:widowControl/>
                    <w:adjustRightInd w:val="0"/>
                    <w:snapToGrid w:val="0"/>
                    <w:jc w:val="center"/>
                    <w:rPr>
                      <w:bCs/>
                      <w:color w:val="000000"/>
                      <w:szCs w:val="21"/>
                    </w:rPr>
                  </w:pPr>
                  <w:r>
                    <w:rPr>
                      <w:bCs/>
                      <w:color w:val="000000"/>
                      <w:szCs w:val="21"/>
                    </w:rPr>
                    <w:t>20</w:t>
                  </w:r>
                </w:p>
              </w:tc>
              <w:tc>
                <w:tcPr>
                  <w:tcW w:w="431" w:type="dxa"/>
                  <w:vMerge w:val="continue"/>
                  <w:tcBorders>
                    <w:left w:val="single" w:color="auto" w:sz="6" w:space="0"/>
                    <w:right w:val="single" w:color="auto" w:sz="6" w:space="0"/>
                  </w:tcBorders>
                  <w:vAlign w:val="center"/>
                </w:tcPr>
                <w:p w14:paraId="4253D96C">
                  <w:pPr>
                    <w:jc w:val="center"/>
                    <w:rPr>
                      <w:color w:val="000000"/>
                      <w:szCs w:val="21"/>
                    </w:rPr>
                  </w:pPr>
                </w:p>
              </w:tc>
              <w:tc>
                <w:tcPr>
                  <w:tcW w:w="707" w:type="dxa"/>
                  <w:tcBorders>
                    <w:top w:val="single" w:color="auto" w:sz="6" w:space="0"/>
                    <w:left w:val="single" w:color="auto" w:sz="6" w:space="0"/>
                    <w:bottom w:val="single" w:color="auto" w:sz="6" w:space="0"/>
                    <w:right w:val="single" w:color="auto" w:sz="6" w:space="0"/>
                  </w:tcBorders>
                  <w:vAlign w:val="center"/>
                </w:tcPr>
                <w:p w14:paraId="508061F1">
                  <w:pPr>
                    <w:jc w:val="center"/>
                    <w:rPr>
                      <w:color w:val="000000"/>
                      <w:szCs w:val="21"/>
                    </w:rPr>
                  </w:pPr>
                  <w:r>
                    <w:rPr>
                      <w:color w:val="000000"/>
                      <w:szCs w:val="21"/>
                    </w:rPr>
                    <w:t>焯水卤煮线</w:t>
                  </w:r>
                </w:p>
              </w:tc>
              <w:tc>
                <w:tcPr>
                  <w:tcW w:w="480" w:type="dxa"/>
                  <w:tcBorders>
                    <w:top w:val="single" w:color="auto" w:sz="6" w:space="0"/>
                    <w:left w:val="single" w:color="auto" w:sz="6" w:space="0"/>
                    <w:bottom w:val="single" w:color="auto" w:sz="6" w:space="0"/>
                    <w:right w:val="single" w:color="auto" w:sz="6" w:space="0"/>
                  </w:tcBorders>
                  <w:vAlign w:val="center"/>
                </w:tcPr>
                <w:p w14:paraId="31F46366">
                  <w:pPr>
                    <w:jc w:val="center"/>
                    <w:rPr>
                      <w:color w:val="000000"/>
                      <w:szCs w:val="21"/>
                    </w:rPr>
                  </w:pPr>
                  <w:r>
                    <w:rPr>
                      <w:color w:val="000000"/>
                      <w:szCs w:val="21"/>
                    </w:rPr>
                    <w:t>1</w:t>
                  </w:r>
                </w:p>
              </w:tc>
              <w:tc>
                <w:tcPr>
                  <w:tcW w:w="760" w:type="dxa"/>
                  <w:tcBorders>
                    <w:top w:val="single" w:color="auto" w:sz="6" w:space="0"/>
                    <w:left w:val="single" w:color="auto" w:sz="6" w:space="0"/>
                    <w:bottom w:val="single" w:color="auto" w:sz="6" w:space="0"/>
                    <w:right w:val="single" w:color="auto" w:sz="6" w:space="0"/>
                  </w:tcBorders>
                  <w:vAlign w:val="center"/>
                </w:tcPr>
                <w:p w14:paraId="4E0E113B">
                  <w:pPr>
                    <w:adjustRightInd w:val="0"/>
                    <w:snapToGrid w:val="0"/>
                    <w:jc w:val="center"/>
                    <w:rPr>
                      <w:color w:val="000000"/>
                      <w:szCs w:val="21"/>
                    </w:rPr>
                  </w:pPr>
                  <w:r>
                    <w:rPr>
                      <w:color w:val="000000"/>
                      <w:szCs w:val="21"/>
                    </w:rPr>
                    <w:t>60-70</w:t>
                  </w:r>
                </w:p>
              </w:tc>
              <w:tc>
                <w:tcPr>
                  <w:tcW w:w="520" w:type="dxa"/>
                  <w:vMerge w:val="continue"/>
                  <w:tcBorders>
                    <w:left w:val="single" w:color="auto" w:sz="6" w:space="0"/>
                    <w:right w:val="single" w:color="auto" w:sz="6" w:space="0"/>
                  </w:tcBorders>
                  <w:vAlign w:val="center"/>
                </w:tcPr>
                <w:p w14:paraId="306B2CA9">
                  <w:pPr>
                    <w:widowControl/>
                    <w:adjustRightInd w:val="0"/>
                    <w:snapToGrid w:val="0"/>
                    <w:jc w:val="center"/>
                    <w:rPr>
                      <w:color w:val="000000"/>
                      <w:szCs w:val="21"/>
                    </w:rPr>
                  </w:pPr>
                </w:p>
              </w:tc>
              <w:tc>
                <w:tcPr>
                  <w:tcW w:w="586" w:type="dxa"/>
                  <w:tcBorders>
                    <w:top w:val="single" w:color="auto" w:sz="6" w:space="0"/>
                    <w:left w:val="single" w:color="auto" w:sz="6" w:space="0"/>
                    <w:bottom w:val="single" w:color="auto" w:sz="6" w:space="0"/>
                    <w:right w:val="single" w:color="auto" w:sz="6" w:space="0"/>
                  </w:tcBorders>
                  <w:vAlign w:val="center"/>
                </w:tcPr>
                <w:p w14:paraId="5718FFDA">
                  <w:pPr>
                    <w:pStyle w:val="50"/>
                    <w:spacing w:beforeLines="0" w:line="240" w:lineRule="auto"/>
                    <w:rPr>
                      <w:rFonts w:ascii="Times New Roman" w:hAnsi="Times New Roman"/>
                      <w:bCs/>
                      <w:color w:val="000000"/>
                      <w:szCs w:val="21"/>
                    </w:rPr>
                  </w:pPr>
                  <w:r>
                    <w:rPr>
                      <w:rFonts w:ascii="Times New Roman" w:hAnsi="Times New Roman"/>
                      <w:bCs/>
                      <w:color w:val="000000"/>
                      <w:szCs w:val="21"/>
                    </w:rPr>
                    <w:t>167.47</w:t>
                  </w:r>
                </w:p>
              </w:tc>
              <w:tc>
                <w:tcPr>
                  <w:tcW w:w="534" w:type="dxa"/>
                  <w:tcBorders>
                    <w:top w:val="single" w:color="auto" w:sz="6" w:space="0"/>
                    <w:left w:val="single" w:color="auto" w:sz="6" w:space="0"/>
                    <w:bottom w:val="single" w:color="auto" w:sz="6" w:space="0"/>
                    <w:right w:val="single" w:color="auto" w:sz="6" w:space="0"/>
                  </w:tcBorders>
                  <w:vAlign w:val="center"/>
                </w:tcPr>
                <w:p w14:paraId="3E06CED2">
                  <w:pPr>
                    <w:pStyle w:val="50"/>
                    <w:spacing w:beforeLines="0" w:line="240" w:lineRule="auto"/>
                    <w:rPr>
                      <w:rFonts w:ascii="Times New Roman" w:hAnsi="Times New Roman"/>
                      <w:bCs/>
                      <w:color w:val="000000"/>
                      <w:szCs w:val="21"/>
                    </w:rPr>
                  </w:pPr>
                  <w:r>
                    <w:rPr>
                      <w:rFonts w:ascii="Times New Roman" w:hAnsi="Times New Roman"/>
                      <w:bCs/>
                      <w:color w:val="000000"/>
                      <w:szCs w:val="21"/>
                    </w:rPr>
                    <w:t>-126.12</w:t>
                  </w:r>
                </w:p>
              </w:tc>
              <w:tc>
                <w:tcPr>
                  <w:tcW w:w="533" w:type="dxa"/>
                  <w:tcBorders>
                    <w:top w:val="single" w:color="auto" w:sz="6" w:space="0"/>
                    <w:left w:val="single" w:color="auto" w:sz="6" w:space="0"/>
                    <w:bottom w:val="single" w:color="auto" w:sz="6" w:space="0"/>
                    <w:right w:val="single" w:color="auto" w:sz="6" w:space="0"/>
                  </w:tcBorders>
                  <w:vAlign w:val="center"/>
                </w:tcPr>
                <w:p w14:paraId="74DCA4DC">
                  <w:pPr>
                    <w:jc w:val="center"/>
                    <w:rPr>
                      <w:szCs w:val="21"/>
                    </w:rPr>
                  </w:pPr>
                  <w:r>
                    <w:rPr>
                      <w:rFonts w:hint="eastAsia"/>
                      <w:bCs/>
                      <w:color w:val="000000"/>
                      <w:szCs w:val="21"/>
                    </w:rPr>
                    <w:t>4.5</w:t>
                  </w:r>
                </w:p>
              </w:tc>
              <w:tc>
                <w:tcPr>
                  <w:tcW w:w="517" w:type="dxa"/>
                  <w:tcBorders>
                    <w:top w:val="single" w:color="auto" w:sz="6" w:space="0"/>
                    <w:left w:val="single" w:color="auto" w:sz="6" w:space="0"/>
                    <w:bottom w:val="single" w:color="auto" w:sz="6" w:space="0"/>
                    <w:right w:val="single" w:color="auto" w:sz="6" w:space="0"/>
                  </w:tcBorders>
                  <w:vAlign w:val="center"/>
                </w:tcPr>
                <w:p w14:paraId="426E3A5F">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5D1D44E9">
                  <w:pPr>
                    <w:jc w:val="center"/>
                    <w:rPr>
                      <w:color w:val="000000"/>
                      <w:kern w:val="0"/>
                      <w:szCs w:val="21"/>
                    </w:rPr>
                  </w:pPr>
                  <w:r>
                    <w:rPr>
                      <w:color w:val="000000"/>
                      <w:kern w:val="0"/>
                      <w:szCs w:val="21"/>
                    </w:rPr>
                    <w:t>45-55</w:t>
                  </w:r>
                </w:p>
              </w:tc>
              <w:tc>
                <w:tcPr>
                  <w:tcW w:w="733" w:type="dxa"/>
                  <w:vMerge w:val="continue"/>
                  <w:tcBorders>
                    <w:left w:val="single" w:color="auto" w:sz="6" w:space="0"/>
                    <w:right w:val="single" w:color="auto" w:sz="6" w:space="0"/>
                  </w:tcBorders>
                  <w:vAlign w:val="center"/>
                </w:tcPr>
                <w:p w14:paraId="6FD642CA">
                  <w:pPr>
                    <w:widowControl/>
                    <w:adjustRightInd w:val="0"/>
                    <w:snapToGrid w:val="0"/>
                    <w:jc w:val="center"/>
                    <w:rPr>
                      <w:bCs/>
                      <w:color w:val="000000"/>
                      <w:szCs w:val="21"/>
                    </w:rPr>
                  </w:pPr>
                </w:p>
              </w:tc>
              <w:tc>
                <w:tcPr>
                  <w:tcW w:w="644" w:type="dxa"/>
                  <w:tcBorders>
                    <w:top w:val="single" w:color="auto" w:sz="6" w:space="0"/>
                    <w:left w:val="single" w:color="auto" w:sz="6" w:space="0"/>
                    <w:bottom w:val="single" w:color="auto" w:sz="6" w:space="0"/>
                    <w:right w:val="single" w:color="auto" w:sz="6" w:space="0"/>
                  </w:tcBorders>
                  <w:vAlign w:val="center"/>
                </w:tcPr>
                <w:p w14:paraId="146866B6">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709C71FD">
                  <w:pPr>
                    <w:jc w:val="center"/>
                    <w:rPr>
                      <w:bCs/>
                      <w:color w:val="000000"/>
                      <w:szCs w:val="21"/>
                    </w:rPr>
                  </w:pPr>
                  <w:r>
                    <w:rPr>
                      <w:bCs/>
                      <w:color w:val="000000"/>
                      <w:szCs w:val="21"/>
                    </w:rPr>
                    <w:t>40-45</w:t>
                  </w:r>
                </w:p>
              </w:tc>
              <w:tc>
                <w:tcPr>
                  <w:tcW w:w="402" w:type="dxa"/>
                  <w:tcBorders>
                    <w:top w:val="single" w:color="auto" w:sz="6" w:space="0"/>
                    <w:left w:val="single" w:color="auto" w:sz="6" w:space="0"/>
                    <w:bottom w:val="single" w:color="auto" w:sz="6" w:space="0"/>
                    <w:right w:val="single" w:color="auto" w:sz="12" w:space="0"/>
                  </w:tcBorders>
                  <w:vAlign w:val="center"/>
                </w:tcPr>
                <w:p w14:paraId="139C79B2">
                  <w:pPr>
                    <w:pStyle w:val="50"/>
                    <w:spacing w:beforeLines="0" w:line="240" w:lineRule="auto"/>
                    <w:rPr>
                      <w:rFonts w:ascii="Times New Roman" w:hAnsi="Times New Roman"/>
                      <w:bCs/>
                      <w:color w:val="000000"/>
                      <w:szCs w:val="21"/>
                    </w:rPr>
                  </w:pPr>
                  <w:r>
                    <w:rPr>
                      <w:rFonts w:ascii="Times New Roman" w:hAnsi="Times New Roman"/>
                      <w:bCs/>
                      <w:color w:val="000000"/>
                      <w:szCs w:val="21"/>
                    </w:rPr>
                    <w:t>1</w:t>
                  </w:r>
                </w:p>
              </w:tc>
            </w:tr>
            <w:tr w14:paraId="31708B7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dxa"/>
                  <w:tcBorders>
                    <w:top w:val="single" w:color="auto" w:sz="6" w:space="0"/>
                    <w:left w:val="single" w:color="auto" w:sz="12" w:space="0"/>
                    <w:bottom w:val="single" w:color="auto" w:sz="6" w:space="0"/>
                    <w:right w:val="single" w:color="auto" w:sz="6" w:space="0"/>
                  </w:tcBorders>
                  <w:vAlign w:val="center"/>
                </w:tcPr>
                <w:p w14:paraId="48F55BC7">
                  <w:pPr>
                    <w:widowControl/>
                    <w:adjustRightInd w:val="0"/>
                    <w:snapToGrid w:val="0"/>
                    <w:jc w:val="center"/>
                    <w:rPr>
                      <w:bCs/>
                      <w:color w:val="000000"/>
                      <w:szCs w:val="21"/>
                    </w:rPr>
                  </w:pPr>
                  <w:r>
                    <w:rPr>
                      <w:bCs/>
                      <w:color w:val="000000"/>
                      <w:szCs w:val="21"/>
                    </w:rPr>
                    <w:t>21</w:t>
                  </w:r>
                </w:p>
              </w:tc>
              <w:tc>
                <w:tcPr>
                  <w:tcW w:w="431" w:type="dxa"/>
                  <w:vMerge w:val="continue"/>
                  <w:tcBorders>
                    <w:left w:val="single" w:color="auto" w:sz="6" w:space="0"/>
                    <w:right w:val="single" w:color="auto" w:sz="6" w:space="0"/>
                  </w:tcBorders>
                  <w:vAlign w:val="center"/>
                </w:tcPr>
                <w:p w14:paraId="20B48FF3">
                  <w:pPr>
                    <w:jc w:val="center"/>
                    <w:rPr>
                      <w:color w:val="000000"/>
                      <w:szCs w:val="21"/>
                    </w:rPr>
                  </w:pPr>
                </w:p>
              </w:tc>
              <w:tc>
                <w:tcPr>
                  <w:tcW w:w="707" w:type="dxa"/>
                  <w:tcBorders>
                    <w:top w:val="single" w:color="auto" w:sz="6" w:space="0"/>
                    <w:left w:val="single" w:color="auto" w:sz="6" w:space="0"/>
                    <w:bottom w:val="single" w:color="auto" w:sz="6" w:space="0"/>
                    <w:right w:val="single" w:color="auto" w:sz="6" w:space="0"/>
                  </w:tcBorders>
                  <w:vAlign w:val="center"/>
                </w:tcPr>
                <w:p w14:paraId="15EB83C2">
                  <w:pPr>
                    <w:jc w:val="center"/>
                    <w:rPr>
                      <w:color w:val="000000"/>
                      <w:szCs w:val="21"/>
                    </w:rPr>
                  </w:pPr>
                  <w:r>
                    <w:rPr>
                      <w:color w:val="000000"/>
                      <w:szCs w:val="21"/>
                    </w:rPr>
                    <w:t>摊晾线</w:t>
                  </w:r>
                </w:p>
              </w:tc>
              <w:tc>
                <w:tcPr>
                  <w:tcW w:w="480" w:type="dxa"/>
                  <w:tcBorders>
                    <w:top w:val="single" w:color="auto" w:sz="6" w:space="0"/>
                    <w:left w:val="single" w:color="auto" w:sz="6" w:space="0"/>
                    <w:bottom w:val="single" w:color="auto" w:sz="6" w:space="0"/>
                    <w:right w:val="single" w:color="auto" w:sz="6" w:space="0"/>
                  </w:tcBorders>
                  <w:vAlign w:val="center"/>
                </w:tcPr>
                <w:p w14:paraId="1446EC63">
                  <w:pPr>
                    <w:jc w:val="center"/>
                    <w:rPr>
                      <w:color w:val="000000"/>
                      <w:szCs w:val="21"/>
                    </w:rPr>
                  </w:pPr>
                  <w:r>
                    <w:rPr>
                      <w:color w:val="000000"/>
                      <w:szCs w:val="21"/>
                    </w:rPr>
                    <w:t>1</w:t>
                  </w:r>
                </w:p>
              </w:tc>
              <w:tc>
                <w:tcPr>
                  <w:tcW w:w="760" w:type="dxa"/>
                  <w:tcBorders>
                    <w:top w:val="single" w:color="auto" w:sz="6" w:space="0"/>
                    <w:left w:val="single" w:color="auto" w:sz="6" w:space="0"/>
                    <w:bottom w:val="single" w:color="auto" w:sz="6" w:space="0"/>
                    <w:right w:val="single" w:color="auto" w:sz="6" w:space="0"/>
                  </w:tcBorders>
                  <w:vAlign w:val="center"/>
                </w:tcPr>
                <w:p w14:paraId="321FEC8A">
                  <w:pPr>
                    <w:adjustRightInd w:val="0"/>
                    <w:snapToGrid w:val="0"/>
                    <w:jc w:val="center"/>
                    <w:rPr>
                      <w:color w:val="000000"/>
                      <w:szCs w:val="21"/>
                    </w:rPr>
                  </w:pPr>
                  <w:r>
                    <w:rPr>
                      <w:color w:val="000000"/>
                      <w:szCs w:val="21"/>
                    </w:rPr>
                    <w:t>60-70</w:t>
                  </w:r>
                </w:p>
              </w:tc>
              <w:tc>
                <w:tcPr>
                  <w:tcW w:w="520" w:type="dxa"/>
                  <w:vMerge w:val="continue"/>
                  <w:tcBorders>
                    <w:left w:val="single" w:color="auto" w:sz="6" w:space="0"/>
                    <w:right w:val="single" w:color="auto" w:sz="6" w:space="0"/>
                  </w:tcBorders>
                  <w:vAlign w:val="center"/>
                </w:tcPr>
                <w:p w14:paraId="01D1A3EE">
                  <w:pPr>
                    <w:widowControl/>
                    <w:adjustRightInd w:val="0"/>
                    <w:snapToGrid w:val="0"/>
                    <w:jc w:val="center"/>
                    <w:rPr>
                      <w:color w:val="000000"/>
                      <w:szCs w:val="21"/>
                    </w:rPr>
                  </w:pPr>
                </w:p>
              </w:tc>
              <w:tc>
                <w:tcPr>
                  <w:tcW w:w="586" w:type="dxa"/>
                  <w:tcBorders>
                    <w:top w:val="single" w:color="auto" w:sz="6" w:space="0"/>
                    <w:left w:val="single" w:color="auto" w:sz="6" w:space="0"/>
                    <w:bottom w:val="single" w:color="auto" w:sz="6" w:space="0"/>
                    <w:right w:val="single" w:color="auto" w:sz="6" w:space="0"/>
                  </w:tcBorders>
                  <w:vAlign w:val="center"/>
                </w:tcPr>
                <w:p w14:paraId="0C5F64D9">
                  <w:pPr>
                    <w:pStyle w:val="50"/>
                    <w:spacing w:beforeLines="0" w:line="240" w:lineRule="auto"/>
                    <w:rPr>
                      <w:rFonts w:ascii="Times New Roman" w:hAnsi="Times New Roman"/>
                      <w:bCs/>
                      <w:color w:val="000000"/>
                      <w:szCs w:val="21"/>
                    </w:rPr>
                  </w:pPr>
                  <w:r>
                    <w:rPr>
                      <w:rFonts w:ascii="Times New Roman" w:hAnsi="Times New Roman"/>
                      <w:bCs/>
                      <w:color w:val="000000"/>
                      <w:szCs w:val="21"/>
                    </w:rPr>
                    <w:t>125.16</w:t>
                  </w:r>
                </w:p>
              </w:tc>
              <w:tc>
                <w:tcPr>
                  <w:tcW w:w="534" w:type="dxa"/>
                  <w:tcBorders>
                    <w:top w:val="single" w:color="auto" w:sz="6" w:space="0"/>
                    <w:left w:val="single" w:color="auto" w:sz="6" w:space="0"/>
                    <w:bottom w:val="single" w:color="auto" w:sz="6" w:space="0"/>
                    <w:right w:val="single" w:color="auto" w:sz="6" w:space="0"/>
                  </w:tcBorders>
                  <w:vAlign w:val="center"/>
                </w:tcPr>
                <w:p w14:paraId="52EB25AD">
                  <w:pPr>
                    <w:pStyle w:val="50"/>
                    <w:spacing w:beforeLines="0" w:line="240" w:lineRule="auto"/>
                    <w:rPr>
                      <w:rFonts w:ascii="Times New Roman" w:hAnsi="Times New Roman"/>
                      <w:bCs/>
                      <w:color w:val="000000"/>
                      <w:szCs w:val="21"/>
                    </w:rPr>
                  </w:pPr>
                  <w:r>
                    <w:rPr>
                      <w:rFonts w:ascii="Times New Roman" w:hAnsi="Times New Roman"/>
                      <w:bCs/>
                      <w:color w:val="000000"/>
                      <w:szCs w:val="21"/>
                    </w:rPr>
                    <w:t>-115.26</w:t>
                  </w:r>
                </w:p>
              </w:tc>
              <w:tc>
                <w:tcPr>
                  <w:tcW w:w="533" w:type="dxa"/>
                  <w:tcBorders>
                    <w:top w:val="single" w:color="auto" w:sz="6" w:space="0"/>
                    <w:left w:val="single" w:color="auto" w:sz="6" w:space="0"/>
                    <w:bottom w:val="single" w:color="auto" w:sz="6" w:space="0"/>
                    <w:right w:val="single" w:color="auto" w:sz="6" w:space="0"/>
                  </w:tcBorders>
                  <w:vAlign w:val="center"/>
                </w:tcPr>
                <w:p w14:paraId="4C1F45B2">
                  <w:pPr>
                    <w:jc w:val="center"/>
                    <w:rPr>
                      <w:szCs w:val="21"/>
                    </w:rPr>
                  </w:pPr>
                  <w:r>
                    <w:rPr>
                      <w:rFonts w:hint="eastAsia"/>
                      <w:bCs/>
                      <w:color w:val="000000"/>
                      <w:szCs w:val="21"/>
                    </w:rPr>
                    <w:t>4.5</w:t>
                  </w:r>
                </w:p>
              </w:tc>
              <w:tc>
                <w:tcPr>
                  <w:tcW w:w="517" w:type="dxa"/>
                  <w:tcBorders>
                    <w:top w:val="single" w:color="auto" w:sz="6" w:space="0"/>
                    <w:left w:val="single" w:color="auto" w:sz="6" w:space="0"/>
                    <w:bottom w:val="single" w:color="auto" w:sz="6" w:space="0"/>
                    <w:right w:val="single" w:color="auto" w:sz="6" w:space="0"/>
                  </w:tcBorders>
                  <w:vAlign w:val="center"/>
                </w:tcPr>
                <w:p w14:paraId="0A4D8911">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505B53D0">
                  <w:pPr>
                    <w:jc w:val="center"/>
                    <w:rPr>
                      <w:color w:val="000000"/>
                      <w:kern w:val="0"/>
                      <w:szCs w:val="21"/>
                    </w:rPr>
                  </w:pPr>
                  <w:r>
                    <w:rPr>
                      <w:color w:val="000000"/>
                      <w:kern w:val="0"/>
                      <w:szCs w:val="21"/>
                    </w:rPr>
                    <w:t>45-55</w:t>
                  </w:r>
                </w:p>
              </w:tc>
              <w:tc>
                <w:tcPr>
                  <w:tcW w:w="733" w:type="dxa"/>
                  <w:vMerge w:val="continue"/>
                  <w:tcBorders>
                    <w:left w:val="single" w:color="auto" w:sz="6" w:space="0"/>
                    <w:right w:val="single" w:color="auto" w:sz="6" w:space="0"/>
                  </w:tcBorders>
                  <w:vAlign w:val="center"/>
                </w:tcPr>
                <w:p w14:paraId="7E1C08AF">
                  <w:pPr>
                    <w:widowControl/>
                    <w:adjustRightInd w:val="0"/>
                    <w:snapToGrid w:val="0"/>
                    <w:jc w:val="center"/>
                    <w:rPr>
                      <w:bCs/>
                      <w:color w:val="000000"/>
                      <w:szCs w:val="21"/>
                    </w:rPr>
                  </w:pPr>
                </w:p>
              </w:tc>
              <w:tc>
                <w:tcPr>
                  <w:tcW w:w="644" w:type="dxa"/>
                  <w:tcBorders>
                    <w:top w:val="single" w:color="auto" w:sz="6" w:space="0"/>
                    <w:left w:val="single" w:color="auto" w:sz="6" w:space="0"/>
                    <w:bottom w:val="single" w:color="auto" w:sz="6" w:space="0"/>
                    <w:right w:val="single" w:color="auto" w:sz="6" w:space="0"/>
                  </w:tcBorders>
                  <w:vAlign w:val="center"/>
                </w:tcPr>
                <w:p w14:paraId="60E839DB">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31A3B21C">
                  <w:pPr>
                    <w:jc w:val="center"/>
                    <w:rPr>
                      <w:bCs/>
                      <w:color w:val="000000"/>
                      <w:szCs w:val="21"/>
                    </w:rPr>
                  </w:pPr>
                  <w:r>
                    <w:rPr>
                      <w:bCs/>
                      <w:color w:val="000000"/>
                      <w:szCs w:val="21"/>
                    </w:rPr>
                    <w:t>40-45</w:t>
                  </w:r>
                </w:p>
              </w:tc>
              <w:tc>
                <w:tcPr>
                  <w:tcW w:w="402" w:type="dxa"/>
                  <w:tcBorders>
                    <w:top w:val="single" w:color="auto" w:sz="6" w:space="0"/>
                    <w:left w:val="single" w:color="auto" w:sz="6" w:space="0"/>
                    <w:bottom w:val="single" w:color="auto" w:sz="6" w:space="0"/>
                    <w:right w:val="single" w:color="auto" w:sz="12" w:space="0"/>
                  </w:tcBorders>
                  <w:vAlign w:val="center"/>
                </w:tcPr>
                <w:p w14:paraId="58241650">
                  <w:pPr>
                    <w:pStyle w:val="50"/>
                    <w:spacing w:beforeLines="0" w:line="240" w:lineRule="auto"/>
                    <w:rPr>
                      <w:rFonts w:ascii="Times New Roman" w:hAnsi="Times New Roman"/>
                      <w:bCs/>
                      <w:color w:val="000000"/>
                      <w:szCs w:val="21"/>
                    </w:rPr>
                  </w:pPr>
                  <w:r>
                    <w:rPr>
                      <w:rFonts w:ascii="Times New Roman" w:hAnsi="Times New Roman"/>
                      <w:bCs/>
                      <w:color w:val="000000"/>
                      <w:szCs w:val="21"/>
                    </w:rPr>
                    <w:t>1</w:t>
                  </w:r>
                </w:p>
              </w:tc>
            </w:tr>
            <w:tr w14:paraId="5F6AC00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dxa"/>
                  <w:tcBorders>
                    <w:top w:val="single" w:color="auto" w:sz="6" w:space="0"/>
                    <w:left w:val="single" w:color="auto" w:sz="12" w:space="0"/>
                    <w:bottom w:val="single" w:color="auto" w:sz="6" w:space="0"/>
                    <w:right w:val="single" w:color="auto" w:sz="6" w:space="0"/>
                  </w:tcBorders>
                  <w:vAlign w:val="center"/>
                </w:tcPr>
                <w:p w14:paraId="72125608">
                  <w:pPr>
                    <w:widowControl/>
                    <w:adjustRightInd w:val="0"/>
                    <w:snapToGrid w:val="0"/>
                    <w:jc w:val="center"/>
                    <w:rPr>
                      <w:bCs/>
                      <w:color w:val="000000"/>
                      <w:szCs w:val="21"/>
                    </w:rPr>
                  </w:pPr>
                  <w:r>
                    <w:rPr>
                      <w:bCs/>
                      <w:color w:val="000000"/>
                      <w:szCs w:val="21"/>
                    </w:rPr>
                    <w:t>22</w:t>
                  </w:r>
                </w:p>
              </w:tc>
              <w:tc>
                <w:tcPr>
                  <w:tcW w:w="431" w:type="dxa"/>
                  <w:vMerge w:val="continue"/>
                  <w:tcBorders>
                    <w:left w:val="single" w:color="auto" w:sz="6" w:space="0"/>
                    <w:right w:val="single" w:color="auto" w:sz="6" w:space="0"/>
                  </w:tcBorders>
                  <w:vAlign w:val="center"/>
                </w:tcPr>
                <w:p w14:paraId="3A7D36EE">
                  <w:pPr>
                    <w:jc w:val="center"/>
                    <w:rPr>
                      <w:color w:val="000000"/>
                      <w:szCs w:val="21"/>
                    </w:rPr>
                  </w:pPr>
                </w:p>
              </w:tc>
              <w:tc>
                <w:tcPr>
                  <w:tcW w:w="707" w:type="dxa"/>
                  <w:tcBorders>
                    <w:top w:val="single" w:color="auto" w:sz="6" w:space="0"/>
                    <w:left w:val="single" w:color="auto" w:sz="6" w:space="0"/>
                    <w:bottom w:val="single" w:color="auto" w:sz="6" w:space="0"/>
                    <w:right w:val="single" w:color="auto" w:sz="6" w:space="0"/>
                  </w:tcBorders>
                  <w:vAlign w:val="center"/>
                </w:tcPr>
                <w:p w14:paraId="7D32253F">
                  <w:pPr>
                    <w:jc w:val="center"/>
                    <w:rPr>
                      <w:color w:val="000000"/>
                      <w:szCs w:val="21"/>
                    </w:rPr>
                  </w:pPr>
                  <w:r>
                    <w:rPr>
                      <w:color w:val="000000"/>
                      <w:szCs w:val="21"/>
                    </w:rPr>
                    <w:t>真空预冷机</w:t>
                  </w:r>
                </w:p>
              </w:tc>
              <w:tc>
                <w:tcPr>
                  <w:tcW w:w="480" w:type="dxa"/>
                  <w:tcBorders>
                    <w:top w:val="single" w:color="auto" w:sz="6" w:space="0"/>
                    <w:left w:val="single" w:color="auto" w:sz="6" w:space="0"/>
                    <w:bottom w:val="single" w:color="auto" w:sz="6" w:space="0"/>
                    <w:right w:val="single" w:color="auto" w:sz="6" w:space="0"/>
                  </w:tcBorders>
                  <w:vAlign w:val="center"/>
                </w:tcPr>
                <w:p w14:paraId="45FB41E4">
                  <w:pPr>
                    <w:jc w:val="center"/>
                    <w:rPr>
                      <w:color w:val="000000"/>
                      <w:szCs w:val="21"/>
                    </w:rPr>
                  </w:pPr>
                  <w:r>
                    <w:rPr>
                      <w:color w:val="000000"/>
                      <w:szCs w:val="21"/>
                    </w:rPr>
                    <w:t>1</w:t>
                  </w:r>
                </w:p>
              </w:tc>
              <w:tc>
                <w:tcPr>
                  <w:tcW w:w="760" w:type="dxa"/>
                  <w:tcBorders>
                    <w:top w:val="single" w:color="auto" w:sz="6" w:space="0"/>
                    <w:left w:val="single" w:color="auto" w:sz="6" w:space="0"/>
                    <w:bottom w:val="single" w:color="auto" w:sz="6" w:space="0"/>
                    <w:right w:val="single" w:color="auto" w:sz="6" w:space="0"/>
                  </w:tcBorders>
                  <w:vAlign w:val="center"/>
                </w:tcPr>
                <w:p w14:paraId="01332BF5">
                  <w:pPr>
                    <w:adjustRightInd w:val="0"/>
                    <w:snapToGrid w:val="0"/>
                    <w:jc w:val="center"/>
                    <w:rPr>
                      <w:color w:val="000000"/>
                      <w:szCs w:val="21"/>
                    </w:rPr>
                  </w:pPr>
                  <w:r>
                    <w:rPr>
                      <w:color w:val="000000"/>
                      <w:szCs w:val="21"/>
                    </w:rPr>
                    <w:t>70-80</w:t>
                  </w:r>
                </w:p>
              </w:tc>
              <w:tc>
                <w:tcPr>
                  <w:tcW w:w="520" w:type="dxa"/>
                  <w:vMerge w:val="continue"/>
                  <w:tcBorders>
                    <w:left w:val="single" w:color="auto" w:sz="6" w:space="0"/>
                    <w:right w:val="single" w:color="auto" w:sz="6" w:space="0"/>
                  </w:tcBorders>
                  <w:vAlign w:val="center"/>
                </w:tcPr>
                <w:p w14:paraId="601F39F3">
                  <w:pPr>
                    <w:widowControl/>
                    <w:adjustRightInd w:val="0"/>
                    <w:snapToGrid w:val="0"/>
                    <w:jc w:val="center"/>
                    <w:rPr>
                      <w:color w:val="000000"/>
                      <w:szCs w:val="21"/>
                    </w:rPr>
                  </w:pPr>
                </w:p>
              </w:tc>
              <w:tc>
                <w:tcPr>
                  <w:tcW w:w="586" w:type="dxa"/>
                  <w:tcBorders>
                    <w:top w:val="single" w:color="auto" w:sz="6" w:space="0"/>
                    <w:left w:val="single" w:color="auto" w:sz="6" w:space="0"/>
                    <w:bottom w:val="single" w:color="auto" w:sz="6" w:space="0"/>
                    <w:right w:val="single" w:color="auto" w:sz="6" w:space="0"/>
                  </w:tcBorders>
                  <w:vAlign w:val="center"/>
                </w:tcPr>
                <w:p w14:paraId="372A3ABE">
                  <w:pPr>
                    <w:pStyle w:val="50"/>
                    <w:spacing w:beforeLines="0" w:line="240" w:lineRule="auto"/>
                    <w:rPr>
                      <w:rFonts w:ascii="Times New Roman" w:hAnsi="Times New Roman"/>
                      <w:bCs/>
                      <w:color w:val="000000"/>
                      <w:szCs w:val="21"/>
                    </w:rPr>
                  </w:pPr>
                  <w:r>
                    <w:rPr>
                      <w:rFonts w:ascii="Times New Roman" w:hAnsi="Times New Roman"/>
                      <w:bCs/>
                      <w:color w:val="000000"/>
                      <w:szCs w:val="21"/>
                    </w:rPr>
                    <w:t>141.54</w:t>
                  </w:r>
                </w:p>
              </w:tc>
              <w:tc>
                <w:tcPr>
                  <w:tcW w:w="534" w:type="dxa"/>
                  <w:tcBorders>
                    <w:top w:val="single" w:color="auto" w:sz="6" w:space="0"/>
                    <w:left w:val="single" w:color="auto" w:sz="6" w:space="0"/>
                    <w:bottom w:val="single" w:color="auto" w:sz="6" w:space="0"/>
                    <w:right w:val="single" w:color="auto" w:sz="6" w:space="0"/>
                  </w:tcBorders>
                  <w:vAlign w:val="center"/>
                </w:tcPr>
                <w:p w14:paraId="0EC68346">
                  <w:pPr>
                    <w:pStyle w:val="50"/>
                    <w:spacing w:beforeLines="0" w:line="240" w:lineRule="auto"/>
                    <w:rPr>
                      <w:rFonts w:ascii="Times New Roman" w:hAnsi="Times New Roman"/>
                      <w:bCs/>
                      <w:color w:val="000000"/>
                      <w:szCs w:val="21"/>
                    </w:rPr>
                  </w:pPr>
                  <w:r>
                    <w:rPr>
                      <w:rFonts w:ascii="Times New Roman" w:hAnsi="Times New Roman"/>
                      <w:bCs/>
                      <w:color w:val="000000"/>
                      <w:szCs w:val="21"/>
                    </w:rPr>
                    <w:t>-130.55</w:t>
                  </w:r>
                </w:p>
              </w:tc>
              <w:tc>
                <w:tcPr>
                  <w:tcW w:w="533" w:type="dxa"/>
                  <w:tcBorders>
                    <w:top w:val="single" w:color="auto" w:sz="6" w:space="0"/>
                    <w:left w:val="single" w:color="auto" w:sz="6" w:space="0"/>
                    <w:bottom w:val="single" w:color="auto" w:sz="6" w:space="0"/>
                    <w:right w:val="single" w:color="auto" w:sz="6" w:space="0"/>
                  </w:tcBorders>
                  <w:vAlign w:val="center"/>
                </w:tcPr>
                <w:p w14:paraId="2863C721">
                  <w:pPr>
                    <w:jc w:val="center"/>
                    <w:rPr>
                      <w:szCs w:val="21"/>
                    </w:rPr>
                  </w:pPr>
                  <w:r>
                    <w:rPr>
                      <w:rFonts w:hint="eastAsia"/>
                      <w:bCs/>
                      <w:color w:val="000000"/>
                      <w:szCs w:val="21"/>
                    </w:rPr>
                    <w:t>4.5</w:t>
                  </w:r>
                </w:p>
              </w:tc>
              <w:tc>
                <w:tcPr>
                  <w:tcW w:w="517" w:type="dxa"/>
                  <w:tcBorders>
                    <w:top w:val="single" w:color="auto" w:sz="6" w:space="0"/>
                    <w:left w:val="single" w:color="auto" w:sz="6" w:space="0"/>
                    <w:bottom w:val="single" w:color="auto" w:sz="6" w:space="0"/>
                    <w:right w:val="single" w:color="auto" w:sz="6" w:space="0"/>
                  </w:tcBorders>
                  <w:vAlign w:val="center"/>
                </w:tcPr>
                <w:p w14:paraId="18947424">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3B00A338">
                  <w:pPr>
                    <w:jc w:val="center"/>
                    <w:rPr>
                      <w:color w:val="000000"/>
                      <w:kern w:val="0"/>
                      <w:szCs w:val="21"/>
                    </w:rPr>
                  </w:pPr>
                  <w:r>
                    <w:rPr>
                      <w:color w:val="000000"/>
                      <w:kern w:val="0"/>
                      <w:szCs w:val="21"/>
                    </w:rPr>
                    <w:t>60-65</w:t>
                  </w:r>
                </w:p>
              </w:tc>
              <w:tc>
                <w:tcPr>
                  <w:tcW w:w="733" w:type="dxa"/>
                  <w:vMerge w:val="continue"/>
                  <w:tcBorders>
                    <w:left w:val="single" w:color="auto" w:sz="6" w:space="0"/>
                    <w:right w:val="single" w:color="auto" w:sz="6" w:space="0"/>
                  </w:tcBorders>
                  <w:vAlign w:val="center"/>
                </w:tcPr>
                <w:p w14:paraId="1BDCBAA5">
                  <w:pPr>
                    <w:widowControl/>
                    <w:adjustRightInd w:val="0"/>
                    <w:snapToGrid w:val="0"/>
                    <w:jc w:val="center"/>
                    <w:rPr>
                      <w:bCs/>
                      <w:color w:val="000000"/>
                      <w:szCs w:val="21"/>
                    </w:rPr>
                  </w:pPr>
                </w:p>
              </w:tc>
              <w:tc>
                <w:tcPr>
                  <w:tcW w:w="644" w:type="dxa"/>
                  <w:tcBorders>
                    <w:top w:val="single" w:color="auto" w:sz="6" w:space="0"/>
                    <w:left w:val="single" w:color="auto" w:sz="6" w:space="0"/>
                    <w:bottom w:val="single" w:color="auto" w:sz="6" w:space="0"/>
                    <w:right w:val="single" w:color="auto" w:sz="6" w:space="0"/>
                  </w:tcBorders>
                  <w:vAlign w:val="center"/>
                </w:tcPr>
                <w:p w14:paraId="0F245527">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26929729">
                  <w:pPr>
                    <w:jc w:val="center"/>
                    <w:rPr>
                      <w:bCs/>
                      <w:color w:val="000000"/>
                      <w:szCs w:val="21"/>
                    </w:rPr>
                  </w:pPr>
                  <w:r>
                    <w:rPr>
                      <w:bCs/>
                      <w:color w:val="000000"/>
                      <w:szCs w:val="21"/>
                    </w:rPr>
                    <w:t>50-55</w:t>
                  </w:r>
                </w:p>
              </w:tc>
              <w:tc>
                <w:tcPr>
                  <w:tcW w:w="402" w:type="dxa"/>
                  <w:tcBorders>
                    <w:top w:val="single" w:color="auto" w:sz="6" w:space="0"/>
                    <w:left w:val="single" w:color="auto" w:sz="6" w:space="0"/>
                    <w:bottom w:val="single" w:color="auto" w:sz="6" w:space="0"/>
                    <w:right w:val="single" w:color="auto" w:sz="12" w:space="0"/>
                  </w:tcBorders>
                  <w:vAlign w:val="center"/>
                </w:tcPr>
                <w:p w14:paraId="55B0AF76">
                  <w:pPr>
                    <w:pStyle w:val="50"/>
                    <w:spacing w:beforeLines="0" w:line="240" w:lineRule="auto"/>
                    <w:rPr>
                      <w:rFonts w:ascii="Times New Roman" w:hAnsi="Times New Roman"/>
                      <w:bCs/>
                      <w:color w:val="000000"/>
                      <w:szCs w:val="21"/>
                    </w:rPr>
                  </w:pPr>
                  <w:r>
                    <w:rPr>
                      <w:rFonts w:ascii="Times New Roman" w:hAnsi="Times New Roman"/>
                      <w:bCs/>
                      <w:color w:val="000000"/>
                      <w:szCs w:val="21"/>
                    </w:rPr>
                    <w:t>1</w:t>
                  </w:r>
                </w:p>
              </w:tc>
            </w:tr>
            <w:tr w14:paraId="65F2980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dxa"/>
                  <w:tcBorders>
                    <w:top w:val="single" w:color="auto" w:sz="6" w:space="0"/>
                    <w:left w:val="single" w:color="auto" w:sz="12" w:space="0"/>
                    <w:bottom w:val="single" w:color="auto" w:sz="6" w:space="0"/>
                    <w:right w:val="single" w:color="auto" w:sz="6" w:space="0"/>
                  </w:tcBorders>
                  <w:vAlign w:val="center"/>
                </w:tcPr>
                <w:p w14:paraId="5987775C">
                  <w:pPr>
                    <w:widowControl/>
                    <w:adjustRightInd w:val="0"/>
                    <w:snapToGrid w:val="0"/>
                    <w:jc w:val="center"/>
                    <w:rPr>
                      <w:bCs/>
                      <w:color w:val="000000"/>
                      <w:szCs w:val="21"/>
                    </w:rPr>
                  </w:pPr>
                  <w:r>
                    <w:rPr>
                      <w:bCs/>
                      <w:color w:val="000000"/>
                      <w:szCs w:val="21"/>
                    </w:rPr>
                    <w:t>23</w:t>
                  </w:r>
                </w:p>
              </w:tc>
              <w:tc>
                <w:tcPr>
                  <w:tcW w:w="431" w:type="dxa"/>
                  <w:vMerge w:val="continue"/>
                  <w:tcBorders>
                    <w:left w:val="single" w:color="auto" w:sz="6" w:space="0"/>
                    <w:right w:val="single" w:color="auto" w:sz="6" w:space="0"/>
                  </w:tcBorders>
                  <w:vAlign w:val="center"/>
                </w:tcPr>
                <w:p w14:paraId="7FC3EA9B">
                  <w:pPr>
                    <w:jc w:val="center"/>
                    <w:rPr>
                      <w:color w:val="000000"/>
                      <w:szCs w:val="21"/>
                    </w:rPr>
                  </w:pPr>
                </w:p>
              </w:tc>
              <w:tc>
                <w:tcPr>
                  <w:tcW w:w="707" w:type="dxa"/>
                  <w:tcBorders>
                    <w:top w:val="single" w:color="auto" w:sz="6" w:space="0"/>
                    <w:left w:val="single" w:color="auto" w:sz="6" w:space="0"/>
                    <w:bottom w:val="single" w:color="auto" w:sz="6" w:space="0"/>
                    <w:right w:val="single" w:color="auto" w:sz="6" w:space="0"/>
                  </w:tcBorders>
                  <w:vAlign w:val="center"/>
                </w:tcPr>
                <w:p w14:paraId="710B8AD6">
                  <w:pPr>
                    <w:jc w:val="center"/>
                    <w:rPr>
                      <w:color w:val="000000"/>
                      <w:szCs w:val="21"/>
                    </w:rPr>
                  </w:pPr>
                  <w:r>
                    <w:rPr>
                      <w:color w:val="000000"/>
                      <w:szCs w:val="21"/>
                    </w:rPr>
                    <w:t>提升机</w:t>
                  </w:r>
                </w:p>
              </w:tc>
              <w:tc>
                <w:tcPr>
                  <w:tcW w:w="480" w:type="dxa"/>
                  <w:tcBorders>
                    <w:top w:val="single" w:color="auto" w:sz="6" w:space="0"/>
                    <w:left w:val="single" w:color="auto" w:sz="6" w:space="0"/>
                    <w:bottom w:val="single" w:color="auto" w:sz="6" w:space="0"/>
                    <w:right w:val="single" w:color="auto" w:sz="6" w:space="0"/>
                  </w:tcBorders>
                  <w:vAlign w:val="center"/>
                </w:tcPr>
                <w:p w14:paraId="7E6436B4">
                  <w:pPr>
                    <w:jc w:val="center"/>
                    <w:rPr>
                      <w:color w:val="000000"/>
                      <w:szCs w:val="21"/>
                    </w:rPr>
                  </w:pPr>
                  <w:r>
                    <w:rPr>
                      <w:color w:val="000000"/>
                      <w:szCs w:val="21"/>
                    </w:rPr>
                    <w:t>1</w:t>
                  </w:r>
                </w:p>
              </w:tc>
              <w:tc>
                <w:tcPr>
                  <w:tcW w:w="760" w:type="dxa"/>
                  <w:tcBorders>
                    <w:top w:val="single" w:color="auto" w:sz="6" w:space="0"/>
                    <w:left w:val="single" w:color="auto" w:sz="6" w:space="0"/>
                    <w:bottom w:val="single" w:color="auto" w:sz="6" w:space="0"/>
                    <w:right w:val="single" w:color="auto" w:sz="6" w:space="0"/>
                  </w:tcBorders>
                  <w:vAlign w:val="center"/>
                </w:tcPr>
                <w:p w14:paraId="24B5E54B">
                  <w:pPr>
                    <w:adjustRightInd w:val="0"/>
                    <w:snapToGrid w:val="0"/>
                    <w:jc w:val="center"/>
                    <w:rPr>
                      <w:color w:val="000000"/>
                      <w:szCs w:val="21"/>
                    </w:rPr>
                  </w:pPr>
                  <w:r>
                    <w:rPr>
                      <w:color w:val="000000"/>
                      <w:szCs w:val="21"/>
                    </w:rPr>
                    <w:t>70-80</w:t>
                  </w:r>
                </w:p>
              </w:tc>
              <w:tc>
                <w:tcPr>
                  <w:tcW w:w="520" w:type="dxa"/>
                  <w:vMerge w:val="continue"/>
                  <w:tcBorders>
                    <w:left w:val="single" w:color="auto" w:sz="6" w:space="0"/>
                    <w:right w:val="single" w:color="auto" w:sz="6" w:space="0"/>
                  </w:tcBorders>
                  <w:vAlign w:val="center"/>
                </w:tcPr>
                <w:p w14:paraId="4DFD42C3">
                  <w:pPr>
                    <w:widowControl/>
                    <w:adjustRightInd w:val="0"/>
                    <w:snapToGrid w:val="0"/>
                    <w:jc w:val="center"/>
                    <w:rPr>
                      <w:color w:val="000000"/>
                      <w:szCs w:val="21"/>
                    </w:rPr>
                  </w:pPr>
                </w:p>
              </w:tc>
              <w:tc>
                <w:tcPr>
                  <w:tcW w:w="586" w:type="dxa"/>
                  <w:tcBorders>
                    <w:top w:val="single" w:color="auto" w:sz="6" w:space="0"/>
                    <w:left w:val="single" w:color="auto" w:sz="6" w:space="0"/>
                    <w:bottom w:val="single" w:color="auto" w:sz="6" w:space="0"/>
                    <w:right w:val="single" w:color="auto" w:sz="6" w:space="0"/>
                  </w:tcBorders>
                  <w:vAlign w:val="center"/>
                </w:tcPr>
                <w:p w14:paraId="1D8A1BA2">
                  <w:pPr>
                    <w:pStyle w:val="50"/>
                    <w:spacing w:beforeLines="0" w:line="240" w:lineRule="auto"/>
                    <w:rPr>
                      <w:rFonts w:ascii="Times New Roman" w:hAnsi="Times New Roman"/>
                      <w:bCs/>
                      <w:color w:val="000000"/>
                      <w:szCs w:val="21"/>
                    </w:rPr>
                  </w:pPr>
                  <w:r>
                    <w:rPr>
                      <w:rFonts w:ascii="Times New Roman" w:hAnsi="Times New Roman"/>
                      <w:bCs/>
                      <w:color w:val="000000"/>
                      <w:szCs w:val="21"/>
                    </w:rPr>
                    <w:t>164.18</w:t>
                  </w:r>
                </w:p>
              </w:tc>
              <w:tc>
                <w:tcPr>
                  <w:tcW w:w="534" w:type="dxa"/>
                  <w:tcBorders>
                    <w:top w:val="single" w:color="auto" w:sz="6" w:space="0"/>
                    <w:left w:val="single" w:color="auto" w:sz="6" w:space="0"/>
                    <w:bottom w:val="single" w:color="auto" w:sz="6" w:space="0"/>
                    <w:right w:val="single" w:color="auto" w:sz="6" w:space="0"/>
                  </w:tcBorders>
                  <w:vAlign w:val="center"/>
                </w:tcPr>
                <w:p w14:paraId="6F214EDA">
                  <w:pPr>
                    <w:pStyle w:val="50"/>
                    <w:spacing w:beforeLines="0" w:line="240" w:lineRule="auto"/>
                    <w:rPr>
                      <w:rFonts w:ascii="Times New Roman" w:hAnsi="Times New Roman"/>
                      <w:bCs/>
                      <w:color w:val="000000"/>
                      <w:szCs w:val="21"/>
                    </w:rPr>
                  </w:pPr>
                  <w:r>
                    <w:rPr>
                      <w:rFonts w:ascii="Times New Roman" w:hAnsi="Times New Roman"/>
                      <w:bCs/>
                      <w:color w:val="000000"/>
                      <w:szCs w:val="21"/>
                    </w:rPr>
                    <w:t>-115.22</w:t>
                  </w:r>
                </w:p>
              </w:tc>
              <w:tc>
                <w:tcPr>
                  <w:tcW w:w="533" w:type="dxa"/>
                  <w:tcBorders>
                    <w:top w:val="single" w:color="auto" w:sz="6" w:space="0"/>
                    <w:left w:val="single" w:color="auto" w:sz="6" w:space="0"/>
                    <w:bottom w:val="single" w:color="auto" w:sz="6" w:space="0"/>
                    <w:right w:val="single" w:color="auto" w:sz="6" w:space="0"/>
                  </w:tcBorders>
                  <w:vAlign w:val="center"/>
                </w:tcPr>
                <w:p w14:paraId="1B79214F">
                  <w:pPr>
                    <w:jc w:val="center"/>
                    <w:rPr>
                      <w:szCs w:val="21"/>
                    </w:rPr>
                  </w:pPr>
                  <w:r>
                    <w:rPr>
                      <w:rFonts w:hint="eastAsia"/>
                      <w:bCs/>
                      <w:color w:val="000000"/>
                      <w:szCs w:val="21"/>
                    </w:rPr>
                    <w:t>4.5</w:t>
                  </w:r>
                </w:p>
              </w:tc>
              <w:tc>
                <w:tcPr>
                  <w:tcW w:w="517" w:type="dxa"/>
                  <w:tcBorders>
                    <w:top w:val="single" w:color="auto" w:sz="6" w:space="0"/>
                    <w:left w:val="single" w:color="auto" w:sz="6" w:space="0"/>
                    <w:bottom w:val="single" w:color="auto" w:sz="6" w:space="0"/>
                    <w:right w:val="single" w:color="auto" w:sz="6" w:space="0"/>
                  </w:tcBorders>
                  <w:vAlign w:val="center"/>
                </w:tcPr>
                <w:p w14:paraId="00F81A06">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4299945D">
                  <w:pPr>
                    <w:jc w:val="center"/>
                    <w:rPr>
                      <w:color w:val="000000"/>
                      <w:kern w:val="0"/>
                      <w:szCs w:val="21"/>
                    </w:rPr>
                  </w:pPr>
                  <w:r>
                    <w:rPr>
                      <w:color w:val="000000"/>
                      <w:kern w:val="0"/>
                      <w:szCs w:val="21"/>
                    </w:rPr>
                    <w:t>60-65</w:t>
                  </w:r>
                </w:p>
              </w:tc>
              <w:tc>
                <w:tcPr>
                  <w:tcW w:w="733" w:type="dxa"/>
                  <w:vMerge w:val="continue"/>
                  <w:tcBorders>
                    <w:left w:val="single" w:color="auto" w:sz="6" w:space="0"/>
                    <w:right w:val="single" w:color="auto" w:sz="6" w:space="0"/>
                  </w:tcBorders>
                  <w:vAlign w:val="center"/>
                </w:tcPr>
                <w:p w14:paraId="461FBBFB">
                  <w:pPr>
                    <w:widowControl/>
                    <w:adjustRightInd w:val="0"/>
                    <w:snapToGrid w:val="0"/>
                    <w:jc w:val="center"/>
                    <w:rPr>
                      <w:bCs/>
                      <w:color w:val="000000"/>
                      <w:szCs w:val="21"/>
                    </w:rPr>
                  </w:pPr>
                </w:p>
              </w:tc>
              <w:tc>
                <w:tcPr>
                  <w:tcW w:w="644" w:type="dxa"/>
                  <w:tcBorders>
                    <w:top w:val="single" w:color="auto" w:sz="6" w:space="0"/>
                    <w:left w:val="single" w:color="auto" w:sz="6" w:space="0"/>
                    <w:bottom w:val="single" w:color="auto" w:sz="6" w:space="0"/>
                    <w:right w:val="single" w:color="auto" w:sz="6" w:space="0"/>
                  </w:tcBorders>
                  <w:vAlign w:val="center"/>
                </w:tcPr>
                <w:p w14:paraId="425EC5B7">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5AA9A35C">
                  <w:pPr>
                    <w:jc w:val="center"/>
                    <w:rPr>
                      <w:bCs/>
                      <w:color w:val="000000"/>
                      <w:szCs w:val="21"/>
                    </w:rPr>
                  </w:pPr>
                  <w:r>
                    <w:rPr>
                      <w:bCs/>
                      <w:color w:val="000000"/>
                      <w:szCs w:val="21"/>
                    </w:rPr>
                    <w:t>50-55</w:t>
                  </w:r>
                </w:p>
              </w:tc>
              <w:tc>
                <w:tcPr>
                  <w:tcW w:w="402" w:type="dxa"/>
                  <w:tcBorders>
                    <w:top w:val="single" w:color="auto" w:sz="6" w:space="0"/>
                    <w:left w:val="single" w:color="auto" w:sz="6" w:space="0"/>
                    <w:bottom w:val="single" w:color="auto" w:sz="6" w:space="0"/>
                    <w:right w:val="single" w:color="auto" w:sz="12" w:space="0"/>
                  </w:tcBorders>
                  <w:vAlign w:val="center"/>
                </w:tcPr>
                <w:p w14:paraId="6A5BB248">
                  <w:pPr>
                    <w:pStyle w:val="50"/>
                    <w:spacing w:beforeLines="0" w:line="240" w:lineRule="auto"/>
                    <w:rPr>
                      <w:rFonts w:ascii="Times New Roman" w:hAnsi="Times New Roman"/>
                      <w:bCs/>
                      <w:color w:val="000000"/>
                      <w:szCs w:val="21"/>
                    </w:rPr>
                  </w:pPr>
                  <w:r>
                    <w:rPr>
                      <w:rFonts w:ascii="Times New Roman" w:hAnsi="Times New Roman"/>
                      <w:bCs/>
                      <w:color w:val="000000"/>
                      <w:szCs w:val="21"/>
                    </w:rPr>
                    <w:t>1</w:t>
                  </w:r>
                </w:p>
              </w:tc>
            </w:tr>
            <w:tr w14:paraId="77459C4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dxa"/>
                  <w:tcBorders>
                    <w:top w:val="single" w:color="auto" w:sz="6" w:space="0"/>
                    <w:left w:val="single" w:color="auto" w:sz="12" w:space="0"/>
                    <w:bottom w:val="single" w:color="auto" w:sz="6" w:space="0"/>
                    <w:right w:val="single" w:color="auto" w:sz="6" w:space="0"/>
                  </w:tcBorders>
                  <w:vAlign w:val="center"/>
                </w:tcPr>
                <w:p w14:paraId="43C6E41B">
                  <w:pPr>
                    <w:widowControl/>
                    <w:adjustRightInd w:val="0"/>
                    <w:snapToGrid w:val="0"/>
                    <w:jc w:val="center"/>
                    <w:rPr>
                      <w:bCs/>
                      <w:color w:val="000000"/>
                      <w:szCs w:val="21"/>
                    </w:rPr>
                  </w:pPr>
                  <w:r>
                    <w:rPr>
                      <w:bCs/>
                      <w:color w:val="000000"/>
                      <w:szCs w:val="21"/>
                    </w:rPr>
                    <w:t>24</w:t>
                  </w:r>
                </w:p>
              </w:tc>
              <w:tc>
                <w:tcPr>
                  <w:tcW w:w="431" w:type="dxa"/>
                  <w:vMerge w:val="continue"/>
                  <w:tcBorders>
                    <w:left w:val="single" w:color="auto" w:sz="6" w:space="0"/>
                    <w:right w:val="single" w:color="auto" w:sz="6" w:space="0"/>
                  </w:tcBorders>
                  <w:vAlign w:val="center"/>
                </w:tcPr>
                <w:p w14:paraId="57F881B6">
                  <w:pPr>
                    <w:jc w:val="center"/>
                    <w:rPr>
                      <w:color w:val="000000"/>
                      <w:szCs w:val="21"/>
                    </w:rPr>
                  </w:pPr>
                </w:p>
              </w:tc>
              <w:tc>
                <w:tcPr>
                  <w:tcW w:w="707" w:type="dxa"/>
                  <w:tcBorders>
                    <w:top w:val="single" w:color="auto" w:sz="6" w:space="0"/>
                    <w:left w:val="single" w:color="auto" w:sz="6" w:space="0"/>
                    <w:bottom w:val="single" w:color="auto" w:sz="6" w:space="0"/>
                    <w:right w:val="single" w:color="auto" w:sz="6" w:space="0"/>
                  </w:tcBorders>
                  <w:vAlign w:val="center"/>
                </w:tcPr>
                <w:p w14:paraId="16823914">
                  <w:pPr>
                    <w:jc w:val="center"/>
                    <w:rPr>
                      <w:color w:val="000000"/>
                      <w:szCs w:val="21"/>
                    </w:rPr>
                  </w:pPr>
                  <w:r>
                    <w:rPr>
                      <w:color w:val="000000"/>
                      <w:szCs w:val="21"/>
                    </w:rPr>
                    <w:t>正反传送带</w:t>
                  </w:r>
                </w:p>
              </w:tc>
              <w:tc>
                <w:tcPr>
                  <w:tcW w:w="480" w:type="dxa"/>
                  <w:tcBorders>
                    <w:top w:val="single" w:color="auto" w:sz="6" w:space="0"/>
                    <w:left w:val="single" w:color="auto" w:sz="6" w:space="0"/>
                    <w:bottom w:val="single" w:color="auto" w:sz="6" w:space="0"/>
                    <w:right w:val="single" w:color="auto" w:sz="6" w:space="0"/>
                  </w:tcBorders>
                  <w:vAlign w:val="center"/>
                </w:tcPr>
                <w:p w14:paraId="559201B4">
                  <w:pPr>
                    <w:jc w:val="center"/>
                    <w:rPr>
                      <w:color w:val="000000"/>
                      <w:szCs w:val="21"/>
                    </w:rPr>
                  </w:pPr>
                  <w:r>
                    <w:rPr>
                      <w:color w:val="000000"/>
                      <w:szCs w:val="21"/>
                    </w:rPr>
                    <w:t>1</w:t>
                  </w:r>
                </w:p>
              </w:tc>
              <w:tc>
                <w:tcPr>
                  <w:tcW w:w="760" w:type="dxa"/>
                  <w:tcBorders>
                    <w:top w:val="single" w:color="auto" w:sz="6" w:space="0"/>
                    <w:left w:val="single" w:color="auto" w:sz="6" w:space="0"/>
                    <w:bottom w:val="single" w:color="auto" w:sz="6" w:space="0"/>
                    <w:right w:val="single" w:color="auto" w:sz="6" w:space="0"/>
                  </w:tcBorders>
                  <w:vAlign w:val="center"/>
                </w:tcPr>
                <w:p w14:paraId="17A1B616">
                  <w:pPr>
                    <w:adjustRightInd w:val="0"/>
                    <w:snapToGrid w:val="0"/>
                    <w:jc w:val="center"/>
                    <w:rPr>
                      <w:color w:val="000000"/>
                      <w:szCs w:val="21"/>
                    </w:rPr>
                  </w:pPr>
                  <w:r>
                    <w:rPr>
                      <w:color w:val="000000"/>
                      <w:szCs w:val="21"/>
                    </w:rPr>
                    <w:t>70-80</w:t>
                  </w:r>
                </w:p>
              </w:tc>
              <w:tc>
                <w:tcPr>
                  <w:tcW w:w="520" w:type="dxa"/>
                  <w:vMerge w:val="continue"/>
                  <w:tcBorders>
                    <w:left w:val="single" w:color="auto" w:sz="6" w:space="0"/>
                    <w:right w:val="single" w:color="auto" w:sz="6" w:space="0"/>
                  </w:tcBorders>
                  <w:vAlign w:val="center"/>
                </w:tcPr>
                <w:p w14:paraId="52CF7257">
                  <w:pPr>
                    <w:widowControl/>
                    <w:adjustRightInd w:val="0"/>
                    <w:snapToGrid w:val="0"/>
                    <w:jc w:val="center"/>
                    <w:rPr>
                      <w:color w:val="000000"/>
                      <w:szCs w:val="21"/>
                    </w:rPr>
                  </w:pPr>
                </w:p>
              </w:tc>
              <w:tc>
                <w:tcPr>
                  <w:tcW w:w="586" w:type="dxa"/>
                  <w:tcBorders>
                    <w:top w:val="single" w:color="auto" w:sz="6" w:space="0"/>
                    <w:left w:val="single" w:color="auto" w:sz="6" w:space="0"/>
                    <w:bottom w:val="single" w:color="auto" w:sz="6" w:space="0"/>
                    <w:right w:val="single" w:color="auto" w:sz="6" w:space="0"/>
                  </w:tcBorders>
                  <w:vAlign w:val="center"/>
                </w:tcPr>
                <w:p w14:paraId="235C982E">
                  <w:pPr>
                    <w:pStyle w:val="50"/>
                    <w:spacing w:beforeLines="0" w:line="240" w:lineRule="auto"/>
                    <w:rPr>
                      <w:rFonts w:ascii="Times New Roman" w:hAnsi="Times New Roman"/>
                      <w:bCs/>
                      <w:color w:val="000000"/>
                      <w:szCs w:val="21"/>
                    </w:rPr>
                  </w:pPr>
                  <w:r>
                    <w:rPr>
                      <w:rFonts w:ascii="Times New Roman" w:hAnsi="Times New Roman"/>
                      <w:bCs/>
                      <w:color w:val="000000"/>
                      <w:szCs w:val="21"/>
                    </w:rPr>
                    <w:t>174.53</w:t>
                  </w:r>
                </w:p>
              </w:tc>
              <w:tc>
                <w:tcPr>
                  <w:tcW w:w="534" w:type="dxa"/>
                  <w:tcBorders>
                    <w:top w:val="single" w:color="auto" w:sz="6" w:space="0"/>
                    <w:left w:val="single" w:color="auto" w:sz="6" w:space="0"/>
                    <w:bottom w:val="single" w:color="auto" w:sz="6" w:space="0"/>
                    <w:right w:val="single" w:color="auto" w:sz="6" w:space="0"/>
                  </w:tcBorders>
                  <w:vAlign w:val="center"/>
                </w:tcPr>
                <w:p w14:paraId="5DF7424B">
                  <w:pPr>
                    <w:pStyle w:val="50"/>
                    <w:spacing w:beforeLines="0" w:line="240" w:lineRule="auto"/>
                    <w:rPr>
                      <w:rFonts w:ascii="Times New Roman" w:hAnsi="Times New Roman"/>
                      <w:bCs/>
                      <w:color w:val="000000"/>
                      <w:szCs w:val="21"/>
                    </w:rPr>
                  </w:pPr>
                  <w:r>
                    <w:rPr>
                      <w:rFonts w:ascii="Times New Roman" w:hAnsi="Times New Roman"/>
                      <w:bCs/>
                      <w:color w:val="000000"/>
                      <w:szCs w:val="21"/>
                    </w:rPr>
                    <w:t>-120.46</w:t>
                  </w:r>
                </w:p>
              </w:tc>
              <w:tc>
                <w:tcPr>
                  <w:tcW w:w="533" w:type="dxa"/>
                  <w:tcBorders>
                    <w:top w:val="single" w:color="auto" w:sz="6" w:space="0"/>
                    <w:left w:val="single" w:color="auto" w:sz="6" w:space="0"/>
                    <w:bottom w:val="single" w:color="auto" w:sz="6" w:space="0"/>
                    <w:right w:val="single" w:color="auto" w:sz="6" w:space="0"/>
                  </w:tcBorders>
                  <w:vAlign w:val="center"/>
                </w:tcPr>
                <w:p w14:paraId="4C34CCF7">
                  <w:pPr>
                    <w:jc w:val="center"/>
                    <w:rPr>
                      <w:szCs w:val="21"/>
                    </w:rPr>
                  </w:pPr>
                  <w:r>
                    <w:rPr>
                      <w:rFonts w:hint="eastAsia"/>
                      <w:bCs/>
                      <w:color w:val="000000"/>
                      <w:szCs w:val="21"/>
                    </w:rPr>
                    <w:t>4.5</w:t>
                  </w:r>
                </w:p>
              </w:tc>
              <w:tc>
                <w:tcPr>
                  <w:tcW w:w="517" w:type="dxa"/>
                  <w:tcBorders>
                    <w:top w:val="single" w:color="auto" w:sz="6" w:space="0"/>
                    <w:left w:val="single" w:color="auto" w:sz="6" w:space="0"/>
                    <w:bottom w:val="single" w:color="auto" w:sz="6" w:space="0"/>
                    <w:right w:val="single" w:color="auto" w:sz="6" w:space="0"/>
                  </w:tcBorders>
                  <w:vAlign w:val="center"/>
                </w:tcPr>
                <w:p w14:paraId="4EC4C836">
                  <w:pPr>
                    <w:pStyle w:val="50"/>
                    <w:spacing w:beforeLines="0" w:line="240" w:lineRule="auto"/>
                    <w:rPr>
                      <w:rFonts w:ascii="Times New Roman" w:hAnsi="Times New Roman"/>
                      <w:bCs/>
                      <w:color w:val="000000"/>
                      <w:szCs w:val="21"/>
                    </w:rPr>
                  </w:pPr>
                  <w:r>
                    <w:rPr>
                      <w:rFonts w:ascii="Times New Roman" w:hAnsi="Times New Roman"/>
                      <w:bCs/>
                      <w:color w:val="000000"/>
                      <w:szCs w:val="21"/>
                    </w:rPr>
                    <w:t>5</w:t>
                  </w:r>
                </w:p>
              </w:tc>
              <w:tc>
                <w:tcPr>
                  <w:tcW w:w="644" w:type="dxa"/>
                  <w:tcBorders>
                    <w:top w:val="single" w:color="auto" w:sz="6" w:space="0"/>
                    <w:left w:val="single" w:color="auto" w:sz="6" w:space="0"/>
                    <w:bottom w:val="single" w:color="auto" w:sz="6" w:space="0"/>
                    <w:right w:val="single" w:color="auto" w:sz="6" w:space="0"/>
                  </w:tcBorders>
                  <w:vAlign w:val="center"/>
                </w:tcPr>
                <w:p w14:paraId="2AD30337">
                  <w:pPr>
                    <w:jc w:val="center"/>
                    <w:rPr>
                      <w:color w:val="000000"/>
                      <w:kern w:val="0"/>
                      <w:szCs w:val="21"/>
                    </w:rPr>
                  </w:pPr>
                  <w:r>
                    <w:rPr>
                      <w:color w:val="000000"/>
                      <w:kern w:val="0"/>
                      <w:szCs w:val="21"/>
                    </w:rPr>
                    <w:t>60-65</w:t>
                  </w:r>
                </w:p>
              </w:tc>
              <w:tc>
                <w:tcPr>
                  <w:tcW w:w="733" w:type="dxa"/>
                  <w:vMerge w:val="continue"/>
                  <w:tcBorders>
                    <w:left w:val="single" w:color="auto" w:sz="6" w:space="0"/>
                    <w:right w:val="single" w:color="auto" w:sz="6" w:space="0"/>
                  </w:tcBorders>
                  <w:vAlign w:val="center"/>
                </w:tcPr>
                <w:p w14:paraId="04A679CA">
                  <w:pPr>
                    <w:widowControl/>
                    <w:adjustRightInd w:val="0"/>
                    <w:snapToGrid w:val="0"/>
                    <w:jc w:val="center"/>
                    <w:rPr>
                      <w:bCs/>
                      <w:color w:val="000000"/>
                      <w:szCs w:val="21"/>
                    </w:rPr>
                  </w:pPr>
                </w:p>
              </w:tc>
              <w:tc>
                <w:tcPr>
                  <w:tcW w:w="644" w:type="dxa"/>
                  <w:tcBorders>
                    <w:top w:val="single" w:color="auto" w:sz="6" w:space="0"/>
                    <w:left w:val="single" w:color="auto" w:sz="6" w:space="0"/>
                    <w:bottom w:val="single" w:color="auto" w:sz="6" w:space="0"/>
                    <w:right w:val="single" w:color="auto" w:sz="6" w:space="0"/>
                  </w:tcBorders>
                  <w:vAlign w:val="center"/>
                </w:tcPr>
                <w:p w14:paraId="6F00B222">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3DB70F70">
                  <w:pPr>
                    <w:jc w:val="center"/>
                    <w:rPr>
                      <w:bCs/>
                      <w:color w:val="000000"/>
                      <w:szCs w:val="21"/>
                    </w:rPr>
                  </w:pPr>
                  <w:r>
                    <w:rPr>
                      <w:bCs/>
                      <w:color w:val="000000"/>
                      <w:szCs w:val="21"/>
                    </w:rPr>
                    <w:t>50-55</w:t>
                  </w:r>
                </w:p>
              </w:tc>
              <w:tc>
                <w:tcPr>
                  <w:tcW w:w="402" w:type="dxa"/>
                  <w:tcBorders>
                    <w:top w:val="single" w:color="auto" w:sz="6" w:space="0"/>
                    <w:left w:val="single" w:color="auto" w:sz="6" w:space="0"/>
                    <w:bottom w:val="single" w:color="auto" w:sz="6" w:space="0"/>
                    <w:right w:val="single" w:color="auto" w:sz="12" w:space="0"/>
                  </w:tcBorders>
                  <w:vAlign w:val="center"/>
                </w:tcPr>
                <w:p w14:paraId="6E27B6BC">
                  <w:pPr>
                    <w:pStyle w:val="50"/>
                    <w:spacing w:beforeLines="0" w:line="240" w:lineRule="auto"/>
                    <w:rPr>
                      <w:rFonts w:ascii="Times New Roman" w:hAnsi="Times New Roman"/>
                      <w:bCs/>
                      <w:color w:val="000000"/>
                      <w:szCs w:val="21"/>
                    </w:rPr>
                  </w:pPr>
                  <w:r>
                    <w:rPr>
                      <w:rFonts w:ascii="Times New Roman" w:hAnsi="Times New Roman"/>
                      <w:bCs/>
                      <w:color w:val="000000"/>
                      <w:szCs w:val="21"/>
                    </w:rPr>
                    <w:t>1</w:t>
                  </w:r>
                </w:p>
              </w:tc>
            </w:tr>
            <w:tr w14:paraId="2AD9EDD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dxa"/>
                  <w:tcBorders>
                    <w:top w:val="single" w:color="auto" w:sz="6" w:space="0"/>
                    <w:left w:val="single" w:color="auto" w:sz="12" w:space="0"/>
                    <w:bottom w:val="single" w:color="auto" w:sz="6" w:space="0"/>
                    <w:right w:val="single" w:color="auto" w:sz="6" w:space="0"/>
                  </w:tcBorders>
                  <w:vAlign w:val="center"/>
                </w:tcPr>
                <w:p w14:paraId="2117EC15">
                  <w:pPr>
                    <w:widowControl/>
                    <w:adjustRightInd w:val="0"/>
                    <w:snapToGrid w:val="0"/>
                    <w:jc w:val="center"/>
                    <w:rPr>
                      <w:bCs/>
                      <w:color w:val="000000"/>
                      <w:szCs w:val="21"/>
                    </w:rPr>
                  </w:pPr>
                  <w:r>
                    <w:rPr>
                      <w:bCs/>
                      <w:color w:val="000000"/>
                      <w:szCs w:val="21"/>
                    </w:rPr>
                    <w:t>25</w:t>
                  </w:r>
                </w:p>
              </w:tc>
              <w:tc>
                <w:tcPr>
                  <w:tcW w:w="431" w:type="dxa"/>
                  <w:vMerge w:val="continue"/>
                  <w:tcBorders>
                    <w:left w:val="single" w:color="auto" w:sz="6" w:space="0"/>
                    <w:right w:val="single" w:color="auto" w:sz="6" w:space="0"/>
                  </w:tcBorders>
                  <w:vAlign w:val="center"/>
                </w:tcPr>
                <w:p w14:paraId="7A0B09CB">
                  <w:pPr>
                    <w:jc w:val="center"/>
                    <w:rPr>
                      <w:color w:val="000000"/>
                      <w:szCs w:val="21"/>
                    </w:rPr>
                  </w:pPr>
                </w:p>
              </w:tc>
              <w:tc>
                <w:tcPr>
                  <w:tcW w:w="707" w:type="dxa"/>
                  <w:tcBorders>
                    <w:top w:val="single" w:color="auto" w:sz="6" w:space="0"/>
                    <w:left w:val="single" w:color="auto" w:sz="6" w:space="0"/>
                    <w:bottom w:val="single" w:color="auto" w:sz="6" w:space="0"/>
                    <w:right w:val="single" w:color="auto" w:sz="6" w:space="0"/>
                  </w:tcBorders>
                  <w:vAlign w:val="center"/>
                </w:tcPr>
                <w:p w14:paraId="7D22E88E">
                  <w:pPr>
                    <w:jc w:val="center"/>
                    <w:rPr>
                      <w:color w:val="000000"/>
                      <w:szCs w:val="21"/>
                    </w:rPr>
                  </w:pPr>
                  <w:r>
                    <w:rPr>
                      <w:color w:val="000000"/>
                      <w:szCs w:val="21"/>
                    </w:rPr>
                    <w:t>拌料机</w:t>
                  </w:r>
                </w:p>
              </w:tc>
              <w:tc>
                <w:tcPr>
                  <w:tcW w:w="480" w:type="dxa"/>
                  <w:tcBorders>
                    <w:top w:val="single" w:color="auto" w:sz="6" w:space="0"/>
                    <w:left w:val="single" w:color="auto" w:sz="6" w:space="0"/>
                    <w:bottom w:val="single" w:color="auto" w:sz="6" w:space="0"/>
                    <w:right w:val="single" w:color="auto" w:sz="6" w:space="0"/>
                  </w:tcBorders>
                  <w:vAlign w:val="center"/>
                </w:tcPr>
                <w:p w14:paraId="0A393A63">
                  <w:pPr>
                    <w:jc w:val="center"/>
                    <w:rPr>
                      <w:color w:val="000000"/>
                      <w:szCs w:val="21"/>
                    </w:rPr>
                  </w:pPr>
                  <w:r>
                    <w:rPr>
                      <w:color w:val="000000"/>
                      <w:szCs w:val="21"/>
                    </w:rPr>
                    <w:t>2</w:t>
                  </w:r>
                </w:p>
              </w:tc>
              <w:tc>
                <w:tcPr>
                  <w:tcW w:w="760" w:type="dxa"/>
                  <w:tcBorders>
                    <w:top w:val="single" w:color="auto" w:sz="6" w:space="0"/>
                    <w:left w:val="single" w:color="auto" w:sz="6" w:space="0"/>
                    <w:bottom w:val="single" w:color="auto" w:sz="6" w:space="0"/>
                    <w:right w:val="single" w:color="auto" w:sz="6" w:space="0"/>
                  </w:tcBorders>
                  <w:vAlign w:val="center"/>
                </w:tcPr>
                <w:p w14:paraId="555E7C28">
                  <w:pPr>
                    <w:adjustRightInd w:val="0"/>
                    <w:snapToGrid w:val="0"/>
                    <w:jc w:val="center"/>
                    <w:rPr>
                      <w:color w:val="000000"/>
                      <w:szCs w:val="21"/>
                    </w:rPr>
                  </w:pPr>
                  <w:r>
                    <w:rPr>
                      <w:color w:val="000000"/>
                      <w:szCs w:val="21"/>
                    </w:rPr>
                    <w:t>75-80</w:t>
                  </w:r>
                </w:p>
              </w:tc>
              <w:tc>
                <w:tcPr>
                  <w:tcW w:w="520" w:type="dxa"/>
                  <w:vMerge w:val="continue"/>
                  <w:tcBorders>
                    <w:left w:val="single" w:color="auto" w:sz="6" w:space="0"/>
                    <w:right w:val="single" w:color="auto" w:sz="6" w:space="0"/>
                  </w:tcBorders>
                  <w:vAlign w:val="center"/>
                </w:tcPr>
                <w:p w14:paraId="58AB838B">
                  <w:pPr>
                    <w:widowControl/>
                    <w:adjustRightInd w:val="0"/>
                    <w:snapToGrid w:val="0"/>
                    <w:jc w:val="center"/>
                    <w:rPr>
                      <w:color w:val="000000"/>
                      <w:szCs w:val="21"/>
                    </w:rPr>
                  </w:pPr>
                </w:p>
              </w:tc>
              <w:tc>
                <w:tcPr>
                  <w:tcW w:w="586" w:type="dxa"/>
                  <w:tcBorders>
                    <w:top w:val="single" w:color="auto" w:sz="6" w:space="0"/>
                    <w:left w:val="single" w:color="auto" w:sz="6" w:space="0"/>
                    <w:bottom w:val="single" w:color="auto" w:sz="6" w:space="0"/>
                    <w:right w:val="single" w:color="auto" w:sz="6" w:space="0"/>
                  </w:tcBorders>
                  <w:vAlign w:val="center"/>
                </w:tcPr>
                <w:p w14:paraId="7EAF38EC">
                  <w:pPr>
                    <w:pStyle w:val="50"/>
                    <w:spacing w:beforeLines="0" w:line="240" w:lineRule="auto"/>
                    <w:rPr>
                      <w:rFonts w:ascii="Times New Roman" w:hAnsi="Times New Roman"/>
                      <w:bCs/>
                      <w:color w:val="000000"/>
                      <w:szCs w:val="21"/>
                    </w:rPr>
                  </w:pPr>
                  <w:r>
                    <w:rPr>
                      <w:rFonts w:ascii="Times New Roman" w:hAnsi="Times New Roman"/>
                      <w:bCs/>
                      <w:color w:val="000000"/>
                      <w:szCs w:val="21"/>
                    </w:rPr>
                    <w:t>183.77</w:t>
                  </w:r>
                </w:p>
              </w:tc>
              <w:tc>
                <w:tcPr>
                  <w:tcW w:w="534" w:type="dxa"/>
                  <w:tcBorders>
                    <w:top w:val="single" w:color="auto" w:sz="6" w:space="0"/>
                    <w:left w:val="single" w:color="auto" w:sz="6" w:space="0"/>
                    <w:bottom w:val="single" w:color="auto" w:sz="6" w:space="0"/>
                    <w:right w:val="single" w:color="auto" w:sz="6" w:space="0"/>
                  </w:tcBorders>
                  <w:vAlign w:val="center"/>
                </w:tcPr>
                <w:p w14:paraId="08EEF195">
                  <w:pPr>
                    <w:pStyle w:val="50"/>
                    <w:spacing w:beforeLines="0" w:line="240" w:lineRule="auto"/>
                    <w:rPr>
                      <w:rFonts w:ascii="Times New Roman" w:hAnsi="Times New Roman"/>
                      <w:bCs/>
                      <w:color w:val="000000"/>
                      <w:szCs w:val="21"/>
                    </w:rPr>
                  </w:pPr>
                  <w:r>
                    <w:rPr>
                      <w:rFonts w:ascii="Times New Roman" w:hAnsi="Times New Roman"/>
                      <w:bCs/>
                      <w:color w:val="000000"/>
                      <w:szCs w:val="21"/>
                    </w:rPr>
                    <w:t>-125.17</w:t>
                  </w:r>
                </w:p>
              </w:tc>
              <w:tc>
                <w:tcPr>
                  <w:tcW w:w="533" w:type="dxa"/>
                  <w:tcBorders>
                    <w:top w:val="single" w:color="auto" w:sz="6" w:space="0"/>
                    <w:left w:val="single" w:color="auto" w:sz="6" w:space="0"/>
                    <w:bottom w:val="single" w:color="auto" w:sz="6" w:space="0"/>
                    <w:right w:val="single" w:color="auto" w:sz="6" w:space="0"/>
                  </w:tcBorders>
                  <w:vAlign w:val="center"/>
                </w:tcPr>
                <w:p w14:paraId="7E896A8D">
                  <w:pPr>
                    <w:jc w:val="center"/>
                    <w:rPr>
                      <w:szCs w:val="21"/>
                    </w:rPr>
                  </w:pPr>
                  <w:r>
                    <w:rPr>
                      <w:rFonts w:hint="eastAsia"/>
                      <w:bCs/>
                      <w:color w:val="000000"/>
                      <w:szCs w:val="21"/>
                    </w:rPr>
                    <w:t>4.5</w:t>
                  </w:r>
                </w:p>
              </w:tc>
              <w:tc>
                <w:tcPr>
                  <w:tcW w:w="517" w:type="dxa"/>
                  <w:tcBorders>
                    <w:top w:val="single" w:color="auto" w:sz="6" w:space="0"/>
                    <w:left w:val="single" w:color="auto" w:sz="6" w:space="0"/>
                    <w:bottom w:val="single" w:color="auto" w:sz="6" w:space="0"/>
                    <w:right w:val="single" w:color="auto" w:sz="6" w:space="0"/>
                  </w:tcBorders>
                  <w:vAlign w:val="center"/>
                </w:tcPr>
                <w:p w14:paraId="4C7E7AB2">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683DABF8">
                  <w:pPr>
                    <w:pStyle w:val="50"/>
                    <w:spacing w:beforeLines="0" w:line="240" w:lineRule="auto"/>
                    <w:rPr>
                      <w:rFonts w:ascii="Times New Roman" w:hAnsi="Times New Roman"/>
                      <w:color w:val="000000"/>
                      <w:kern w:val="0"/>
                      <w:szCs w:val="21"/>
                    </w:rPr>
                  </w:pPr>
                  <w:r>
                    <w:rPr>
                      <w:rFonts w:ascii="Times New Roman" w:hAnsi="Times New Roman"/>
                      <w:color w:val="000000"/>
                      <w:kern w:val="0"/>
                      <w:szCs w:val="21"/>
                    </w:rPr>
                    <w:t>60-65</w:t>
                  </w:r>
                </w:p>
              </w:tc>
              <w:tc>
                <w:tcPr>
                  <w:tcW w:w="733" w:type="dxa"/>
                  <w:vMerge w:val="continue"/>
                  <w:tcBorders>
                    <w:left w:val="single" w:color="auto" w:sz="6" w:space="0"/>
                    <w:right w:val="single" w:color="auto" w:sz="6" w:space="0"/>
                  </w:tcBorders>
                  <w:vAlign w:val="center"/>
                </w:tcPr>
                <w:p w14:paraId="2935015D">
                  <w:pPr>
                    <w:widowControl/>
                    <w:adjustRightInd w:val="0"/>
                    <w:snapToGrid w:val="0"/>
                    <w:jc w:val="center"/>
                    <w:rPr>
                      <w:bCs/>
                      <w:color w:val="000000"/>
                      <w:szCs w:val="21"/>
                    </w:rPr>
                  </w:pPr>
                </w:p>
              </w:tc>
              <w:tc>
                <w:tcPr>
                  <w:tcW w:w="644" w:type="dxa"/>
                  <w:tcBorders>
                    <w:top w:val="single" w:color="auto" w:sz="6" w:space="0"/>
                    <w:left w:val="single" w:color="auto" w:sz="6" w:space="0"/>
                    <w:bottom w:val="single" w:color="auto" w:sz="6" w:space="0"/>
                    <w:right w:val="single" w:color="auto" w:sz="6" w:space="0"/>
                  </w:tcBorders>
                  <w:vAlign w:val="center"/>
                </w:tcPr>
                <w:p w14:paraId="734C58D6">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15CFB4C0">
                  <w:pPr>
                    <w:jc w:val="center"/>
                    <w:rPr>
                      <w:bCs/>
                      <w:color w:val="000000"/>
                      <w:szCs w:val="21"/>
                    </w:rPr>
                  </w:pPr>
                  <w:r>
                    <w:rPr>
                      <w:bCs/>
                      <w:color w:val="000000"/>
                      <w:szCs w:val="21"/>
                    </w:rPr>
                    <w:t>50-55</w:t>
                  </w:r>
                </w:p>
              </w:tc>
              <w:tc>
                <w:tcPr>
                  <w:tcW w:w="402" w:type="dxa"/>
                  <w:tcBorders>
                    <w:top w:val="single" w:color="auto" w:sz="6" w:space="0"/>
                    <w:left w:val="single" w:color="auto" w:sz="6" w:space="0"/>
                    <w:bottom w:val="single" w:color="auto" w:sz="6" w:space="0"/>
                    <w:right w:val="single" w:color="auto" w:sz="12" w:space="0"/>
                  </w:tcBorders>
                  <w:vAlign w:val="center"/>
                </w:tcPr>
                <w:p w14:paraId="1FC5E120">
                  <w:pPr>
                    <w:pStyle w:val="50"/>
                    <w:spacing w:beforeLines="0" w:line="240" w:lineRule="auto"/>
                    <w:rPr>
                      <w:rFonts w:ascii="Times New Roman" w:hAnsi="Times New Roman"/>
                      <w:bCs/>
                      <w:color w:val="000000"/>
                      <w:szCs w:val="21"/>
                    </w:rPr>
                  </w:pPr>
                  <w:r>
                    <w:rPr>
                      <w:rFonts w:ascii="Times New Roman" w:hAnsi="Times New Roman"/>
                      <w:bCs/>
                      <w:color w:val="000000"/>
                      <w:szCs w:val="21"/>
                    </w:rPr>
                    <w:t>1</w:t>
                  </w:r>
                </w:p>
              </w:tc>
            </w:tr>
            <w:tr w14:paraId="4ACE687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dxa"/>
                  <w:tcBorders>
                    <w:top w:val="single" w:color="auto" w:sz="6" w:space="0"/>
                    <w:left w:val="single" w:color="auto" w:sz="12" w:space="0"/>
                    <w:bottom w:val="single" w:color="auto" w:sz="6" w:space="0"/>
                    <w:right w:val="single" w:color="auto" w:sz="6" w:space="0"/>
                  </w:tcBorders>
                  <w:vAlign w:val="center"/>
                </w:tcPr>
                <w:p w14:paraId="5F8CCC0E">
                  <w:pPr>
                    <w:widowControl/>
                    <w:adjustRightInd w:val="0"/>
                    <w:snapToGrid w:val="0"/>
                    <w:jc w:val="center"/>
                    <w:rPr>
                      <w:bCs/>
                      <w:color w:val="000000"/>
                      <w:szCs w:val="21"/>
                    </w:rPr>
                  </w:pPr>
                  <w:r>
                    <w:rPr>
                      <w:bCs/>
                      <w:color w:val="000000"/>
                      <w:szCs w:val="21"/>
                    </w:rPr>
                    <w:t>26</w:t>
                  </w:r>
                </w:p>
              </w:tc>
              <w:tc>
                <w:tcPr>
                  <w:tcW w:w="431" w:type="dxa"/>
                  <w:vMerge w:val="continue"/>
                  <w:tcBorders>
                    <w:left w:val="single" w:color="auto" w:sz="6" w:space="0"/>
                    <w:right w:val="single" w:color="auto" w:sz="6" w:space="0"/>
                  </w:tcBorders>
                  <w:vAlign w:val="center"/>
                </w:tcPr>
                <w:p w14:paraId="260AC290">
                  <w:pPr>
                    <w:jc w:val="center"/>
                    <w:rPr>
                      <w:color w:val="000000"/>
                      <w:szCs w:val="21"/>
                    </w:rPr>
                  </w:pPr>
                </w:p>
              </w:tc>
              <w:tc>
                <w:tcPr>
                  <w:tcW w:w="707" w:type="dxa"/>
                  <w:tcBorders>
                    <w:top w:val="single" w:color="auto" w:sz="6" w:space="0"/>
                    <w:left w:val="single" w:color="auto" w:sz="6" w:space="0"/>
                    <w:bottom w:val="single" w:color="auto" w:sz="6" w:space="0"/>
                    <w:right w:val="single" w:color="auto" w:sz="6" w:space="0"/>
                  </w:tcBorders>
                  <w:vAlign w:val="center"/>
                </w:tcPr>
                <w:p w14:paraId="1C3F59C3">
                  <w:pPr>
                    <w:jc w:val="center"/>
                    <w:rPr>
                      <w:color w:val="000000"/>
                      <w:szCs w:val="21"/>
                    </w:rPr>
                  </w:pPr>
                  <w:r>
                    <w:rPr>
                      <w:color w:val="000000"/>
                      <w:szCs w:val="21"/>
                    </w:rPr>
                    <w:t>真空包装机</w:t>
                  </w:r>
                </w:p>
              </w:tc>
              <w:tc>
                <w:tcPr>
                  <w:tcW w:w="480" w:type="dxa"/>
                  <w:tcBorders>
                    <w:top w:val="single" w:color="auto" w:sz="6" w:space="0"/>
                    <w:left w:val="single" w:color="auto" w:sz="6" w:space="0"/>
                    <w:bottom w:val="single" w:color="auto" w:sz="6" w:space="0"/>
                    <w:right w:val="single" w:color="auto" w:sz="6" w:space="0"/>
                  </w:tcBorders>
                  <w:vAlign w:val="center"/>
                </w:tcPr>
                <w:p w14:paraId="6E1279CC">
                  <w:pPr>
                    <w:jc w:val="center"/>
                    <w:rPr>
                      <w:color w:val="000000"/>
                      <w:szCs w:val="21"/>
                    </w:rPr>
                  </w:pPr>
                  <w:r>
                    <w:rPr>
                      <w:color w:val="000000"/>
                      <w:szCs w:val="21"/>
                    </w:rPr>
                    <w:t>3</w:t>
                  </w:r>
                </w:p>
              </w:tc>
              <w:tc>
                <w:tcPr>
                  <w:tcW w:w="760" w:type="dxa"/>
                  <w:tcBorders>
                    <w:top w:val="single" w:color="auto" w:sz="6" w:space="0"/>
                    <w:left w:val="single" w:color="auto" w:sz="6" w:space="0"/>
                    <w:bottom w:val="single" w:color="auto" w:sz="6" w:space="0"/>
                    <w:right w:val="single" w:color="auto" w:sz="6" w:space="0"/>
                  </w:tcBorders>
                  <w:vAlign w:val="center"/>
                </w:tcPr>
                <w:p w14:paraId="68D87D89">
                  <w:pPr>
                    <w:adjustRightInd w:val="0"/>
                    <w:snapToGrid w:val="0"/>
                    <w:jc w:val="center"/>
                    <w:rPr>
                      <w:color w:val="000000"/>
                      <w:szCs w:val="21"/>
                    </w:rPr>
                  </w:pPr>
                  <w:r>
                    <w:rPr>
                      <w:color w:val="000000"/>
                      <w:szCs w:val="21"/>
                    </w:rPr>
                    <w:t>65-75</w:t>
                  </w:r>
                </w:p>
              </w:tc>
              <w:tc>
                <w:tcPr>
                  <w:tcW w:w="520" w:type="dxa"/>
                  <w:vMerge w:val="continue"/>
                  <w:tcBorders>
                    <w:left w:val="single" w:color="auto" w:sz="6" w:space="0"/>
                    <w:right w:val="single" w:color="auto" w:sz="6" w:space="0"/>
                  </w:tcBorders>
                  <w:vAlign w:val="center"/>
                </w:tcPr>
                <w:p w14:paraId="0B794739">
                  <w:pPr>
                    <w:widowControl/>
                    <w:adjustRightInd w:val="0"/>
                    <w:snapToGrid w:val="0"/>
                    <w:jc w:val="center"/>
                    <w:rPr>
                      <w:color w:val="000000"/>
                      <w:szCs w:val="21"/>
                    </w:rPr>
                  </w:pPr>
                </w:p>
              </w:tc>
              <w:tc>
                <w:tcPr>
                  <w:tcW w:w="586" w:type="dxa"/>
                  <w:tcBorders>
                    <w:top w:val="single" w:color="auto" w:sz="6" w:space="0"/>
                    <w:left w:val="single" w:color="auto" w:sz="6" w:space="0"/>
                    <w:bottom w:val="single" w:color="auto" w:sz="6" w:space="0"/>
                    <w:right w:val="single" w:color="auto" w:sz="6" w:space="0"/>
                  </w:tcBorders>
                  <w:vAlign w:val="center"/>
                </w:tcPr>
                <w:p w14:paraId="0EC2D66D">
                  <w:pPr>
                    <w:pStyle w:val="50"/>
                    <w:spacing w:beforeLines="0" w:line="240" w:lineRule="auto"/>
                    <w:rPr>
                      <w:rFonts w:ascii="Times New Roman" w:hAnsi="Times New Roman"/>
                      <w:bCs/>
                      <w:color w:val="000000"/>
                      <w:szCs w:val="21"/>
                    </w:rPr>
                  </w:pPr>
                  <w:r>
                    <w:rPr>
                      <w:rFonts w:ascii="Times New Roman" w:hAnsi="Times New Roman"/>
                      <w:bCs/>
                      <w:color w:val="000000"/>
                      <w:szCs w:val="21"/>
                    </w:rPr>
                    <w:t>171.36</w:t>
                  </w:r>
                </w:p>
              </w:tc>
              <w:tc>
                <w:tcPr>
                  <w:tcW w:w="534" w:type="dxa"/>
                  <w:tcBorders>
                    <w:top w:val="single" w:color="auto" w:sz="6" w:space="0"/>
                    <w:left w:val="single" w:color="auto" w:sz="6" w:space="0"/>
                    <w:bottom w:val="single" w:color="auto" w:sz="6" w:space="0"/>
                    <w:right w:val="single" w:color="auto" w:sz="6" w:space="0"/>
                  </w:tcBorders>
                  <w:vAlign w:val="center"/>
                </w:tcPr>
                <w:p w14:paraId="41BA1EF5">
                  <w:pPr>
                    <w:pStyle w:val="50"/>
                    <w:spacing w:beforeLines="0" w:line="240" w:lineRule="auto"/>
                    <w:rPr>
                      <w:rFonts w:ascii="Times New Roman" w:hAnsi="Times New Roman"/>
                      <w:bCs/>
                      <w:color w:val="000000"/>
                      <w:szCs w:val="21"/>
                    </w:rPr>
                  </w:pPr>
                  <w:r>
                    <w:rPr>
                      <w:rFonts w:ascii="Times New Roman" w:hAnsi="Times New Roman"/>
                      <w:bCs/>
                      <w:color w:val="000000"/>
                      <w:szCs w:val="21"/>
                    </w:rPr>
                    <w:t>-131.47</w:t>
                  </w:r>
                </w:p>
              </w:tc>
              <w:tc>
                <w:tcPr>
                  <w:tcW w:w="533" w:type="dxa"/>
                  <w:tcBorders>
                    <w:top w:val="single" w:color="auto" w:sz="6" w:space="0"/>
                    <w:left w:val="single" w:color="auto" w:sz="6" w:space="0"/>
                    <w:bottom w:val="single" w:color="auto" w:sz="6" w:space="0"/>
                    <w:right w:val="single" w:color="auto" w:sz="6" w:space="0"/>
                  </w:tcBorders>
                  <w:vAlign w:val="center"/>
                </w:tcPr>
                <w:p w14:paraId="03C80D02">
                  <w:pPr>
                    <w:jc w:val="center"/>
                    <w:rPr>
                      <w:szCs w:val="21"/>
                    </w:rPr>
                  </w:pPr>
                  <w:r>
                    <w:rPr>
                      <w:rFonts w:hint="eastAsia"/>
                      <w:bCs/>
                      <w:color w:val="000000"/>
                      <w:szCs w:val="21"/>
                    </w:rPr>
                    <w:t>4.5</w:t>
                  </w:r>
                </w:p>
              </w:tc>
              <w:tc>
                <w:tcPr>
                  <w:tcW w:w="517" w:type="dxa"/>
                  <w:tcBorders>
                    <w:top w:val="single" w:color="auto" w:sz="6" w:space="0"/>
                    <w:left w:val="single" w:color="auto" w:sz="6" w:space="0"/>
                    <w:bottom w:val="single" w:color="auto" w:sz="6" w:space="0"/>
                    <w:right w:val="single" w:color="auto" w:sz="6" w:space="0"/>
                  </w:tcBorders>
                  <w:vAlign w:val="center"/>
                </w:tcPr>
                <w:p w14:paraId="226DEA63">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41A9B13F">
                  <w:pPr>
                    <w:pStyle w:val="50"/>
                    <w:spacing w:beforeLines="0" w:line="240" w:lineRule="auto"/>
                    <w:rPr>
                      <w:rFonts w:ascii="Times New Roman" w:hAnsi="Times New Roman"/>
                      <w:color w:val="000000"/>
                      <w:kern w:val="0"/>
                      <w:szCs w:val="21"/>
                    </w:rPr>
                  </w:pPr>
                  <w:r>
                    <w:rPr>
                      <w:rFonts w:ascii="Times New Roman" w:hAnsi="Times New Roman"/>
                      <w:color w:val="000000"/>
                      <w:kern w:val="0"/>
                      <w:szCs w:val="21"/>
                    </w:rPr>
                    <w:t>50-60</w:t>
                  </w:r>
                </w:p>
              </w:tc>
              <w:tc>
                <w:tcPr>
                  <w:tcW w:w="733" w:type="dxa"/>
                  <w:vMerge w:val="continue"/>
                  <w:tcBorders>
                    <w:left w:val="single" w:color="auto" w:sz="6" w:space="0"/>
                    <w:right w:val="single" w:color="auto" w:sz="6" w:space="0"/>
                  </w:tcBorders>
                  <w:vAlign w:val="center"/>
                </w:tcPr>
                <w:p w14:paraId="784C081A">
                  <w:pPr>
                    <w:widowControl/>
                    <w:adjustRightInd w:val="0"/>
                    <w:snapToGrid w:val="0"/>
                    <w:jc w:val="center"/>
                    <w:rPr>
                      <w:bCs/>
                      <w:color w:val="000000"/>
                      <w:szCs w:val="21"/>
                    </w:rPr>
                  </w:pPr>
                </w:p>
              </w:tc>
              <w:tc>
                <w:tcPr>
                  <w:tcW w:w="644" w:type="dxa"/>
                  <w:tcBorders>
                    <w:top w:val="single" w:color="auto" w:sz="6" w:space="0"/>
                    <w:left w:val="single" w:color="auto" w:sz="6" w:space="0"/>
                    <w:bottom w:val="single" w:color="auto" w:sz="6" w:space="0"/>
                    <w:right w:val="single" w:color="auto" w:sz="6" w:space="0"/>
                  </w:tcBorders>
                  <w:vAlign w:val="center"/>
                </w:tcPr>
                <w:p w14:paraId="2CB34D48">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0139863E">
                  <w:pPr>
                    <w:pStyle w:val="50"/>
                    <w:spacing w:beforeLines="0" w:line="240" w:lineRule="auto"/>
                    <w:rPr>
                      <w:rFonts w:ascii="Times New Roman" w:hAnsi="Times New Roman"/>
                      <w:bCs/>
                      <w:color w:val="000000"/>
                      <w:szCs w:val="21"/>
                    </w:rPr>
                  </w:pPr>
                  <w:r>
                    <w:rPr>
                      <w:rFonts w:ascii="Times New Roman" w:hAnsi="Times New Roman"/>
                      <w:bCs/>
                      <w:color w:val="000000"/>
                      <w:szCs w:val="21"/>
                    </w:rPr>
                    <w:t>45-55</w:t>
                  </w:r>
                </w:p>
              </w:tc>
              <w:tc>
                <w:tcPr>
                  <w:tcW w:w="402" w:type="dxa"/>
                  <w:tcBorders>
                    <w:top w:val="single" w:color="auto" w:sz="6" w:space="0"/>
                    <w:left w:val="single" w:color="auto" w:sz="6" w:space="0"/>
                    <w:bottom w:val="single" w:color="auto" w:sz="6" w:space="0"/>
                    <w:right w:val="single" w:color="auto" w:sz="12" w:space="0"/>
                  </w:tcBorders>
                  <w:vAlign w:val="center"/>
                </w:tcPr>
                <w:p w14:paraId="5D46F63D">
                  <w:pPr>
                    <w:pStyle w:val="50"/>
                    <w:spacing w:beforeLines="0" w:line="240" w:lineRule="auto"/>
                    <w:rPr>
                      <w:rFonts w:ascii="Times New Roman" w:hAnsi="Times New Roman"/>
                      <w:bCs/>
                      <w:color w:val="000000"/>
                      <w:szCs w:val="21"/>
                    </w:rPr>
                  </w:pPr>
                  <w:r>
                    <w:rPr>
                      <w:rFonts w:ascii="Times New Roman" w:hAnsi="Times New Roman"/>
                      <w:bCs/>
                      <w:color w:val="000000"/>
                      <w:szCs w:val="21"/>
                    </w:rPr>
                    <w:t>1</w:t>
                  </w:r>
                </w:p>
              </w:tc>
            </w:tr>
            <w:tr w14:paraId="1019EB4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dxa"/>
                  <w:tcBorders>
                    <w:top w:val="single" w:color="auto" w:sz="6" w:space="0"/>
                    <w:left w:val="single" w:color="auto" w:sz="12" w:space="0"/>
                    <w:bottom w:val="single" w:color="auto" w:sz="6" w:space="0"/>
                    <w:right w:val="single" w:color="auto" w:sz="6" w:space="0"/>
                  </w:tcBorders>
                  <w:vAlign w:val="center"/>
                </w:tcPr>
                <w:p w14:paraId="271C74D1">
                  <w:pPr>
                    <w:widowControl/>
                    <w:adjustRightInd w:val="0"/>
                    <w:snapToGrid w:val="0"/>
                    <w:jc w:val="center"/>
                    <w:rPr>
                      <w:bCs/>
                      <w:color w:val="000000"/>
                      <w:szCs w:val="21"/>
                    </w:rPr>
                  </w:pPr>
                  <w:r>
                    <w:rPr>
                      <w:bCs/>
                      <w:color w:val="000000"/>
                      <w:szCs w:val="21"/>
                    </w:rPr>
                    <w:t>27</w:t>
                  </w:r>
                </w:p>
              </w:tc>
              <w:tc>
                <w:tcPr>
                  <w:tcW w:w="431" w:type="dxa"/>
                  <w:vMerge w:val="continue"/>
                  <w:tcBorders>
                    <w:left w:val="single" w:color="auto" w:sz="6" w:space="0"/>
                    <w:right w:val="single" w:color="auto" w:sz="6" w:space="0"/>
                  </w:tcBorders>
                  <w:vAlign w:val="center"/>
                </w:tcPr>
                <w:p w14:paraId="3EDD6D6B">
                  <w:pPr>
                    <w:jc w:val="center"/>
                    <w:rPr>
                      <w:color w:val="000000"/>
                      <w:szCs w:val="21"/>
                    </w:rPr>
                  </w:pPr>
                </w:p>
              </w:tc>
              <w:tc>
                <w:tcPr>
                  <w:tcW w:w="707" w:type="dxa"/>
                  <w:tcBorders>
                    <w:top w:val="single" w:color="auto" w:sz="6" w:space="0"/>
                    <w:left w:val="single" w:color="auto" w:sz="6" w:space="0"/>
                    <w:bottom w:val="single" w:color="auto" w:sz="6" w:space="0"/>
                    <w:right w:val="single" w:color="auto" w:sz="6" w:space="0"/>
                  </w:tcBorders>
                  <w:vAlign w:val="center"/>
                </w:tcPr>
                <w:p w14:paraId="7B1E6A57">
                  <w:pPr>
                    <w:jc w:val="center"/>
                    <w:rPr>
                      <w:color w:val="000000"/>
                      <w:szCs w:val="21"/>
                    </w:rPr>
                  </w:pPr>
                  <w:r>
                    <w:rPr>
                      <w:color w:val="000000"/>
                      <w:szCs w:val="21"/>
                    </w:rPr>
                    <w:t>氮气包装机</w:t>
                  </w:r>
                </w:p>
              </w:tc>
              <w:tc>
                <w:tcPr>
                  <w:tcW w:w="480" w:type="dxa"/>
                  <w:tcBorders>
                    <w:top w:val="single" w:color="auto" w:sz="6" w:space="0"/>
                    <w:left w:val="single" w:color="auto" w:sz="6" w:space="0"/>
                    <w:bottom w:val="single" w:color="auto" w:sz="6" w:space="0"/>
                    <w:right w:val="single" w:color="auto" w:sz="6" w:space="0"/>
                  </w:tcBorders>
                  <w:vAlign w:val="center"/>
                </w:tcPr>
                <w:p w14:paraId="76DAB730">
                  <w:pPr>
                    <w:jc w:val="center"/>
                    <w:rPr>
                      <w:color w:val="000000"/>
                      <w:szCs w:val="21"/>
                    </w:rPr>
                  </w:pPr>
                  <w:r>
                    <w:rPr>
                      <w:color w:val="000000"/>
                      <w:szCs w:val="21"/>
                    </w:rPr>
                    <w:t>1</w:t>
                  </w:r>
                </w:p>
              </w:tc>
              <w:tc>
                <w:tcPr>
                  <w:tcW w:w="760" w:type="dxa"/>
                  <w:tcBorders>
                    <w:top w:val="single" w:color="auto" w:sz="6" w:space="0"/>
                    <w:left w:val="single" w:color="auto" w:sz="6" w:space="0"/>
                    <w:bottom w:val="single" w:color="auto" w:sz="6" w:space="0"/>
                    <w:right w:val="single" w:color="auto" w:sz="6" w:space="0"/>
                  </w:tcBorders>
                  <w:vAlign w:val="center"/>
                </w:tcPr>
                <w:p w14:paraId="24723CDC">
                  <w:pPr>
                    <w:adjustRightInd w:val="0"/>
                    <w:snapToGrid w:val="0"/>
                    <w:jc w:val="center"/>
                    <w:rPr>
                      <w:color w:val="000000"/>
                      <w:szCs w:val="21"/>
                    </w:rPr>
                  </w:pPr>
                  <w:r>
                    <w:rPr>
                      <w:color w:val="000000"/>
                      <w:szCs w:val="21"/>
                    </w:rPr>
                    <w:t>60-70</w:t>
                  </w:r>
                </w:p>
              </w:tc>
              <w:tc>
                <w:tcPr>
                  <w:tcW w:w="520" w:type="dxa"/>
                  <w:vMerge w:val="continue"/>
                  <w:tcBorders>
                    <w:left w:val="single" w:color="auto" w:sz="6" w:space="0"/>
                    <w:right w:val="single" w:color="auto" w:sz="6" w:space="0"/>
                  </w:tcBorders>
                  <w:vAlign w:val="center"/>
                </w:tcPr>
                <w:p w14:paraId="5662EBC9">
                  <w:pPr>
                    <w:widowControl/>
                    <w:adjustRightInd w:val="0"/>
                    <w:snapToGrid w:val="0"/>
                    <w:jc w:val="center"/>
                    <w:rPr>
                      <w:color w:val="000000"/>
                      <w:szCs w:val="21"/>
                    </w:rPr>
                  </w:pPr>
                </w:p>
              </w:tc>
              <w:tc>
                <w:tcPr>
                  <w:tcW w:w="586" w:type="dxa"/>
                  <w:tcBorders>
                    <w:top w:val="single" w:color="auto" w:sz="6" w:space="0"/>
                    <w:left w:val="single" w:color="auto" w:sz="6" w:space="0"/>
                    <w:bottom w:val="single" w:color="auto" w:sz="6" w:space="0"/>
                    <w:right w:val="single" w:color="auto" w:sz="6" w:space="0"/>
                  </w:tcBorders>
                  <w:vAlign w:val="center"/>
                </w:tcPr>
                <w:p w14:paraId="6873E0A0">
                  <w:pPr>
                    <w:pStyle w:val="50"/>
                    <w:spacing w:beforeLines="0" w:line="240" w:lineRule="auto"/>
                    <w:rPr>
                      <w:rFonts w:ascii="Times New Roman" w:hAnsi="Times New Roman"/>
                      <w:bCs/>
                      <w:color w:val="000000"/>
                      <w:szCs w:val="21"/>
                    </w:rPr>
                  </w:pPr>
                  <w:r>
                    <w:rPr>
                      <w:rFonts w:ascii="Times New Roman" w:hAnsi="Times New Roman"/>
                      <w:bCs/>
                      <w:color w:val="000000"/>
                      <w:szCs w:val="21"/>
                    </w:rPr>
                    <w:t>155.84</w:t>
                  </w:r>
                </w:p>
              </w:tc>
              <w:tc>
                <w:tcPr>
                  <w:tcW w:w="534" w:type="dxa"/>
                  <w:tcBorders>
                    <w:top w:val="single" w:color="auto" w:sz="6" w:space="0"/>
                    <w:left w:val="single" w:color="auto" w:sz="6" w:space="0"/>
                    <w:bottom w:val="single" w:color="auto" w:sz="6" w:space="0"/>
                    <w:right w:val="single" w:color="auto" w:sz="6" w:space="0"/>
                  </w:tcBorders>
                  <w:vAlign w:val="center"/>
                </w:tcPr>
                <w:p w14:paraId="783CBD4F">
                  <w:pPr>
                    <w:pStyle w:val="50"/>
                    <w:spacing w:beforeLines="0" w:line="240" w:lineRule="auto"/>
                    <w:rPr>
                      <w:rFonts w:ascii="Times New Roman" w:hAnsi="Times New Roman"/>
                      <w:bCs/>
                      <w:color w:val="000000"/>
                      <w:szCs w:val="21"/>
                    </w:rPr>
                  </w:pPr>
                  <w:r>
                    <w:rPr>
                      <w:rFonts w:ascii="Times New Roman" w:hAnsi="Times New Roman"/>
                      <w:bCs/>
                      <w:color w:val="000000"/>
                      <w:szCs w:val="21"/>
                    </w:rPr>
                    <w:t>-120.23</w:t>
                  </w:r>
                </w:p>
              </w:tc>
              <w:tc>
                <w:tcPr>
                  <w:tcW w:w="533" w:type="dxa"/>
                  <w:tcBorders>
                    <w:top w:val="single" w:color="auto" w:sz="6" w:space="0"/>
                    <w:left w:val="single" w:color="auto" w:sz="6" w:space="0"/>
                    <w:bottom w:val="single" w:color="auto" w:sz="6" w:space="0"/>
                    <w:right w:val="single" w:color="auto" w:sz="6" w:space="0"/>
                  </w:tcBorders>
                  <w:vAlign w:val="center"/>
                </w:tcPr>
                <w:p w14:paraId="7F2FE041">
                  <w:pPr>
                    <w:jc w:val="center"/>
                    <w:rPr>
                      <w:szCs w:val="21"/>
                    </w:rPr>
                  </w:pPr>
                  <w:r>
                    <w:rPr>
                      <w:rFonts w:hint="eastAsia"/>
                      <w:bCs/>
                      <w:color w:val="000000"/>
                      <w:szCs w:val="21"/>
                    </w:rPr>
                    <w:t>4.5</w:t>
                  </w:r>
                </w:p>
              </w:tc>
              <w:tc>
                <w:tcPr>
                  <w:tcW w:w="517" w:type="dxa"/>
                  <w:tcBorders>
                    <w:top w:val="single" w:color="auto" w:sz="6" w:space="0"/>
                    <w:left w:val="single" w:color="auto" w:sz="6" w:space="0"/>
                    <w:bottom w:val="single" w:color="auto" w:sz="6" w:space="0"/>
                    <w:right w:val="single" w:color="auto" w:sz="6" w:space="0"/>
                  </w:tcBorders>
                  <w:vAlign w:val="center"/>
                </w:tcPr>
                <w:p w14:paraId="11A00FD5">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790556F5">
                  <w:pPr>
                    <w:pStyle w:val="50"/>
                    <w:spacing w:beforeLines="0" w:line="240" w:lineRule="auto"/>
                    <w:rPr>
                      <w:rFonts w:ascii="Times New Roman" w:hAnsi="Times New Roman"/>
                      <w:color w:val="000000"/>
                      <w:kern w:val="0"/>
                      <w:szCs w:val="21"/>
                    </w:rPr>
                  </w:pPr>
                  <w:r>
                    <w:rPr>
                      <w:rFonts w:ascii="Times New Roman" w:hAnsi="Times New Roman"/>
                      <w:color w:val="000000"/>
                      <w:kern w:val="0"/>
                      <w:szCs w:val="21"/>
                    </w:rPr>
                    <w:t>45-55</w:t>
                  </w:r>
                </w:p>
              </w:tc>
              <w:tc>
                <w:tcPr>
                  <w:tcW w:w="733" w:type="dxa"/>
                  <w:vMerge w:val="continue"/>
                  <w:tcBorders>
                    <w:left w:val="single" w:color="auto" w:sz="6" w:space="0"/>
                    <w:right w:val="single" w:color="auto" w:sz="6" w:space="0"/>
                  </w:tcBorders>
                  <w:vAlign w:val="center"/>
                </w:tcPr>
                <w:p w14:paraId="519EC8A8">
                  <w:pPr>
                    <w:widowControl/>
                    <w:adjustRightInd w:val="0"/>
                    <w:snapToGrid w:val="0"/>
                    <w:jc w:val="center"/>
                    <w:rPr>
                      <w:bCs/>
                      <w:color w:val="000000"/>
                      <w:szCs w:val="21"/>
                    </w:rPr>
                  </w:pPr>
                </w:p>
              </w:tc>
              <w:tc>
                <w:tcPr>
                  <w:tcW w:w="644" w:type="dxa"/>
                  <w:tcBorders>
                    <w:top w:val="single" w:color="auto" w:sz="6" w:space="0"/>
                    <w:left w:val="single" w:color="auto" w:sz="6" w:space="0"/>
                    <w:bottom w:val="single" w:color="auto" w:sz="6" w:space="0"/>
                    <w:right w:val="single" w:color="auto" w:sz="6" w:space="0"/>
                  </w:tcBorders>
                  <w:vAlign w:val="center"/>
                </w:tcPr>
                <w:p w14:paraId="07EBBD41">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562CEE45">
                  <w:pPr>
                    <w:pStyle w:val="50"/>
                    <w:spacing w:beforeLines="0" w:line="240" w:lineRule="auto"/>
                    <w:rPr>
                      <w:rFonts w:ascii="Times New Roman" w:hAnsi="Times New Roman"/>
                      <w:bCs/>
                      <w:color w:val="000000"/>
                      <w:szCs w:val="21"/>
                    </w:rPr>
                  </w:pPr>
                  <w:r>
                    <w:rPr>
                      <w:rFonts w:ascii="Times New Roman" w:hAnsi="Times New Roman"/>
                      <w:bCs/>
                      <w:color w:val="000000"/>
                      <w:szCs w:val="21"/>
                    </w:rPr>
                    <w:t>40-45</w:t>
                  </w:r>
                </w:p>
              </w:tc>
              <w:tc>
                <w:tcPr>
                  <w:tcW w:w="402" w:type="dxa"/>
                  <w:tcBorders>
                    <w:top w:val="single" w:color="auto" w:sz="6" w:space="0"/>
                    <w:left w:val="single" w:color="auto" w:sz="6" w:space="0"/>
                    <w:bottom w:val="single" w:color="auto" w:sz="6" w:space="0"/>
                    <w:right w:val="single" w:color="auto" w:sz="12" w:space="0"/>
                  </w:tcBorders>
                  <w:vAlign w:val="center"/>
                </w:tcPr>
                <w:p w14:paraId="47BA8696">
                  <w:pPr>
                    <w:pStyle w:val="50"/>
                    <w:spacing w:beforeLines="0" w:line="240" w:lineRule="auto"/>
                    <w:rPr>
                      <w:rFonts w:ascii="Times New Roman" w:hAnsi="Times New Roman"/>
                      <w:bCs/>
                      <w:color w:val="000000"/>
                      <w:szCs w:val="21"/>
                    </w:rPr>
                  </w:pPr>
                  <w:r>
                    <w:rPr>
                      <w:rFonts w:ascii="Times New Roman" w:hAnsi="Times New Roman"/>
                      <w:bCs/>
                      <w:color w:val="000000"/>
                      <w:szCs w:val="21"/>
                    </w:rPr>
                    <w:t>1</w:t>
                  </w:r>
                </w:p>
              </w:tc>
            </w:tr>
            <w:tr w14:paraId="68A50B6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dxa"/>
                  <w:tcBorders>
                    <w:top w:val="single" w:color="auto" w:sz="6" w:space="0"/>
                    <w:left w:val="single" w:color="auto" w:sz="12" w:space="0"/>
                    <w:bottom w:val="single" w:color="auto" w:sz="6" w:space="0"/>
                    <w:right w:val="single" w:color="auto" w:sz="6" w:space="0"/>
                  </w:tcBorders>
                  <w:vAlign w:val="center"/>
                </w:tcPr>
                <w:p w14:paraId="417FC72D">
                  <w:pPr>
                    <w:widowControl/>
                    <w:adjustRightInd w:val="0"/>
                    <w:snapToGrid w:val="0"/>
                    <w:jc w:val="center"/>
                    <w:rPr>
                      <w:bCs/>
                      <w:color w:val="000000"/>
                      <w:szCs w:val="21"/>
                    </w:rPr>
                  </w:pPr>
                  <w:r>
                    <w:rPr>
                      <w:bCs/>
                      <w:color w:val="000000"/>
                      <w:szCs w:val="21"/>
                    </w:rPr>
                    <w:t>28</w:t>
                  </w:r>
                </w:p>
              </w:tc>
              <w:tc>
                <w:tcPr>
                  <w:tcW w:w="431" w:type="dxa"/>
                  <w:vMerge w:val="continue"/>
                  <w:tcBorders>
                    <w:left w:val="single" w:color="auto" w:sz="6" w:space="0"/>
                    <w:right w:val="single" w:color="auto" w:sz="6" w:space="0"/>
                  </w:tcBorders>
                  <w:vAlign w:val="center"/>
                </w:tcPr>
                <w:p w14:paraId="020C9B55">
                  <w:pPr>
                    <w:jc w:val="center"/>
                    <w:rPr>
                      <w:color w:val="000000"/>
                      <w:szCs w:val="21"/>
                    </w:rPr>
                  </w:pPr>
                </w:p>
              </w:tc>
              <w:tc>
                <w:tcPr>
                  <w:tcW w:w="707" w:type="dxa"/>
                  <w:tcBorders>
                    <w:top w:val="single" w:color="auto" w:sz="6" w:space="0"/>
                    <w:left w:val="single" w:color="auto" w:sz="6" w:space="0"/>
                    <w:bottom w:val="single" w:color="auto" w:sz="6" w:space="0"/>
                    <w:right w:val="single" w:color="auto" w:sz="6" w:space="0"/>
                  </w:tcBorders>
                  <w:vAlign w:val="center"/>
                </w:tcPr>
                <w:p w14:paraId="0DC5B2D6">
                  <w:pPr>
                    <w:jc w:val="center"/>
                    <w:rPr>
                      <w:color w:val="000000"/>
                      <w:szCs w:val="21"/>
                    </w:rPr>
                  </w:pPr>
                  <w:r>
                    <w:rPr>
                      <w:color w:val="000000"/>
                      <w:szCs w:val="21"/>
                    </w:rPr>
                    <w:t>升降提升机</w:t>
                  </w:r>
                </w:p>
              </w:tc>
              <w:tc>
                <w:tcPr>
                  <w:tcW w:w="480" w:type="dxa"/>
                  <w:tcBorders>
                    <w:top w:val="single" w:color="auto" w:sz="6" w:space="0"/>
                    <w:left w:val="single" w:color="auto" w:sz="6" w:space="0"/>
                    <w:bottom w:val="single" w:color="auto" w:sz="6" w:space="0"/>
                    <w:right w:val="single" w:color="auto" w:sz="6" w:space="0"/>
                  </w:tcBorders>
                  <w:vAlign w:val="center"/>
                </w:tcPr>
                <w:p w14:paraId="380C168D">
                  <w:pPr>
                    <w:jc w:val="center"/>
                    <w:rPr>
                      <w:color w:val="000000"/>
                      <w:szCs w:val="21"/>
                    </w:rPr>
                  </w:pPr>
                  <w:r>
                    <w:rPr>
                      <w:color w:val="000000"/>
                      <w:szCs w:val="21"/>
                    </w:rPr>
                    <w:t>1</w:t>
                  </w:r>
                </w:p>
              </w:tc>
              <w:tc>
                <w:tcPr>
                  <w:tcW w:w="760" w:type="dxa"/>
                  <w:tcBorders>
                    <w:top w:val="single" w:color="auto" w:sz="6" w:space="0"/>
                    <w:left w:val="single" w:color="auto" w:sz="6" w:space="0"/>
                    <w:bottom w:val="single" w:color="auto" w:sz="6" w:space="0"/>
                    <w:right w:val="single" w:color="auto" w:sz="6" w:space="0"/>
                  </w:tcBorders>
                  <w:vAlign w:val="center"/>
                </w:tcPr>
                <w:p w14:paraId="721C50A5">
                  <w:pPr>
                    <w:adjustRightInd w:val="0"/>
                    <w:snapToGrid w:val="0"/>
                    <w:jc w:val="center"/>
                    <w:rPr>
                      <w:color w:val="000000"/>
                      <w:szCs w:val="21"/>
                    </w:rPr>
                  </w:pPr>
                  <w:r>
                    <w:rPr>
                      <w:color w:val="000000"/>
                      <w:szCs w:val="21"/>
                    </w:rPr>
                    <w:t>70-80</w:t>
                  </w:r>
                </w:p>
              </w:tc>
              <w:tc>
                <w:tcPr>
                  <w:tcW w:w="520" w:type="dxa"/>
                  <w:vMerge w:val="continue"/>
                  <w:tcBorders>
                    <w:left w:val="single" w:color="auto" w:sz="6" w:space="0"/>
                    <w:right w:val="single" w:color="auto" w:sz="6" w:space="0"/>
                  </w:tcBorders>
                  <w:vAlign w:val="center"/>
                </w:tcPr>
                <w:p w14:paraId="5A3519A7">
                  <w:pPr>
                    <w:widowControl/>
                    <w:adjustRightInd w:val="0"/>
                    <w:snapToGrid w:val="0"/>
                    <w:jc w:val="center"/>
                    <w:rPr>
                      <w:color w:val="000000"/>
                      <w:szCs w:val="21"/>
                    </w:rPr>
                  </w:pPr>
                </w:p>
              </w:tc>
              <w:tc>
                <w:tcPr>
                  <w:tcW w:w="586" w:type="dxa"/>
                  <w:tcBorders>
                    <w:top w:val="single" w:color="auto" w:sz="6" w:space="0"/>
                    <w:left w:val="single" w:color="auto" w:sz="6" w:space="0"/>
                    <w:bottom w:val="single" w:color="auto" w:sz="6" w:space="0"/>
                    <w:right w:val="single" w:color="auto" w:sz="6" w:space="0"/>
                  </w:tcBorders>
                  <w:vAlign w:val="center"/>
                </w:tcPr>
                <w:p w14:paraId="504C85C9">
                  <w:pPr>
                    <w:pStyle w:val="50"/>
                    <w:spacing w:beforeLines="0" w:line="240" w:lineRule="auto"/>
                    <w:rPr>
                      <w:rFonts w:ascii="Times New Roman" w:hAnsi="Times New Roman"/>
                      <w:bCs/>
                      <w:color w:val="000000"/>
                      <w:szCs w:val="21"/>
                    </w:rPr>
                  </w:pPr>
                  <w:r>
                    <w:rPr>
                      <w:rFonts w:ascii="Times New Roman" w:hAnsi="Times New Roman"/>
                      <w:bCs/>
                      <w:color w:val="000000"/>
                      <w:szCs w:val="21"/>
                    </w:rPr>
                    <w:t>144.94</w:t>
                  </w:r>
                </w:p>
              </w:tc>
              <w:tc>
                <w:tcPr>
                  <w:tcW w:w="534" w:type="dxa"/>
                  <w:tcBorders>
                    <w:top w:val="single" w:color="auto" w:sz="6" w:space="0"/>
                    <w:left w:val="single" w:color="auto" w:sz="6" w:space="0"/>
                    <w:bottom w:val="single" w:color="auto" w:sz="6" w:space="0"/>
                    <w:right w:val="single" w:color="auto" w:sz="6" w:space="0"/>
                  </w:tcBorders>
                  <w:vAlign w:val="center"/>
                </w:tcPr>
                <w:p w14:paraId="3C125710">
                  <w:pPr>
                    <w:pStyle w:val="50"/>
                    <w:spacing w:beforeLines="0" w:line="240" w:lineRule="auto"/>
                    <w:rPr>
                      <w:rFonts w:ascii="Times New Roman" w:hAnsi="Times New Roman"/>
                      <w:bCs/>
                      <w:color w:val="000000"/>
                      <w:szCs w:val="21"/>
                    </w:rPr>
                  </w:pPr>
                  <w:r>
                    <w:rPr>
                      <w:rFonts w:ascii="Times New Roman" w:hAnsi="Times New Roman"/>
                      <w:bCs/>
                      <w:color w:val="000000"/>
                      <w:szCs w:val="21"/>
                    </w:rPr>
                    <w:t>-131.81</w:t>
                  </w:r>
                </w:p>
              </w:tc>
              <w:tc>
                <w:tcPr>
                  <w:tcW w:w="533" w:type="dxa"/>
                  <w:tcBorders>
                    <w:top w:val="single" w:color="auto" w:sz="6" w:space="0"/>
                    <w:left w:val="single" w:color="auto" w:sz="6" w:space="0"/>
                    <w:bottom w:val="single" w:color="auto" w:sz="6" w:space="0"/>
                    <w:right w:val="single" w:color="auto" w:sz="6" w:space="0"/>
                  </w:tcBorders>
                  <w:vAlign w:val="center"/>
                </w:tcPr>
                <w:p w14:paraId="7AFA1453">
                  <w:pPr>
                    <w:jc w:val="center"/>
                    <w:rPr>
                      <w:szCs w:val="21"/>
                    </w:rPr>
                  </w:pPr>
                  <w:r>
                    <w:rPr>
                      <w:rFonts w:hint="eastAsia"/>
                      <w:bCs/>
                      <w:color w:val="000000"/>
                      <w:szCs w:val="21"/>
                    </w:rPr>
                    <w:t>4.5</w:t>
                  </w:r>
                </w:p>
              </w:tc>
              <w:tc>
                <w:tcPr>
                  <w:tcW w:w="517" w:type="dxa"/>
                  <w:tcBorders>
                    <w:top w:val="single" w:color="auto" w:sz="6" w:space="0"/>
                    <w:left w:val="single" w:color="auto" w:sz="6" w:space="0"/>
                    <w:bottom w:val="single" w:color="auto" w:sz="6" w:space="0"/>
                    <w:right w:val="single" w:color="auto" w:sz="6" w:space="0"/>
                  </w:tcBorders>
                  <w:vAlign w:val="center"/>
                </w:tcPr>
                <w:p w14:paraId="0FB84DDE">
                  <w:pPr>
                    <w:pStyle w:val="50"/>
                    <w:spacing w:beforeLines="0" w:line="240" w:lineRule="auto"/>
                    <w:rPr>
                      <w:rFonts w:ascii="Times New Roman" w:hAnsi="Times New Roman"/>
                      <w:bCs/>
                      <w:color w:val="000000"/>
                      <w:szCs w:val="21"/>
                    </w:rPr>
                  </w:pPr>
                  <w:r>
                    <w:rPr>
                      <w:rFonts w:ascii="Times New Roman" w:hAnsi="Times New Roman"/>
                      <w:bCs/>
                      <w:color w:val="000000"/>
                      <w:szCs w:val="21"/>
                    </w:rPr>
                    <w:t>5</w:t>
                  </w:r>
                </w:p>
              </w:tc>
              <w:tc>
                <w:tcPr>
                  <w:tcW w:w="644" w:type="dxa"/>
                  <w:tcBorders>
                    <w:top w:val="single" w:color="auto" w:sz="6" w:space="0"/>
                    <w:left w:val="single" w:color="auto" w:sz="6" w:space="0"/>
                    <w:bottom w:val="single" w:color="auto" w:sz="6" w:space="0"/>
                    <w:right w:val="single" w:color="auto" w:sz="6" w:space="0"/>
                  </w:tcBorders>
                  <w:vAlign w:val="center"/>
                </w:tcPr>
                <w:p w14:paraId="32FDA047">
                  <w:pPr>
                    <w:pStyle w:val="50"/>
                    <w:spacing w:beforeLines="0" w:line="240" w:lineRule="auto"/>
                    <w:rPr>
                      <w:rFonts w:ascii="Times New Roman" w:hAnsi="Times New Roman"/>
                      <w:color w:val="000000"/>
                      <w:kern w:val="0"/>
                      <w:szCs w:val="21"/>
                    </w:rPr>
                  </w:pPr>
                  <w:r>
                    <w:rPr>
                      <w:rFonts w:ascii="Times New Roman" w:hAnsi="Times New Roman"/>
                      <w:color w:val="000000"/>
                      <w:kern w:val="0"/>
                      <w:szCs w:val="21"/>
                    </w:rPr>
                    <w:t>60-65</w:t>
                  </w:r>
                </w:p>
              </w:tc>
              <w:tc>
                <w:tcPr>
                  <w:tcW w:w="733" w:type="dxa"/>
                  <w:vMerge w:val="continue"/>
                  <w:tcBorders>
                    <w:left w:val="single" w:color="auto" w:sz="6" w:space="0"/>
                    <w:right w:val="single" w:color="auto" w:sz="6" w:space="0"/>
                  </w:tcBorders>
                  <w:vAlign w:val="center"/>
                </w:tcPr>
                <w:p w14:paraId="3B0671CE">
                  <w:pPr>
                    <w:widowControl/>
                    <w:adjustRightInd w:val="0"/>
                    <w:snapToGrid w:val="0"/>
                    <w:jc w:val="center"/>
                    <w:rPr>
                      <w:bCs/>
                      <w:color w:val="000000"/>
                      <w:szCs w:val="21"/>
                    </w:rPr>
                  </w:pPr>
                </w:p>
              </w:tc>
              <w:tc>
                <w:tcPr>
                  <w:tcW w:w="644" w:type="dxa"/>
                  <w:tcBorders>
                    <w:top w:val="single" w:color="auto" w:sz="6" w:space="0"/>
                    <w:left w:val="single" w:color="auto" w:sz="6" w:space="0"/>
                    <w:bottom w:val="single" w:color="auto" w:sz="6" w:space="0"/>
                    <w:right w:val="single" w:color="auto" w:sz="6" w:space="0"/>
                  </w:tcBorders>
                  <w:vAlign w:val="center"/>
                </w:tcPr>
                <w:p w14:paraId="762400F2">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4905ACEE">
                  <w:pPr>
                    <w:pStyle w:val="50"/>
                    <w:spacing w:beforeLines="0" w:line="240" w:lineRule="auto"/>
                    <w:rPr>
                      <w:rFonts w:ascii="Times New Roman" w:hAnsi="Times New Roman"/>
                      <w:bCs/>
                      <w:color w:val="000000"/>
                      <w:szCs w:val="21"/>
                    </w:rPr>
                  </w:pPr>
                  <w:r>
                    <w:rPr>
                      <w:rFonts w:ascii="Times New Roman" w:hAnsi="Times New Roman"/>
                      <w:bCs/>
                      <w:color w:val="000000"/>
                      <w:szCs w:val="21"/>
                    </w:rPr>
                    <w:t>50-55</w:t>
                  </w:r>
                </w:p>
              </w:tc>
              <w:tc>
                <w:tcPr>
                  <w:tcW w:w="402" w:type="dxa"/>
                  <w:tcBorders>
                    <w:top w:val="single" w:color="auto" w:sz="6" w:space="0"/>
                    <w:left w:val="single" w:color="auto" w:sz="6" w:space="0"/>
                    <w:bottom w:val="single" w:color="auto" w:sz="6" w:space="0"/>
                    <w:right w:val="single" w:color="auto" w:sz="12" w:space="0"/>
                  </w:tcBorders>
                  <w:vAlign w:val="center"/>
                </w:tcPr>
                <w:p w14:paraId="72967097">
                  <w:pPr>
                    <w:pStyle w:val="50"/>
                    <w:spacing w:beforeLines="0" w:line="240" w:lineRule="auto"/>
                    <w:rPr>
                      <w:rFonts w:ascii="Times New Roman" w:hAnsi="Times New Roman"/>
                      <w:bCs/>
                      <w:color w:val="000000"/>
                      <w:szCs w:val="21"/>
                    </w:rPr>
                  </w:pPr>
                  <w:r>
                    <w:rPr>
                      <w:rFonts w:ascii="Times New Roman" w:hAnsi="Times New Roman"/>
                      <w:bCs/>
                      <w:color w:val="000000"/>
                      <w:szCs w:val="21"/>
                    </w:rPr>
                    <w:t>1</w:t>
                  </w:r>
                </w:p>
              </w:tc>
            </w:tr>
            <w:tr w14:paraId="730B036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dxa"/>
                  <w:tcBorders>
                    <w:top w:val="single" w:color="auto" w:sz="6" w:space="0"/>
                    <w:left w:val="single" w:color="auto" w:sz="12" w:space="0"/>
                    <w:bottom w:val="single" w:color="auto" w:sz="6" w:space="0"/>
                    <w:right w:val="single" w:color="auto" w:sz="6" w:space="0"/>
                  </w:tcBorders>
                  <w:vAlign w:val="center"/>
                </w:tcPr>
                <w:p w14:paraId="43C7C0D3">
                  <w:pPr>
                    <w:widowControl/>
                    <w:adjustRightInd w:val="0"/>
                    <w:snapToGrid w:val="0"/>
                    <w:jc w:val="center"/>
                    <w:rPr>
                      <w:bCs/>
                      <w:color w:val="000000"/>
                      <w:szCs w:val="21"/>
                    </w:rPr>
                  </w:pPr>
                  <w:r>
                    <w:rPr>
                      <w:bCs/>
                      <w:color w:val="000000"/>
                      <w:szCs w:val="21"/>
                    </w:rPr>
                    <w:t>29</w:t>
                  </w:r>
                </w:p>
              </w:tc>
              <w:tc>
                <w:tcPr>
                  <w:tcW w:w="431" w:type="dxa"/>
                  <w:vMerge w:val="continue"/>
                  <w:tcBorders>
                    <w:left w:val="single" w:color="auto" w:sz="6" w:space="0"/>
                    <w:right w:val="single" w:color="auto" w:sz="6" w:space="0"/>
                  </w:tcBorders>
                  <w:vAlign w:val="center"/>
                </w:tcPr>
                <w:p w14:paraId="24B7865E">
                  <w:pPr>
                    <w:jc w:val="center"/>
                    <w:rPr>
                      <w:color w:val="000000"/>
                      <w:szCs w:val="21"/>
                    </w:rPr>
                  </w:pPr>
                </w:p>
              </w:tc>
              <w:tc>
                <w:tcPr>
                  <w:tcW w:w="707" w:type="dxa"/>
                  <w:tcBorders>
                    <w:top w:val="single" w:color="auto" w:sz="6" w:space="0"/>
                    <w:left w:val="single" w:color="auto" w:sz="6" w:space="0"/>
                    <w:bottom w:val="single" w:color="auto" w:sz="6" w:space="0"/>
                    <w:right w:val="single" w:color="auto" w:sz="6" w:space="0"/>
                  </w:tcBorders>
                  <w:vAlign w:val="center"/>
                </w:tcPr>
                <w:p w14:paraId="69A90C93">
                  <w:pPr>
                    <w:jc w:val="center"/>
                    <w:rPr>
                      <w:color w:val="000000"/>
                      <w:szCs w:val="21"/>
                    </w:rPr>
                  </w:pPr>
                  <w:r>
                    <w:rPr>
                      <w:color w:val="000000"/>
                      <w:szCs w:val="21"/>
                    </w:rPr>
                    <w:t>杀菌前过水机</w:t>
                  </w:r>
                </w:p>
              </w:tc>
              <w:tc>
                <w:tcPr>
                  <w:tcW w:w="480" w:type="dxa"/>
                  <w:tcBorders>
                    <w:top w:val="single" w:color="auto" w:sz="6" w:space="0"/>
                    <w:left w:val="single" w:color="auto" w:sz="6" w:space="0"/>
                    <w:bottom w:val="single" w:color="auto" w:sz="6" w:space="0"/>
                    <w:right w:val="single" w:color="auto" w:sz="6" w:space="0"/>
                  </w:tcBorders>
                  <w:vAlign w:val="center"/>
                </w:tcPr>
                <w:p w14:paraId="1486F689">
                  <w:pPr>
                    <w:jc w:val="center"/>
                    <w:rPr>
                      <w:color w:val="000000"/>
                      <w:szCs w:val="21"/>
                    </w:rPr>
                  </w:pPr>
                  <w:r>
                    <w:rPr>
                      <w:color w:val="000000"/>
                      <w:szCs w:val="21"/>
                    </w:rPr>
                    <w:t>1</w:t>
                  </w:r>
                </w:p>
              </w:tc>
              <w:tc>
                <w:tcPr>
                  <w:tcW w:w="760" w:type="dxa"/>
                  <w:tcBorders>
                    <w:top w:val="single" w:color="auto" w:sz="6" w:space="0"/>
                    <w:left w:val="single" w:color="auto" w:sz="6" w:space="0"/>
                    <w:bottom w:val="single" w:color="auto" w:sz="6" w:space="0"/>
                    <w:right w:val="single" w:color="auto" w:sz="6" w:space="0"/>
                  </w:tcBorders>
                  <w:vAlign w:val="center"/>
                </w:tcPr>
                <w:p w14:paraId="45686851">
                  <w:pPr>
                    <w:adjustRightInd w:val="0"/>
                    <w:snapToGrid w:val="0"/>
                    <w:jc w:val="center"/>
                    <w:rPr>
                      <w:color w:val="000000"/>
                      <w:szCs w:val="21"/>
                    </w:rPr>
                  </w:pPr>
                  <w:r>
                    <w:rPr>
                      <w:color w:val="000000"/>
                      <w:szCs w:val="21"/>
                    </w:rPr>
                    <w:t>65-75</w:t>
                  </w:r>
                </w:p>
              </w:tc>
              <w:tc>
                <w:tcPr>
                  <w:tcW w:w="520" w:type="dxa"/>
                  <w:vMerge w:val="continue"/>
                  <w:tcBorders>
                    <w:left w:val="single" w:color="auto" w:sz="6" w:space="0"/>
                    <w:right w:val="single" w:color="auto" w:sz="6" w:space="0"/>
                  </w:tcBorders>
                  <w:vAlign w:val="center"/>
                </w:tcPr>
                <w:p w14:paraId="588E454B">
                  <w:pPr>
                    <w:widowControl/>
                    <w:adjustRightInd w:val="0"/>
                    <w:snapToGrid w:val="0"/>
                    <w:jc w:val="center"/>
                    <w:rPr>
                      <w:color w:val="000000"/>
                      <w:szCs w:val="21"/>
                    </w:rPr>
                  </w:pPr>
                </w:p>
              </w:tc>
              <w:tc>
                <w:tcPr>
                  <w:tcW w:w="586" w:type="dxa"/>
                  <w:tcBorders>
                    <w:top w:val="single" w:color="auto" w:sz="6" w:space="0"/>
                    <w:left w:val="single" w:color="auto" w:sz="6" w:space="0"/>
                    <w:bottom w:val="single" w:color="auto" w:sz="6" w:space="0"/>
                    <w:right w:val="single" w:color="auto" w:sz="6" w:space="0"/>
                  </w:tcBorders>
                  <w:vAlign w:val="center"/>
                </w:tcPr>
                <w:p w14:paraId="26A97989">
                  <w:pPr>
                    <w:pStyle w:val="50"/>
                    <w:spacing w:beforeLines="0" w:line="240" w:lineRule="auto"/>
                    <w:rPr>
                      <w:rFonts w:ascii="Times New Roman" w:hAnsi="Times New Roman"/>
                      <w:bCs/>
                      <w:color w:val="000000"/>
                      <w:szCs w:val="21"/>
                    </w:rPr>
                  </w:pPr>
                  <w:r>
                    <w:rPr>
                      <w:rFonts w:ascii="Times New Roman" w:hAnsi="Times New Roman"/>
                      <w:bCs/>
                      <w:color w:val="000000"/>
                      <w:szCs w:val="21"/>
                    </w:rPr>
                    <w:t>109.51</w:t>
                  </w:r>
                </w:p>
              </w:tc>
              <w:tc>
                <w:tcPr>
                  <w:tcW w:w="534" w:type="dxa"/>
                  <w:tcBorders>
                    <w:top w:val="single" w:color="auto" w:sz="6" w:space="0"/>
                    <w:left w:val="single" w:color="auto" w:sz="6" w:space="0"/>
                    <w:bottom w:val="single" w:color="auto" w:sz="6" w:space="0"/>
                    <w:right w:val="single" w:color="auto" w:sz="6" w:space="0"/>
                  </w:tcBorders>
                  <w:vAlign w:val="center"/>
                </w:tcPr>
                <w:p w14:paraId="4E37F7CB">
                  <w:pPr>
                    <w:pStyle w:val="50"/>
                    <w:spacing w:beforeLines="0" w:line="240" w:lineRule="auto"/>
                    <w:rPr>
                      <w:rFonts w:ascii="Times New Roman" w:hAnsi="Times New Roman"/>
                      <w:bCs/>
                      <w:color w:val="000000"/>
                      <w:szCs w:val="21"/>
                    </w:rPr>
                  </w:pPr>
                  <w:r>
                    <w:rPr>
                      <w:rFonts w:ascii="Times New Roman" w:hAnsi="Times New Roman"/>
                      <w:bCs/>
                      <w:color w:val="000000"/>
                      <w:szCs w:val="21"/>
                    </w:rPr>
                    <w:t>-113.24</w:t>
                  </w:r>
                </w:p>
              </w:tc>
              <w:tc>
                <w:tcPr>
                  <w:tcW w:w="533" w:type="dxa"/>
                  <w:tcBorders>
                    <w:top w:val="single" w:color="auto" w:sz="6" w:space="0"/>
                    <w:left w:val="single" w:color="auto" w:sz="6" w:space="0"/>
                    <w:bottom w:val="single" w:color="auto" w:sz="6" w:space="0"/>
                    <w:right w:val="single" w:color="auto" w:sz="6" w:space="0"/>
                  </w:tcBorders>
                  <w:vAlign w:val="center"/>
                </w:tcPr>
                <w:p w14:paraId="20A8575D">
                  <w:pPr>
                    <w:jc w:val="center"/>
                    <w:rPr>
                      <w:szCs w:val="21"/>
                    </w:rPr>
                  </w:pPr>
                  <w:r>
                    <w:rPr>
                      <w:rFonts w:hint="eastAsia"/>
                      <w:bCs/>
                      <w:color w:val="000000"/>
                      <w:szCs w:val="21"/>
                    </w:rPr>
                    <w:t>4.5</w:t>
                  </w:r>
                </w:p>
              </w:tc>
              <w:tc>
                <w:tcPr>
                  <w:tcW w:w="517" w:type="dxa"/>
                  <w:tcBorders>
                    <w:top w:val="single" w:color="auto" w:sz="6" w:space="0"/>
                    <w:left w:val="single" w:color="auto" w:sz="6" w:space="0"/>
                    <w:bottom w:val="single" w:color="auto" w:sz="6" w:space="0"/>
                    <w:right w:val="single" w:color="auto" w:sz="6" w:space="0"/>
                  </w:tcBorders>
                  <w:vAlign w:val="center"/>
                </w:tcPr>
                <w:p w14:paraId="5B4AD012">
                  <w:pPr>
                    <w:pStyle w:val="50"/>
                    <w:spacing w:beforeLines="0" w:line="240" w:lineRule="auto"/>
                    <w:rPr>
                      <w:rFonts w:ascii="Times New Roman" w:hAnsi="Times New Roman"/>
                      <w:bCs/>
                      <w:color w:val="000000"/>
                      <w:szCs w:val="21"/>
                    </w:rPr>
                  </w:pPr>
                  <w:r>
                    <w:rPr>
                      <w:rFonts w:ascii="Times New Roman" w:hAnsi="Times New Roman"/>
                      <w:bCs/>
                      <w:color w:val="000000"/>
                      <w:szCs w:val="21"/>
                    </w:rPr>
                    <w:t>5</w:t>
                  </w:r>
                </w:p>
              </w:tc>
              <w:tc>
                <w:tcPr>
                  <w:tcW w:w="644" w:type="dxa"/>
                  <w:tcBorders>
                    <w:top w:val="single" w:color="auto" w:sz="6" w:space="0"/>
                    <w:left w:val="single" w:color="auto" w:sz="6" w:space="0"/>
                    <w:bottom w:val="single" w:color="auto" w:sz="6" w:space="0"/>
                    <w:right w:val="single" w:color="auto" w:sz="6" w:space="0"/>
                  </w:tcBorders>
                  <w:vAlign w:val="center"/>
                </w:tcPr>
                <w:p w14:paraId="4F9E44DF">
                  <w:pPr>
                    <w:pStyle w:val="50"/>
                    <w:spacing w:beforeLines="0" w:line="240" w:lineRule="auto"/>
                    <w:rPr>
                      <w:rFonts w:ascii="Times New Roman" w:hAnsi="Times New Roman"/>
                      <w:color w:val="000000"/>
                      <w:kern w:val="0"/>
                      <w:szCs w:val="21"/>
                    </w:rPr>
                  </w:pPr>
                  <w:r>
                    <w:rPr>
                      <w:rFonts w:ascii="Times New Roman" w:hAnsi="Times New Roman"/>
                      <w:color w:val="000000"/>
                      <w:kern w:val="0"/>
                      <w:szCs w:val="21"/>
                    </w:rPr>
                    <w:t>50-60</w:t>
                  </w:r>
                </w:p>
              </w:tc>
              <w:tc>
                <w:tcPr>
                  <w:tcW w:w="733" w:type="dxa"/>
                  <w:vMerge w:val="continue"/>
                  <w:tcBorders>
                    <w:left w:val="single" w:color="auto" w:sz="6" w:space="0"/>
                    <w:right w:val="single" w:color="auto" w:sz="6" w:space="0"/>
                  </w:tcBorders>
                  <w:vAlign w:val="center"/>
                </w:tcPr>
                <w:p w14:paraId="5E06D083">
                  <w:pPr>
                    <w:widowControl/>
                    <w:adjustRightInd w:val="0"/>
                    <w:snapToGrid w:val="0"/>
                    <w:jc w:val="center"/>
                    <w:rPr>
                      <w:bCs/>
                      <w:color w:val="000000"/>
                      <w:szCs w:val="21"/>
                    </w:rPr>
                  </w:pPr>
                </w:p>
              </w:tc>
              <w:tc>
                <w:tcPr>
                  <w:tcW w:w="644" w:type="dxa"/>
                  <w:tcBorders>
                    <w:top w:val="single" w:color="auto" w:sz="6" w:space="0"/>
                    <w:left w:val="single" w:color="auto" w:sz="6" w:space="0"/>
                    <w:bottom w:val="single" w:color="auto" w:sz="6" w:space="0"/>
                    <w:right w:val="single" w:color="auto" w:sz="6" w:space="0"/>
                  </w:tcBorders>
                  <w:vAlign w:val="center"/>
                </w:tcPr>
                <w:p w14:paraId="4ADC455E">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0074F9E6">
                  <w:pPr>
                    <w:pStyle w:val="50"/>
                    <w:spacing w:beforeLines="0" w:line="240" w:lineRule="auto"/>
                    <w:rPr>
                      <w:rFonts w:ascii="Times New Roman" w:hAnsi="Times New Roman"/>
                      <w:bCs/>
                      <w:color w:val="000000"/>
                      <w:szCs w:val="21"/>
                    </w:rPr>
                  </w:pPr>
                  <w:r>
                    <w:rPr>
                      <w:rFonts w:ascii="Times New Roman" w:hAnsi="Times New Roman"/>
                      <w:bCs/>
                      <w:color w:val="000000"/>
                      <w:szCs w:val="21"/>
                    </w:rPr>
                    <w:t>45-55</w:t>
                  </w:r>
                </w:p>
              </w:tc>
              <w:tc>
                <w:tcPr>
                  <w:tcW w:w="402" w:type="dxa"/>
                  <w:tcBorders>
                    <w:top w:val="single" w:color="auto" w:sz="6" w:space="0"/>
                    <w:left w:val="single" w:color="auto" w:sz="6" w:space="0"/>
                    <w:bottom w:val="single" w:color="auto" w:sz="6" w:space="0"/>
                    <w:right w:val="single" w:color="auto" w:sz="12" w:space="0"/>
                  </w:tcBorders>
                  <w:vAlign w:val="center"/>
                </w:tcPr>
                <w:p w14:paraId="40A70FAF">
                  <w:pPr>
                    <w:pStyle w:val="50"/>
                    <w:spacing w:beforeLines="0" w:line="240" w:lineRule="auto"/>
                    <w:rPr>
                      <w:rFonts w:ascii="Times New Roman" w:hAnsi="Times New Roman"/>
                      <w:bCs/>
                      <w:color w:val="000000"/>
                      <w:szCs w:val="21"/>
                    </w:rPr>
                  </w:pPr>
                  <w:r>
                    <w:rPr>
                      <w:rFonts w:ascii="Times New Roman" w:hAnsi="Times New Roman"/>
                      <w:bCs/>
                      <w:color w:val="000000"/>
                      <w:szCs w:val="21"/>
                    </w:rPr>
                    <w:t>1</w:t>
                  </w:r>
                </w:p>
              </w:tc>
            </w:tr>
            <w:tr w14:paraId="54EB1B5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dxa"/>
                  <w:tcBorders>
                    <w:top w:val="single" w:color="auto" w:sz="6" w:space="0"/>
                    <w:left w:val="single" w:color="auto" w:sz="12" w:space="0"/>
                    <w:bottom w:val="single" w:color="auto" w:sz="6" w:space="0"/>
                    <w:right w:val="single" w:color="auto" w:sz="6" w:space="0"/>
                  </w:tcBorders>
                  <w:vAlign w:val="center"/>
                </w:tcPr>
                <w:p w14:paraId="0AD1708B">
                  <w:pPr>
                    <w:widowControl/>
                    <w:adjustRightInd w:val="0"/>
                    <w:snapToGrid w:val="0"/>
                    <w:jc w:val="center"/>
                    <w:rPr>
                      <w:bCs/>
                      <w:color w:val="000000"/>
                      <w:szCs w:val="21"/>
                    </w:rPr>
                  </w:pPr>
                  <w:r>
                    <w:rPr>
                      <w:bCs/>
                      <w:color w:val="000000"/>
                      <w:szCs w:val="21"/>
                    </w:rPr>
                    <w:t>30</w:t>
                  </w:r>
                </w:p>
              </w:tc>
              <w:tc>
                <w:tcPr>
                  <w:tcW w:w="431" w:type="dxa"/>
                  <w:vMerge w:val="continue"/>
                  <w:tcBorders>
                    <w:left w:val="single" w:color="auto" w:sz="6" w:space="0"/>
                    <w:right w:val="single" w:color="auto" w:sz="6" w:space="0"/>
                  </w:tcBorders>
                  <w:vAlign w:val="center"/>
                </w:tcPr>
                <w:p w14:paraId="05BF1172">
                  <w:pPr>
                    <w:jc w:val="center"/>
                    <w:rPr>
                      <w:color w:val="000000"/>
                      <w:szCs w:val="21"/>
                    </w:rPr>
                  </w:pPr>
                </w:p>
              </w:tc>
              <w:tc>
                <w:tcPr>
                  <w:tcW w:w="707" w:type="dxa"/>
                  <w:tcBorders>
                    <w:top w:val="single" w:color="auto" w:sz="6" w:space="0"/>
                    <w:left w:val="single" w:color="auto" w:sz="6" w:space="0"/>
                    <w:bottom w:val="single" w:color="auto" w:sz="6" w:space="0"/>
                    <w:right w:val="single" w:color="auto" w:sz="6" w:space="0"/>
                  </w:tcBorders>
                  <w:vAlign w:val="center"/>
                </w:tcPr>
                <w:p w14:paraId="66F81A8D">
                  <w:pPr>
                    <w:jc w:val="center"/>
                    <w:rPr>
                      <w:color w:val="000000"/>
                      <w:szCs w:val="21"/>
                    </w:rPr>
                  </w:pPr>
                  <w:r>
                    <w:rPr>
                      <w:color w:val="000000"/>
                      <w:szCs w:val="21"/>
                    </w:rPr>
                    <w:t>杀菌釜</w:t>
                  </w:r>
                </w:p>
              </w:tc>
              <w:tc>
                <w:tcPr>
                  <w:tcW w:w="480" w:type="dxa"/>
                  <w:tcBorders>
                    <w:top w:val="single" w:color="auto" w:sz="6" w:space="0"/>
                    <w:left w:val="single" w:color="auto" w:sz="6" w:space="0"/>
                    <w:bottom w:val="single" w:color="auto" w:sz="6" w:space="0"/>
                    <w:right w:val="single" w:color="auto" w:sz="6" w:space="0"/>
                  </w:tcBorders>
                  <w:vAlign w:val="center"/>
                </w:tcPr>
                <w:p w14:paraId="7D64FDB2">
                  <w:pPr>
                    <w:jc w:val="center"/>
                    <w:rPr>
                      <w:color w:val="000000"/>
                      <w:szCs w:val="21"/>
                    </w:rPr>
                  </w:pPr>
                  <w:r>
                    <w:rPr>
                      <w:color w:val="000000"/>
                      <w:szCs w:val="21"/>
                    </w:rPr>
                    <w:t>1</w:t>
                  </w:r>
                </w:p>
              </w:tc>
              <w:tc>
                <w:tcPr>
                  <w:tcW w:w="760" w:type="dxa"/>
                  <w:tcBorders>
                    <w:top w:val="single" w:color="auto" w:sz="6" w:space="0"/>
                    <w:left w:val="single" w:color="auto" w:sz="6" w:space="0"/>
                    <w:bottom w:val="single" w:color="auto" w:sz="6" w:space="0"/>
                    <w:right w:val="single" w:color="auto" w:sz="6" w:space="0"/>
                  </w:tcBorders>
                  <w:vAlign w:val="center"/>
                </w:tcPr>
                <w:p w14:paraId="76F4916A">
                  <w:pPr>
                    <w:adjustRightInd w:val="0"/>
                    <w:snapToGrid w:val="0"/>
                    <w:jc w:val="center"/>
                    <w:rPr>
                      <w:color w:val="000000"/>
                      <w:szCs w:val="21"/>
                    </w:rPr>
                  </w:pPr>
                  <w:r>
                    <w:rPr>
                      <w:color w:val="000000"/>
                      <w:szCs w:val="21"/>
                    </w:rPr>
                    <w:t>65-75</w:t>
                  </w:r>
                </w:p>
              </w:tc>
              <w:tc>
                <w:tcPr>
                  <w:tcW w:w="520" w:type="dxa"/>
                  <w:vMerge w:val="continue"/>
                  <w:tcBorders>
                    <w:left w:val="single" w:color="auto" w:sz="6" w:space="0"/>
                    <w:right w:val="single" w:color="auto" w:sz="6" w:space="0"/>
                  </w:tcBorders>
                  <w:vAlign w:val="center"/>
                </w:tcPr>
                <w:p w14:paraId="217E456E">
                  <w:pPr>
                    <w:widowControl/>
                    <w:adjustRightInd w:val="0"/>
                    <w:snapToGrid w:val="0"/>
                    <w:jc w:val="center"/>
                    <w:rPr>
                      <w:color w:val="000000"/>
                      <w:szCs w:val="21"/>
                    </w:rPr>
                  </w:pPr>
                </w:p>
              </w:tc>
              <w:tc>
                <w:tcPr>
                  <w:tcW w:w="586" w:type="dxa"/>
                  <w:tcBorders>
                    <w:top w:val="single" w:color="auto" w:sz="6" w:space="0"/>
                    <w:left w:val="single" w:color="auto" w:sz="6" w:space="0"/>
                    <w:bottom w:val="single" w:color="auto" w:sz="6" w:space="0"/>
                    <w:right w:val="single" w:color="auto" w:sz="6" w:space="0"/>
                  </w:tcBorders>
                  <w:vAlign w:val="center"/>
                </w:tcPr>
                <w:p w14:paraId="6E3CCD5B">
                  <w:pPr>
                    <w:pStyle w:val="50"/>
                    <w:spacing w:beforeLines="0" w:line="240" w:lineRule="auto"/>
                    <w:rPr>
                      <w:rFonts w:ascii="Times New Roman" w:hAnsi="Times New Roman"/>
                      <w:bCs/>
                      <w:color w:val="000000"/>
                      <w:szCs w:val="21"/>
                    </w:rPr>
                  </w:pPr>
                  <w:r>
                    <w:rPr>
                      <w:rFonts w:ascii="Times New Roman" w:hAnsi="Times New Roman"/>
                      <w:bCs/>
                      <w:color w:val="000000"/>
                      <w:szCs w:val="21"/>
                    </w:rPr>
                    <w:t>134.21</w:t>
                  </w:r>
                </w:p>
              </w:tc>
              <w:tc>
                <w:tcPr>
                  <w:tcW w:w="534" w:type="dxa"/>
                  <w:tcBorders>
                    <w:top w:val="single" w:color="auto" w:sz="6" w:space="0"/>
                    <w:left w:val="single" w:color="auto" w:sz="6" w:space="0"/>
                    <w:bottom w:val="single" w:color="auto" w:sz="6" w:space="0"/>
                    <w:right w:val="single" w:color="auto" w:sz="6" w:space="0"/>
                  </w:tcBorders>
                  <w:vAlign w:val="center"/>
                </w:tcPr>
                <w:p w14:paraId="15DC3F4E">
                  <w:pPr>
                    <w:pStyle w:val="50"/>
                    <w:spacing w:beforeLines="0" w:line="240" w:lineRule="auto"/>
                    <w:rPr>
                      <w:rFonts w:ascii="Times New Roman" w:hAnsi="Times New Roman"/>
                      <w:bCs/>
                      <w:color w:val="000000"/>
                      <w:szCs w:val="21"/>
                    </w:rPr>
                  </w:pPr>
                  <w:r>
                    <w:rPr>
                      <w:rFonts w:ascii="Times New Roman" w:hAnsi="Times New Roman"/>
                      <w:bCs/>
                      <w:color w:val="000000"/>
                      <w:szCs w:val="21"/>
                    </w:rPr>
                    <w:t>-100.99</w:t>
                  </w:r>
                </w:p>
              </w:tc>
              <w:tc>
                <w:tcPr>
                  <w:tcW w:w="533" w:type="dxa"/>
                  <w:tcBorders>
                    <w:top w:val="single" w:color="auto" w:sz="6" w:space="0"/>
                    <w:left w:val="single" w:color="auto" w:sz="6" w:space="0"/>
                    <w:bottom w:val="single" w:color="auto" w:sz="6" w:space="0"/>
                    <w:right w:val="single" w:color="auto" w:sz="6" w:space="0"/>
                  </w:tcBorders>
                  <w:vAlign w:val="center"/>
                </w:tcPr>
                <w:p w14:paraId="65B41ADF">
                  <w:pPr>
                    <w:jc w:val="center"/>
                    <w:rPr>
                      <w:szCs w:val="21"/>
                    </w:rPr>
                  </w:pPr>
                  <w:r>
                    <w:rPr>
                      <w:rFonts w:hint="eastAsia"/>
                      <w:bCs/>
                      <w:color w:val="000000"/>
                      <w:szCs w:val="21"/>
                    </w:rPr>
                    <w:t>4.5</w:t>
                  </w:r>
                </w:p>
              </w:tc>
              <w:tc>
                <w:tcPr>
                  <w:tcW w:w="517" w:type="dxa"/>
                  <w:tcBorders>
                    <w:top w:val="single" w:color="auto" w:sz="6" w:space="0"/>
                    <w:left w:val="single" w:color="auto" w:sz="6" w:space="0"/>
                    <w:bottom w:val="single" w:color="auto" w:sz="6" w:space="0"/>
                    <w:right w:val="single" w:color="auto" w:sz="6" w:space="0"/>
                  </w:tcBorders>
                  <w:vAlign w:val="center"/>
                </w:tcPr>
                <w:p w14:paraId="6ACD1593">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2DF943B0">
                  <w:pPr>
                    <w:pStyle w:val="50"/>
                    <w:spacing w:beforeLines="0" w:line="240" w:lineRule="auto"/>
                    <w:rPr>
                      <w:rFonts w:ascii="Times New Roman" w:hAnsi="Times New Roman"/>
                      <w:color w:val="000000"/>
                      <w:kern w:val="0"/>
                      <w:szCs w:val="21"/>
                    </w:rPr>
                  </w:pPr>
                  <w:r>
                    <w:rPr>
                      <w:rFonts w:ascii="Times New Roman" w:hAnsi="Times New Roman"/>
                      <w:color w:val="000000"/>
                      <w:kern w:val="0"/>
                      <w:szCs w:val="21"/>
                    </w:rPr>
                    <w:t>50-60</w:t>
                  </w:r>
                </w:p>
              </w:tc>
              <w:tc>
                <w:tcPr>
                  <w:tcW w:w="733" w:type="dxa"/>
                  <w:vMerge w:val="continue"/>
                  <w:tcBorders>
                    <w:left w:val="single" w:color="auto" w:sz="6" w:space="0"/>
                    <w:right w:val="single" w:color="auto" w:sz="6" w:space="0"/>
                  </w:tcBorders>
                  <w:vAlign w:val="center"/>
                </w:tcPr>
                <w:p w14:paraId="0A6C4562">
                  <w:pPr>
                    <w:widowControl/>
                    <w:adjustRightInd w:val="0"/>
                    <w:snapToGrid w:val="0"/>
                    <w:jc w:val="center"/>
                    <w:rPr>
                      <w:bCs/>
                      <w:color w:val="000000"/>
                      <w:szCs w:val="21"/>
                    </w:rPr>
                  </w:pPr>
                </w:p>
              </w:tc>
              <w:tc>
                <w:tcPr>
                  <w:tcW w:w="644" w:type="dxa"/>
                  <w:tcBorders>
                    <w:top w:val="single" w:color="auto" w:sz="6" w:space="0"/>
                    <w:left w:val="single" w:color="auto" w:sz="6" w:space="0"/>
                    <w:bottom w:val="single" w:color="auto" w:sz="6" w:space="0"/>
                    <w:right w:val="single" w:color="auto" w:sz="6" w:space="0"/>
                  </w:tcBorders>
                  <w:vAlign w:val="center"/>
                </w:tcPr>
                <w:p w14:paraId="6E7B79A9">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624E7D8A">
                  <w:pPr>
                    <w:pStyle w:val="50"/>
                    <w:spacing w:beforeLines="0" w:line="240" w:lineRule="auto"/>
                    <w:rPr>
                      <w:rFonts w:ascii="Times New Roman" w:hAnsi="Times New Roman"/>
                      <w:bCs/>
                      <w:color w:val="000000"/>
                      <w:szCs w:val="21"/>
                    </w:rPr>
                  </w:pPr>
                  <w:r>
                    <w:rPr>
                      <w:rFonts w:ascii="Times New Roman" w:hAnsi="Times New Roman"/>
                      <w:bCs/>
                      <w:color w:val="000000"/>
                      <w:szCs w:val="21"/>
                    </w:rPr>
                    <w:t>45-55</w:t>
                  </w:r>
                </w:p>
              </w:tc>
              <w:tc>
                <w:tcPr>
                  <w:tcW w:w="402" w:type="dxa"/>
                  <w:tcBorders>
                    <w:top w:val="single" w:color="auto" w:sz="6" w:space="0"/>
                    <w:left w:val="single" w:color="auto" w:sz="6" w:space="0"/>
                    <w:bottom w:val="single" w:color="auto" w:sz="6" w:space="0"/>
                    <w:right w:val="single" w:color="auto" w:sz="12" w:space="0"/>
                  </w:tcBorders>
                  <w:vAlign w:val="center"/>
                </w:tcPr>
                <w:p w14:paraId="652826B5">
                  <w:pPr>
                    <w:pStyle w:val="50"/>
                    <w:spacing w:beforeLines="0" w:line="240" w:lineRule="auto"/>
                    <w:rPr>
                      <w:rFonts w:ascii="Times New Roman" w:hAnsi="Times New Roman"/>
                      <w:bCs/>
                      <w:color w:val="000000"/>
                      <w:szCs w:val="21"/>
                    </w:rPr>
                  </w:pPr>
                  <w:r>
                    <w:rPr>
                      <w:rFonts w:ascii="Times New Roman" w:hAnsi="Times New Roman"/>
                      <w:bCs/>
                      <w:color w:val="000000"/>
                      <w:szCs w:val="21"/>
                    </w:rPr>
                    <w:t>1</w:t>
                  </w:r>
                </w:p>
              </w:tc>
            </w:tr>
            <w:tr w14:paraId="2FF313D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dxa"/>
                  <w:tcBorders>
                    <w:top w:val="single" w:color="auto" w:sz="6" w:space="0"/>
                    <w:left w:val="single" w:color="auto" w:sz="12" w:space="0"/>
                    <w:bottom w:val="single" w:color="auto" w:sz="6" w:space="0"/>
                    <w:right w:val="single" w:color="auto" w:sz="6" w:space="0"/>
                  </w:tcBorders>
                  <w:vAlign w:val="center"/>
                </w:tcPr>
                <w:p w14:paraId="7C433A63">
                  <w:pPr>
                    <w:widowControl/>
                    <w:adjustRightInd w:val="0"/>
                    <w:snapToGrid w:val="0"/>
                    <w:jc w:val="center"/>
                    <w:rPr>
                      <w:bCs/>
                      <w:color w:val="000000"/>
                      <w:szCs w:val="21"/>
                    </w:rPr>
                  </w:pPr>
                  <w:r>
                    <w:rPr>
                      <w:bCs/>
                      <w:color w:val="000000"/>
                      <w:szCs w:val="21"/>
                    </w:rPr>
                    <w:t>31</w:t>
                  </w:r>
                </w:p>
              </w:tc>
              <w:tc>
                <w:tcPr>
                  <w:tcW w:w="431" w:type="dxa"/>
                  <w:vMerge w:val="continue"/>
                  <w:tcBorders>
                    <w:left w:val="single" w:color="auto" w:sz="6" w:space="0"/>
                    <w:right w:val="single" w:color="auto" w:sz="6" w:space="0"/>
                  </w:tcBorders>
                  <w:vAlign w:val="center"/>
                </w:tcPr>
                <w:p w14:paraId="65C83BD9">
                  <w:pPr>
                    <w:jc w:val="center"/>
                    <w:rPr>
                      <w:color w:val="000000"/>
                      <w:szCs w:val="21"/>
                    </w:rPr>
                  </w:pPr>
                </w:p>
              </w:tc>
              <w:tc>
                <w:tcPr>
                  <w:tcW w:w="707" w:type="dxa"/>
                  <w:tcBorders>
                    <w:top w:val="single" w:color="auto" w:sz="6" w:space="0"/>
                    <w:left w:val="single" w:color="auto" w:sz="6" w:space="0"/>
                    <w:bottom w:val="single" w:color="auto" w:sz="6" w:space="0"/>
                    <w:right w:val="single" w:color="auto" w:sz="6" w:space="0"/>
                  </w:tcBorders>
                  <w:vAlign w:val="center"/>
                </w:tcPr>
                <w:p w14:paraId="0043E190">
                  <w:pPr>
                    <w:jc w:val="center"/>
                    <w:rPr>
                      <w:color w:val="000000"/>
                      <w:szCs w:val="21"/>
                    </w:rPr>
                  </w:pPr>
                  <w:r>
                    <w:rPr>
                      <w:color w:val="000000"/>
                      <w:szCs w:val="21"/>
                    </w:rPr>
                    <w:t>提升机</w:t>
                  </w:r>
                </w:p>
              </w:tc>
              <w:tc>
                <w:tcPr>
                  <w:tcW w:w="480" w:type="dxa"/>
                  <w:tcBorders>
                    <w:top w:val="single" w:color="auto" w:sz="6" w:space="0"/>
                    <w:left w:val="single" w:color="auto" w:sz="6" w:space="0"/>
                    <w:bottom w:val="single" w:color="auto" w:sz="6" w:space="0"/>
                    <w:right w:val="single" w:color="auto" w:sz="6" w:space="0"/>
                  </w:tcBorders>
                  <w:vAlign w:val="center"/>
                </w:tcPr>
                <w:p w14:paraId="4B91295B">
                  <w:pPr>
                    <w:jc w:val="center"/>
                    <w:rPr>
                      <w:color w:val="000000"/>
                      <w:szCs w:val="21"/>
                    </w:rPr>
                  </w:pPr>
                  <w:r>
                    <w:rPr>
                      <w:color w:val="000000"/>
                      <w:szCs w:val="21"/>
                    </w:rPr>
                    <w:t>1</w:t>
                  </w:r>
                </w:p>
              </w:tc>
              <w:tc>
                <w:tcPr>
                  <w:tcW w:w="760" w:type="dxa"/>
                  <w:tcBorders>
                    <w:top w:val="single" w:color="auto" w:sz="6" w:space="0"/>
                    <w:left w:val="single" w:color="auto" w:sz="6" w:space="0"/>
                    <w:bottom w:val="single" w:color="auto" w:sz="6" w:space="0"/>
                    <w:right w:val="single" w:color="auto" w:sz="6" w:space="0"/>
                  </w:tcBorders>
                  <w:vAlign w:val="center"/>
                </w:tcPr>
                <w:p w14:paraId="4774F62B">
                  <w:pPr>
                    <w:adjustRightInd w:val="0"/>
                    <w:snapToGrid w:val="0"/>
                    <w:jc w:val="center"/>
                    <w:rPr>
                      <w:color w:val="000000"/>
                      <w:szCs w:val="21"/>
                    </w:rPr>
                  </w:pPr>
                  <w:r>
                    <w:rPr>
                      <w:color w:val="000000"/>
                      <w:szCs w:val="21"/>
                    </w:rPr>
                    <w:t>70-80</w:t>
                  </w:r>
                </w:p>
              </w:tc>
              <w:tc>
                <w:tcPr>
                  <w:tcW w:w="520" w:type="dxa"/>
                  <w:vMerge w:val="continue"/>
                  <w:tcBorders>
                    <w:left w:val="single" w:color="auto" w:sz="6" w:space="0"/>
                    <w:right w:val="single" w:color="auto" w:sz="6" w:space="0"/>
                  </w:tcBorders>
                  <w:vAlign w:val="center"/>
                </w:tcPr>
                <w:p w14:paraId="01EB2F2A">
                  <w:pPr>
                    <w:widowControl/>
                    <w:adjustRightInd w:val="0"/>
                    <w:snapToGrid w:val="0"/>
                    <w:jc w:val="center"/>
                    <w:rPr>
                      <w:color w:val="000000"/>
                      <w:szCs w:val="21"/>
                    </w:rPr>
                  </w:pPr>
                </w:p>
              </w:tc>
              <w:tc>
                <w:tcPr>
                  <w:tcW w:w="586" w:type="dxa"/>
                  <w:tcBorders>
                    <w:top w:val="single" w:color="auto" w:sz="6" w:space="0"/>
                    <w:left w:val="single" w:color="auto" w:sz="6" w:space="0"/>
                    <w:bottom w:val="single" w:color="auto" w:sz="6" w:space="0"/>
                    <w:right w:val="single" w:color="auto" w:sz="6" w:space="0"/>
                  </w:tcBorders>
                  <w:vAlign w:val="center"/>
                </w:tcPr>
                <w:p w14:paraId="0BDF10C3">
                  <w:pPr>
                    <w:pStyle w:val="50"/>
                    <w:spacing w:beforeLines="0" w:line="240" w:lineRule="auto"/>
                    <w:rPr>
                      <w:rFonts w:ascii="Times New Roman" w:hAnsi="Times New Roman"/>
                      <w:bCs/>
                      <w:color w:val="000000"/>
                      <w:szCs w:val="21"/>
                    </w:rPr>
                  </w:pPr>
                  <w:r>
                    <w:rPr>
                      <w:rFonts w:ascii="Times New Roman" w:hAnsi="Times New Roman"/>
                      <w:bCs/>
                      <w:color w:val="000000"/>
                      <w:szCs w:val="21"/>
                    </w:rPr>
                    <w:t>168.68</w:t>
                  </w:r>
                </w:p>
              </w:tc>
              <w:tc>
                <w:tcPr>
                  <w:tcW w:w="534" w:type="dxa"/>
                  <w:tcBorders>
                    <w:top w:val="single" w:color="auto" w:sz="6" w:space="0"/>
                    <w:left w:val="single" w:color="auto" w:sz="6" w:space="0"/>
                    <w:bottom w:val="single" w:color="auto" w:sz="6" w:space="0"/>
                    <w:right w:val="single" w:color="auto" w:sz="6" w:space="0"/>
                  </w:tcBorders>
                  <w:vAlign w:val="center"/>
                </w:tcPr>
                <w:p w14:paraId="6F1D0748">
                  <w:pPr>
                    <w:pStyle w:val="50"/>
                    <w:spacing w:beforeLines="0" w:line="240" w:lineRule="auto"/>
                    <w:rPr>
                      <w:rFonts w:ascii="Times New Roman" w:hAnsi="Times New Roman"/>
                      <w:bCs/>
                      <w:color w:val="000000"/>
                      <w:szCs w:val="21"/>
                    </w:rPr>
                  </w:pPr>
                  <w:r>
                    <w:rPr>
                      <w:rFonts w:ascii="Times New Roman" w:hAnsi="Times New Roman"/>
                      <w:bCs/>
                      <w:color w:val="000000"/>
                      <w:szCs w:val="21"/>
                    </w:rPr>
                    <w:t>-132.81</w:t>
                  </w:r>
                </w:p>
              </w:tc>
              <w:tc>
                <w:tcPr>
                  <w:tcW w:w="533" w:type="dxa"/>
                  <w:tcBorders>
                    <w:top w:val="single" w:color="auto" w:sz="6" w:space="0"/>
                    <w:left w:val="single" w:color="auto" w:sz="6" w:space="0"/>
                    <w:bottom w:val="single" w:color="auto" w:sz="6" w:space="0"/>
                    <w:right w:val="single" w:color="auto" w:sz="6" w:space="0"/>
                  </w:tcBorders>
                  <w:vAlign w:val="center"/>
                </w:tcPr>
                <w:p w14:paraId="478CC120">
                  <w:pPr>
                    <w:jc w:val="center"/>
                    <w:rPr>
                      <w:szCs w:val="21"/>
                    </w:rPr>
                  </w:pPr>
                  <w:r>
                    <w:rPr>
                      <w:rFonts w:hint="eastAsia"/>
                      <w:bCs/>
                      <w:color w:val="000000"/>
                      <w:szCs w:val="21"/>
                    </w:rPr>
                    <w:t>4.5</w:t>
                  </w:r>
                </w:p>
              </w:tc>
              <w:tc>
                <w:tcPr>
                  <w:tcW w:w="517" w:type="dxa"/>
                  <w:tcBorders>
                    <w:top w:val="single" w:color="auto" w:sz="6" w:space="0"/>
                    <w:left w:val="single" w:color="auto" w:sz="6" w:space="0"/>
                    <w:bottom w:val="single" w:color="auto" w:sz="6" w:space="0"/>
                    <w:right w:val="single" w:color="auto" w:sz="6" w:space="0"/>
                  </w:tcBorders>
                  <w:vAlign w:val="center"/>
                </w:tcPr>
                <w:p w14:paraId="1F87A136">
                  <w:pPr>
                    <w:pStyle w:val="50"/>
                    <w:spacing w:beforeLines="0" w:line="240" w:lineRule="auto"/>
                    <w:rPr>
                      <w:rFonts w:ascii="Times New Roman" w:hAnsi="Times New Roman"/>
                      <w:bCs/>
                      <w:color w:val="000000"/>
                      <w:szCs w:val="21"/>
                    </w:rPr>
                  </w:pPr>
                  <w:r>
                    <w:rPr>
                      <w:rFonts w:ascii="Times New Roman" w:hAnsi="Times New Roman"/>
                      <w:bCs/>
                      <w:color w:val="000000"/>
                      <w:szCs w:val="21"/>
                    </w:rPr>
                    <w:t>5</w:t>
                  </w:r>
                </w:p>
              </w:tc>
              <w:tc>
                <w:tcPr>
                  <w:tcW w:w="644" w:type="dxa"/>
                  <w:tcBorders>
                    <w:top w:val="single" w:color="auto" w:sz="6" w:space="0"/>
                    <w:left w:val="single" w:color="auto" w:sz="6" w:space="0"/>
                    <w:bottom w:val="single" w:color="auto" w:sz="6" w:space="0"/>
                    <w:right w:val="single" w:color="auto" w:sz="6" w:space="0"/>
                  </w:tcBorders>
                  <w:vAlign w:val="center"/>
                </w:tcPr>
                <w:p w14:paraId="236146BD">
                  <w:pPr>
                    <w:jc w:val="center"/>
                    <w:rPr>
                      <w:color w:val="000000"/>
                      <w:kern w:val="0"/>
                      <w:szCs w:val="21"/>
                    </w:rPr>
                  </w:pPr>
                  <w:r>
                    <w:rPr>
                      <w:color w:val="000000"/>
                      <w:kern w:val="0"/>
                      <w:szCs w:val="21"/>
                    </w:rPr>
                    <w:t>60-65</w:t>
                  </w:r>
                </w:p>
              </w:tc>
              <w:tc>
                <w:tcPr>
                  <w:tcW w:w="733" w:type="dxa"/>
                  <w:vMerge w:val="continue"/>
                  <w:tcBorders>
                    <w:left w:val="single" w:color="auto" w:sz="6" w:space="0"/>
                    <w:right w:val="single" w:color="auto" w:sz="6" w:space="0"/>
                  </w:tcBorders>
                  <w:vAlign w:val="center"/>
                </w:tcPr>
                <w:p w14:paraId="7CEC97A4">
                  <w:pPr>
                    <w:widowControl/>
                    <w:adjustRightInd w:val="0"/>
                    <w:snapToGrid w:val="0"/>
                    <w:jc w:val="center"/>
                    <w:rPr>
                      <w:bCs/>
                      <w:color w:val="000000"/>
                      <w:szCs w:val="21"/>
                    </w:rPr>
                  </w:pPr>
                </w:p>
              </w:tc>
              <w:tc>
                <w:tcPr>
                  <w:tcW w:w="644" w:type="dxa"/>
                  <w:tcBorders>
                    <w:top w:val="single" w:color="auto" w:sz="6" w:space="0"/>
                    <w:left w:val="single" w:color="auto" w:sz="6" w:space="0"/>
                    <w:bottom w:val="single" w:color="auto" w:sz="6" w:space="0"/>
                    <w:right w:val="single" w:color="auto" w:sz="6" w:space="0"/>
                  </w:tcBorders>
                  <w:vAlign w:val="center"/>
                </w:tcPr>
                <w:p w14:paraId="7859A9DF">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22A9156A">
                  <w:pPr>
                    <w:jc w:val="center"/>
                    <w:rPr>
                      <w:bCs/>
                      <w:color w:val="000000"/>
                      <w:szCs w:val="21"/>
                    </w:rPr>
                  </w:pPr>
                  <w:r>
                    <w:rPr>
                      <w:bCs/>
                      <w:color w:val="000000"/>
                      <w:szCs w:val="21"/>
                    </w:rPr>
                    <w:t>50-55</w:t>
                  </w:r>
                </w:p>
              </w:tc>
              <w:tc>
                <w:tcPr>
                  <w:tcW w:w="402" w:type="dxa"/>
                  <w:tcBorders>
                    <w:top w:val="single" w:color="auto" w:sz="6" w:space="0"/>
                    <w:left w:val="single" w:color="auto" w:sz="6" w:space="0"/>
                    <w:bottom w:val="single" w:color="auto" w:sz="6" w:space="0"/>
                    <w:right w:val="single" w:color="auto" w:sz="12" w:space="0"/>
                  </w:tcBorders>
                  <w:vAlign w:val="center"/>
                </w:tcPr>
                <w:p w14:paraId="6964A056">
                  <w:pPr>
                    <w:pStyle w:val="50"/>
                    <w:spacing w:beforeLines="0" w:line="240" w:lineRule="auto"/>
                    <w:rPr>
                      <w:rFonts w:ascii="Times New Roman" w:hAnsi="Times New Roman"/>
                      <w:bCs/>
                      <w:color w:val="000000"/>
                      <w:szCs w:val="21"/>
                    </w:rPr>
                  </w:pPr>
                  <w:r>
                    <w:rPr>
                      <w:rFonts w:ascii="Times New Roman" w:hAnsi="Times New Roman"/>
                      <w:bCs/>
                      <w:color w:val="000000"/>
                      <w:szCs w:val="21"/>
                    </w:rPr>
                    <w:t>1</w:t>
                  </w:r>
                </w:p>
              </w:tc>
            </w:tr>
            <w:tr w14:paraId="161F064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dxa"/>
                  <w:tcBorders>
                    <w:top w:val="single" w:color="auto" w:sz="6" w:space="0"/>
                    <w:left w:val="single" w:color="auto" w:sz="12" w:space="0"/>
                    <w:bottom w:val="single" w:color="auto" w:sz="6" w:space="0"/>
                    <w:right w:val="single" w:color="auto" w:sz="6" w:space="0"/>
                  </w:tcBorders>
                  <w:vAlign w:val="center"/>
                </w:tcPr>
                <w:p w14:paraId="79A3EDF5">
                  <w:pPr>
                    <w:widowControl/>
                    <w:adjustRightInd w:val="0"/>
                    <w:snapToGrid w:val="0"/>
                    <w:jc w:val="center"/>
                    <w:rPr>
                      <w:bCs/>
                      <w:color w:val="000000"/>
                      <w:szCs w:val="21"/>
                    </w:rPr>
                  </w:pPr>
                  <w:r>
                    <w:rPr>
                      <w:bCs/>
                      <w:color w:val="000000"/>
                      <w:szCs w:val="21"/>
                    </w:rPr>
                    <w:t>32</w:t>
                  </w:r>
                </w:p>
              </w:tc>
              <w:tc>
                <w:tcPr>
                  <w:tcW w:w="431" w:type="dxa"/>
                  <w:vMerge w:val="continue"/>
                  <w:tcBorders>
                    <w:left w:val="single" w:color="auto" w:sz="6" w:space="0"/>
                    <w:right w:val="single" w:color="auto" w:sz="6" w:space="0"/>
                  </w:tcBorders>
                  <w:vAlign w:val="center"/>
                </w:tcPr>
                <w:p w14:paraId="2DA96602">
                  <w:pPr>
                    <w:jc w:val="center"/>
                    <w:rPr>
                      <w:color w:val="000000"/>
                      <w:szCs w:val="21"/>
                    </w:rPr>
                  </w:pPr>
                </w:p>
              </w:tc>
              <w:tc>
                <w:tcPr>
                  <w:tcW w:w="707" w:type="dxa"/>
                  <w:tcBorders>
                    <w:top w:val="single" w:color="auto" w:sz="6" w:space="0"/>
                    <w:left w:val="single" w:color="auto" w:sz="6" w:space="0"/>
                    <w:bottom w:val="single" w:color="auto" w:sz="6" w:space="0"/>
                    <w:right w:val="single" w:color="auto" w:sz="6" w:space="0"/>
                  </w:tcBorders>
                  <w:vAlign w:val="center"/>
                </w:tcPr>
                <w:p w14:paraId="7FC7BA8B">
                  <w:pPr>
                    <w:jc w:val="center"/>
                    <w:rPr>
                      <w:color w:val="000000"/>
                      <w:szCs w:val="21"/>
                    </w:rPr>
                  </w:pPr>
                  <w:r>
                    <w:rPr>
                      <w:color w:val="000000"/>
                      <w:szCs w:val="21"/>
                    </w:rPr>
                    <w:t>传动带</w:t>
                  </w:r>
                </w:p>
              </w:tc>
              <w:tc>
                <w:tcPr>
                  <w:tcW w:w="480" w:type="dxa"/>
                  <w:tcBorders>
                    <w:top w:val="single" w:color="auto" w:sz="6" w:space="0"/>
                    <w:left w:val="single" w:color="auto" w:sz="6" w:space="0"/>
                    <w:bottom w:val="single" w:color="auto" w:sz="6" w:space="0"/>
                    <w:right w:val="single" w:color="auto" w:sz="6" w:space="0"/>
                  </w:tcBorders>
                  <w:vAlign w:val="center"/>
                </w:tcPr>
                <w:p w14:paraId="7DEAB050">
                  <w:pPr>
                    <w:jc w:val="center"/>
                    <w:rPr>
                      <w:color w:val="000000"/>
                      <w:szCs w:val="21"/>
                    </w:rPr>
                  </w:pPr>
                  <w:r>
                    <w:rPr>
                      <w:color w:val="000000"/>
                      <w:szCs w:val="21"/>
                    </w:rPr>
                    <w:t>1</w:t>
                  </w:r>
                </w:p>
              </w:tc>
              <w:tc>
                <w:tcPr>
                  <w:tcW w:w="760" w:type="dxa"/>
                  <w:tcBorders>
                    <w:top w:val="single" w:color="auto" w:sz="6" w:space="0"/>
                    <w:left w:val="single" w:color="auto" w:sz="6" w:space="0"/>
                    <w:bottom w:val="single" w:color="auto" w:sz="6" w:space="0"/>
                    <w:right w:val="single" w:color="auto" w:sz="6" w:space="0"/>
                  </w:tcBorders>
                  <w:vAlign w:val="center"/>
                </w:tcPr>
                <w:p w14:paraId="745EA204">
                  <w:pPr>
                    <w:adjustRightInd w:val="0"/>
                    <w:snapToGrid w:val="0"/>
                    <w:jc w:val="center"/>
                    <w:rPr>
                      <w:color w:val="000000"/>
                      <w:szCs w:val="21"/>
                    </w:rPr>
                  </w:pPr>
                  <w:r>
                    <w:rPr>
                      <w:color w:val="000000"/>
                      <w:szCs w:val="21"/>
                    </w:rPr>
                    <w:t>70-80</w:t>
                  </w:r>
                </w:p>
              </w:tc>
              <w:tc>
                <w:tcPr>
                  <w:tcW w:w="520" w:type="dxa"/>
                  <w:vMerge w:val="continue"/>
                  <w:tcBorders>
                    <w:left w:val="single" w:color="auto" w:sz="6" w:space="0"/>
                    <w:right w:val="single" w:color="auto" w:sz="6" w:space="0"/>
                  </w:tcBorders>
                  <w:vAlign w:val="center"/>
                </w:tcPr>
                <w:p w14:paraId="5C7416D7">
                  <w:pPr>
                    <w:widowControl/>
                    <w:adjustRightInd w:val="0"/>
                    <w:snapToGrid w:val="0"/>
                    <w:jc w:val="center"/>
                    <w:rPr>
                      <w:color w:val="000000"/>
                      <w:szCs w:val="21"/>
                    </w:rPr>
                  </w:pPr>
                </w:p>
              </w:tc>
              <w:tc>
                <w:tcPr>
                  <w:tcW w:w="586" w:type="dxa"/>
                  <w:tcBorders>
                    <w:top w:val="single" w:color="auto" w:sz="6" w:space="0"/>
                    <w:left w:val="single" w:color="auto" w:sz="6" w:space="0"/>
                    <w:bottom w:val="single" w:color="auto" w:sz="6" w:space="0"/>
                    <w:right w:val="single" w:color="auto" w:sz="6" w:space="0"/>
                  </w:tcBorders>
                  <w:vAlign w:val="center"/>
                </w:tcPr>
                <w:p w14:paraId="15641086">
                  <w:pPr>
                    <w:pStyle w:val="50"/>
                    <w:spacing w:beforeLines="0" w:line="240" w:lineRule="auto"/>
                    <w:rPr>
                      <w:rFonts w:ascii="Times New Roman" w:hAnsi="Times New Roman"/>
                      <w:bCs/>
                      <w:color w:val="000000"/>
                      <w:szCs w:val="21"/>
                    </w:rPr>
                  </w:pPr>
                  <w:r>
                    <w:rPr>
                      <w:rFonts w:ascii="Times New Roman" w:hAnsi="Times New Roman"/>
                      <w:bCs/>
                      <w:color w:val="000000"/>
                      <w:szCs w:val="21"/>
                    </w:rPr>
                    <w:t>188.4</w:t>
                  </w:r>
                </w:p>
              </w:tc>
              <w:tc>
                <w:tcPr>
                  <w:tcW w:w="534" w:type="dxa"/>
                  <w:tcBorders>
                    <w:top w:val="single" w:color="auto" w:sz="6" w:space="0"/>
                    <w:left w:val="single" w:color="auto" w:sz="6" w:space="0"/>
                    <w:bottom w:val="single" w:color="auto" w:sz="6" w:space="0"/>
                    <w:right w:val="single" w:color="auto" w:sz="6" w:space="0"/>
                  </w:tcBorders>
                  <w:vAlign w:val="center"/>
                </w:tcPr>
                <w:p w14:paraId="01F0E39D">
                  <w:pPr>
                    <w:pStyle w:val="50"/>
                    <w:spacing w:beforeLines="0" w:line="240" w:lineRule="auto"/>
                    <w:rPr>
                      <w:rFonts w:ascii="Times New Roman" w:hAnsi="Times New Roman"/>
                      <w:bCs/>
                      <w:color w:val="000000"/>
                      <w:szCs w:val="21"/>
                    </w:rPr>
                  </w:pPr>
                  <w:r>
                    <w:rPr>
                      <w:rFonts w:ascii="Times New Roman" w:hAnsi="Times New Roman"/>
                      <w:bCs/>
                      <w:color w:val="000000"/>
                      <w:szCs w:val="21"/>
                    </w:rPr>
                    <w:t>-135.23</w:t>
                  </w:r>
                </w:p>
              </w:tc>
              <w:tc>
                <w:tcPr>
                  <w:tcW w:w="533" w:type="dxa"/>
                  <w:tcBorders>
                    <w:top w:val="single" w:color="auto" w:sz="6" w:space="0"/>
                    <w:left w:val="single" w:color="auto" w:sz="6" w:space="0"/>
                    <w:bottom w:val="single" w:color="auto" w:sz="6" w:space="0"/>
                    <w:right w:val="single" w:color="auto" w:sz="6" w:space="0"/>
                  </w:tcBorders>
                  <w:vAlign w:val="center"/>
                </w:tcPr>
                <w:p w14:paraId="0E979843">
                  <w:pPr>
                    <w:jc w:val="center"/>
                    <w:rPr>
                      <w:szCs w:val="21"/>
                    </w:rPr>
                  </w:pPr>
                  <w:r>
                    <w:rPr>
                      <w:rFonts w:hint="eastAsia"/>
                      <w:bCs/>
                      <w:color w:val="000000"/>
                      <w:szCs w:val="21"/>
                    </w:rPr>
                    <w:t>4.5</w:t>
                  </w:r>
                </w:p>
              </w:tc>
              <w:tc>
                <w:tcPr>
                  <w:tcW w:w="517" w:type="dxa"/>
                  <w:tcBorders>
                    <w:top w:val="single" w:color="auto" w:sz="6" w:space="0"/>
                    <w:left w:val="single" w:color="auto" w:sz="6" w:space="0"/>
                    <w:bottom w:val="single" w:color="auto" w:sz="6" w:space="0"/>
                    <w:right w:val="single" w:color="auto" w:sz="6" w:space="0"/>
                  </w:tcBorders>
                  <w:vAlign w:val="center"/>
                </w:tcPr>
                <w:p w14:paraId="68B67BCB">
                  <w:pPr>
                    <w:pStyle w:val="50"/>
                    <w:spacing w:beforeLines="0" w:line="240" w:lineRule="auto"/>
                    <w:rPr>
                      <w:rFonts w:ascii="Times New Roman" w:hAnsi="Times New Roman"/>
                      <w:bCs/>
                      <w:color w:val="000000"/>
                      <w:szCs w:val="21"/>
                    </w:rPr>
                  </w:pPr>
                  <w:r>
                    <w:rPr>
                      <w:rFonts w:ascii="Times New Roman" w:hAnsi="Times New Roman"/>
                      <w:bCs/>
                      <w:color w:val="000000"/>
                      <w:szCs w:val="21"/>
                    </w:rPr>
                    <w:t>5</w:t>
                  </w:r>
                </w:p>
              </w:tc>
              <w:tc>
                <w:tcPr>
                  <w:tcW w:w="644" w:type="dxa"/>
                  <w:tcBorders>
                    <w:top w:val="single" w:color="auto" w:sz="6" w:space="0"/>
                    <w:left w:val="single" w:color="auto" w:sz="6" w:space="0"/>
                    <w:bottom w:val="single" w:color="auto" w:sz="6" w:space="0"/>
                    <w:right w:val="single" w:color="auto" w:sz="6" w:space="0"/>
                  </w:tcBorders>
                  <w:vAlign w:val="center"/>
                </w:tcPr>
                <w:p w14:paraId="4CD0B9C7">
                  <w:pPr>
                    <w:jc w:val="center"/>
                    <w:rPr>
                      <w:color w:val="000000"/>
                      <w:kern w:val="0"/>
                      <w:szCs w:val="21"/>
                    </w:rPr>
                  </w:pPr>
                  <w:r>
                    <w:rPr>
                      <w:color w:val="000000"/>
                      <w:kern w:val="0"/>
                      <w:szCs w:val="21"/>
                    </w:rPr>
                    <w:t>60-65</w:t>
                  </w:r>
                </w:p>
              </w:tc>
              <w:tc>
                <w:tcPr>
                  <w:tcW w:w="733" w:type="dxa"/>
                  <w:vMerge w:val="continue"/>
                  <w:tcBorders>
                    <w:left w:val="single" w:color="auto" w:sz="6" w:space="0"/>
                    <w:right w:val="single" w:color="auto" w:sz="6" w:space="0"/>
                  </w:tcBorders>
                  <w:vAlign w:val="center"/>
                </w:tcPr>
                <w:p w14:paraId="7739F776">
                  <w:pPr>
                    <w:widowControl/>
                    <w:adjustRightInd w:val="0"/>
                    <w:snapToGrid w:val="0"/>
                    <w:jc w:val="center"/>
                    <w:rPr>
                      <w:bCs/>
                      <w:color w:val="000000"/>
                      <w:szCs w:val="21"/>
                    </w:rPr>
                  </w:pPr>
                </w:p>
              </w:tc>
              <w:tc>
                <w:tcPr>
                  <w:tcW w:w="644" w:type="dxa"/>
                  <w:tcBorders>
                    <w:top w:val="single" w:color="auto" w:sz="6" w:space="0"/>
                    <w:left w:val="single" w:color="auto" w:sz="6" w:space="0"/>
                    <w:bottom w:val="single" w:color="auto" w:sz="6" w:space="0"/>
                    <w:right w:val="single" w:color="auto" w:sz="6" w:space="0"/>
                  </w:tcBorders>
                  <w:vAlign w:val="center"/>
                </w:tcPr>
                <w:p w14:paraId="5985040B">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004DE389">
                  <w:pPr>
                    <w:jc w:val="center"/>
                    <w:rPr>
                      <w:bCs/>
                      <w:color w:val="000000"/>
                      <w:szCs w:val="21"/>
                    </w:rPr>
                  </w:pPr>
                  <w:r>
                    <w:rPr>
                      <w:bCs/>
                      <w:color w:val="000000"/>
                      <w:szCs w:val="21"/>
                    </w:rPr>
                    <w:t>50-55</w:t>
                  </w:r>
                </w:p>
              </w:tc>
              <w:tc>
                <w:tcPr>
                  <w:tcW w:w="402" w:type="dxa"/>
                  <w:tcBorders>
                    <w:top w:val="single" w:color="auto" w:sz="6" w:space="0"/>
                    <w:left w:val="single" w:color="auto" w:sz="6" w:space="0"/>
                    <w:bottom w:val="single" w:color="auto" w:sz="6" w:space="0"/>
                    <w:right w:val="single" w:color="auto" w:sz="12" w:space="0"/>
                  </w:tcBorders>
                  <w:vAlign w:val="center"/>
                </w:tcPr>
                <w:p w14:paraId="326DEA69">
                  <w:pPr>
                    <w:pStyle w:val="50"/>
                    <w:spacing w:beforeLines="0" w:line="240" w:lineRule="auto"/>
                    <w:rPr>
                      <w:rFonts w:ascii="Times New Roman" w:hAnsi="Times New Roman"/>
                      <w:bCs/>
                      <w:color w:val="000000"/>
                      <w:szCs w:val="21"/>
                    </w:rPr>
                  </w:pPr>
                  <w:r>
                    <w:rPr>
                      <w:rFonts w:ascii="Times New Roman" w:hAnsi="Times New Roman"/>
                      <w:bCs/>
                      <w:color w:val="000000"/>
                      <w:szCs w:val="21"/>
                    </w:rPr>
                    <w:t>1</w:t>
                  </w:r>
                </w:p>
              </w:tc>
            </w:tr>
            <w:tr w14:paraId="3398BA5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dxa"/>
                  <w:tcBorders>
                    <w:top w:val="single" w:color="auto" w:sz="6" w:space="0"/>
                    <w:left w:val="single" w:color="auto" w:sz="12" w:space="0"/>
                    <w:bottom w:val="single" w:color="auto" w:sz="6" w:space="0"/>
                    <w:right w:val="single" w:color="auto" w:sz="6" w:space="0"/>
                  </w:tcBorders>
                  <w:vAlign w:val="center"/>
                </w:tcPr>
                <w:p w14:paraId="446C1CBF">
                  <w:pPr>
                    <w:widowControl/>
                    <w:adjustRightInd w:val="0"/>
                    <w:snapToGrid w:val="0"/>
                    <w:jc w:val="center"/>
                    <w:rPr>
                      <w:bCs/>
                      <w:color w:val="000000"/>
                      <w:szCs w:val="21"/>
                    </w:rPr>
                  </w:pPr>
                  <w:r>
                    <w:rPr>
                      <w:bCs/>
                      <w:color w:val="000000"/>
                      <w:szCs w:val="21"/>
                    </w:rPr>
                    <w:t>33</w:t>
                  </w:r>
                </w:p>
              </w:tc>
              <w:tc>
                <w:tcPr>
                  <w:tcW w:w="431" w:type="dxa"/>
                  <w:vMerge w:val="continue"/>
                  <w:tcBorders>
                    <w:left w:val="single" w:color="auto" w:sz="6" w:space="0"/>
                    <w:right w:val="single" w:color="auto" w:sz="6" w:space="0"/>
                  </w:tcBorders>
                  <w:vAlign w:val="center"/>
                </w:tcPr>
                <w:p w14:paraId="6DE81616">
                  <w:pPr>
                    <w:jc w:val="center"/>
                    <w:rPr>
                      <w:color w:val="000000"/>
                      <w:szCs w:val="21"/>
                    </w:rPr>
                  </w:pPr>
                </w:p>
              </w:tc>
              <w:tc>
                <w:tcPr>
                  <w:tcW w:w="707" w:type="dxa"/>
                  <w:tcBorders>
                    <w:top w:val="single" w:color="auto" w:sz="6" w:space="0"/>
                    <w:left w:val="single" w:color="auto" w:sz="6" w:space="0"/>
                    <w:bottom w:val="single" w:color="auto" w:sz="6" w:space="0"/>
                    <w:right w:val="single" w:color="auto" w:sz="6" w:space="0"/>
                  </w:tcBorders>
                  <w:vAlign w:val="center"/>
                </w:tcPr>
                <w:p w14:paraId="043B0349">
                  <w:pPr>
                    <w:jc w:val="center"/>
                    <w:rPr>
                      <w:color w:val="000000"/>
                      <w:szCs w:val="21"/>
                    </w:rPr>
                  </w:pPr>
                  <w:r>
                    <w:rPr>
                      <w:color w:val="000000"/>
                      <w:szCs w:val="21"/>
                    </w:rPr>
                    <w:t>机械手</w:t>
                  </w:r>
                </w:p>
              </w:tc>
              <w:tc>
                <w:tcPr>
                  <w:tcW w:w="480" w:type="dxa"/>
                  <w:tcBorders>
                    <w:top w:val="single" w:color="auto" w:sz="6" w:space="0"/>
                    <w:left w:val="single" w:color="auto" w:sz="6" w:space="0"/>
                    <w:bottom w:val="single" w:color="auto" w:sz="6" w:space="0"/>
                    <w:right w:val="single" w:color="auto" w:sz="6" w:space="0"/>
                  </w:tcBorders>
                  <w:vAlign w:val="center"/>
                </w:tcPr>
                <w:p w14:paraId="723C25BD">
                  <w:pPr>
                    <w:jc w:val="center"/>
                    <w:rPr>
                      <w:color w:val="000000"/>
                      <w:szCs w:val="21"/>
                    </w:rPr>
                  </w:pPr>
                  <w:r>
                    <w:rPr>
                      <w:color w:val="000000"/>
                      <w:szCs w:val="21"/>
                    </w:rPr>
                    <w:t>1</w:t>
                  </w:r>
                </w:p>
              </w:tc>
              <w:tc>
                <w:tcPr>
                  <w:tcW w:w="760" w:type="dxa"/>
                  <w:tcBorders>
                    <w:top w:val="single" w:color="auto" w:sz="6" w:space="0"/>
                    <w:left w:val="single" w:color="auto" w:sz="6" w:space="0"/>
                    <w:bottom w:val="single" w:color="auto" w:sz="6" w:space="0"/>
                    <w:right w:val="single" w:color="auto" w:sz="6" w:space="0"/>
                  </w:tcBorders>
                  <w:vAlign w:val="center"/>
                </w:tcPr>
                <w:p w14:paraId="6E13ED0B">
                  <w:pPr>
                    <w:adjustRightInd w:val="0"/>
                    <w:snapToGrid w:val="0"/>
                    <w:jc w:val="center"/>
                    <w:rPr>
                      <w:color w:val="000000"/>
                      <w:szCs w:val="21"/>
                    </w:rPr>
                  </w:pPr>
                  <w:r>
                    <w:rPr>
                      <w:color w:val="000000"/>
                      <w:szCs w:val="21"/>
                    </w:rPr>
                    <w:t>60-70</w:t>
                  </w:r>
                </w:p>
              </w:tc>
              <w:tc>
                <w:tcPr>
                  <w:tcW w:w="520" w:type="dxa"/>
                  <w:vMerge w:val="continue"/>
                  <w:tcBorders>
                    <w:left w:val="single" w:color="auto" w:sz="6" w:space="0"/>
                    <w:right w:val="single" w:color="auto" w:sz="6" w:space="0"/>
                  </w:tcBorders>
                  <w:vAlign w:val="center"/>
                </w:tcPr>
                <w:p w14:paraId="1D509C5B">
                  <w:pPr>
                    <w:widowControl/>
                    <w:adjustRightInd w:val="0"/>
                    <w:snapToGrid w:val="0"/>
                    <w:jc w:val="center"/>
                    <w:rPr>
                      <w:color w:val="000000"/>
                      <w:szCs w:val="21"/>
                    </w:rPr>
                  </w:pPr>
                </w:p>
              </w:tc>
              <w:tc>
                <w:tcPr>
                  <w:tcW w:w="586" w:type="dxa"/>
                  <w:tcBorders>
                    <w:top w:val="single" w:color="auto" w:sz="6" w:space="0"/>
                    <w:left w:val="single" w:color="auto" w:sz="6" w:space="0"/>
                    <w:bottom w:val="single" w:color="auto" w:sz="6" w:space="0"/>
                    <w:right w:val="single" w:color="auto" w:sz="6" w:space="0"/>
                  </w:tcBorders>
                  <w:vAlign w:val="center"/>
                </w:tcPr>
                <w:p w14:paraId="1A6AC692">
                  <w:pPr>
                    <w:pStyle w:val="50"/>
                    <w:spacing w:beforeLines="0" w:line="240" w:lineRule="auto"/>
                    <w:rPr>
                      <w:rFonts w:ascii="Times New Roman" w:hAnsi="Times New Roman"/>
                      <w:bCs/>
                      <w:color w:val="000000"/>
                      <w:szCs w:val="21"/>
                    </w:rPr>
                  </w:pPr>
                  <w:r>
                    <w:rPr>
                      <w:rFonts w:ascii="Times New Roman" w:hAnsi="Times New Roman"/>
                      <w:bCs/>
                      <w:color w:val="000000"/>
                      <w:szCs w:val="21"/>
                    </w:rPr>
                    <w:t>187.56</w:t>
                  </w:r>
                </w:p>
              </w:tc>
              <w:tc>
                <w:tcPr>
                  <w:tcW w:w="534" w:type="dxa"/>
                  <w:tcBorders>
                    <w:top w:val="single" w:color="auto" w:sz="6" w:space="0"/>
                    <w:left w:val="single" w:color="auto" w:sz="6" w:space="0"/>
                    <w:bottom w:val="single" w:color="auto" w:sz="6" w:space="0"/>
                    <w:right w:val="single" w:color="auto" w:sz="6" w:space="0"/>
                  </w:tcBorders>
                  <w:vAlign w:val="center"/>
                </w:tcPr>
                <w:p w14:paraId="332877B8">
                  <w:pPr>
                    <w:pStyle w:val="50"/>
                    <w:spacing w:beforeLines="0" w:line="240" w:lineRule="auto"/>
                    <w:rPr>
                      <w:rFonts w:ascii="Times New Roman" w:hAnsi="Times New Roman"/>
                      <w:bCs/>
                      <w:color w:val="000000"/>
                      <w:szCs w:val="21"/>
                    </w:rPr>
                  </w:pPr>
                  <w:r>
                    <w:rPr>
                      <w:rFonts w:ascii="Times New Roman" w:hAnsi="Times New Roman"/>
                      <w:bCs/>
                      <w:color w:val="000000"/>
                      <w:szCs w:val="21"/>
                    </w:rPr>
                    <w:t>-138.48</w:t>
                  </w:r>
                </w:p>
              </w:tc>
              <w:tc>
                <w:tcPr>
                  <w:tcW w:w="533" w:type="dxa"/>
                  <w:tcBorders>
                    <w:top w:val="single" w:color="auto" w:sz="6" w:space="0"/>
                    <w:left w:val="single" w:color="auto" w:sz="6" w:space="0"/>
                    <w:bottom w:val="single" w:color="auto" w:sz="6" w:space="0"/>
                    <w:right w:val="single" w:color="auto" w:sz="6" w:space="0"/>
                  </w:tcBorders>
                  <w:vAlign w:val="center"/>
                </w:tcPr>
                <w:p w14:paraId="6C96F74C">
                  <w:pPr>
                    <w:jc w:val="center"/>
                    <w:rPr>
                      <w:szCs w:val="21"/>
                    </w:rPr>
                  </w:pPr>
                  <w:r>
                    <w:rPr>
                      <w:rFonts w:hint="eastAsia"/>
                      <w:bCs/>
                      <w:color w:val="000000"/>
                      <w:szCs w:val="21"/>
                    </w:rPr>
                    <w:t>4.5</w:t>
                  </w:r>
                </w:p>
              </w:tc>
              <w:tc>
                <w:tcPr>
                  <w:tcW w:w="517" w:type="dxa"/>
                  <w:tcBorders>
                    <w:top w:val="single" w:color="auto" w:sz="6" w:space="0"/>
                    <w:left w:val="single" w:color="auto" w:sz="6" w:space="0"/>
                    <w:bottom w:val="single" w:color="auto" w:sz="6" w:space="0"/>
                    <w:right w:val="single" w:color="auto" w:sz="6" w:space="0"/>
                  </w:tcBorders>
                  <w:vAlign w:val="center"/>
                </w:tcPr>
                <w:p w14:paraId="4DAC89A5">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016F7991">
                  <w:pPr>
                    <w:pStyle w:val="50"/>
                    <w:spacing w:beforeLines="0" w:line="240" w:lineRule="auto"/>
                    <w:rPr>
                      <w:rFonts w:ascii="Times New Roman" w:hAnsi="Times New Roman"/>
                      <w:color w:val="000000"/>
                      <w:kern w:val="0"/>
                      <w:szCs w:val="21"/>
                    </w:rPr>
                  </w:pPr>
                  <w:r>
                    <w:rPr>
                      <w:rFonts w:ascii="Times New Roman" w:hAnsi="Times New Roman"/>
                      <w:color w:val="000000"/>
                      <w:kern w:val="0"/>
                      <w:szCs w:val="21"/>
                    </w:rPr>
                    <w:t>45-55</w:t>
                  </w:r>
                </w:p>
              </w:tc>
              <w:tc>
                <w:tcPr>
                  <w:tcW w:w="733" w:type="dxa"/>
                  <w:vMerge w:val="continue"/>
                  <w:tcBorders>
                    <w:left w:val="single" w:color="auto" w:sz="6" w:space="0"/>
                    <w:right w:val="single" w:color="auto" w:sz="6" w:space="0"/>
                  </w:tcBorders>
                  <w:vAlign w:val="center"/>
                </w:tcPr>
                <w:p w14:paraId="7E4CE1DB">
                  <w:pPr>
                    <w:widowControl/>
                    <w:adjustRightInd w:val="0"/>
                    <w:snapToGrid w:val="0"/>
                    <w:jc w:val="center"/>
                    <w:rPr>
                      <w:bCs/>
                      <w:color w:val="000000"/>
                      <w:szCs w:val="21"/>
                    </w:rPr>
                  </w:pPr>
                </w:p>
              </w:tc>
              <w:tc>
                <w:tcPr>
                  <w:tcW w:w="644" w:type="dxa"/>
                  <w:tcBorders>
                    <w:top w:val="single" w:color="auto" w:sz="6" w:space="0"/>
                    <w:left w:val="single" w:color="auto" w:sz="6" w:space="0"/>
                    <w:bottom w:val="single" w:color="auto" w:sz="6" w:space="0"/>
                    <w:right w:val="single" w:color="auto" w:sz="6" w:space="0"/>
                  </w:tcBorders>
                  <w:vAlign w:val="center"/>
                </w:tcPr>
                <w:p w14:paraId="077CAEC0">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24401C33">
                  <w:pPr>
                    <w:pStyle w:val="50"/>
                    <w:spacing w:beforeLines="0" w:line="240" w:lineRule="auto"/>
                    <w:rPr>
                      <w:rFonts w:ascii="Times New Roman" w:hAnsi="Times New Roman"/>
                      <w:bCs/>
                      <w:color w:val="000000"/>
                      <w:szCs w:val="21"/>
                    </w:rPr>
                  </w:pPr>
                  <w:r>
                    <w:rPr>
                      <w:rFonts w:ascii="Times New Roman" w:hAnsi="Times New Roman"/>
                      <w:bCs/>
                      <w:color w:val="000000"/>
                      <w:szCs w:val="21"/>
                    </w:rPr>
                    <w:t>40-45</w:t>
                  </w:r>
                </w:p>
              </w:tc>
              <w:tc>
                <w:tcPr>
                  <w:tcW w:w="402" w:type="dxa"/>
                  <w:tcBorders>
                    <w:top w:val="single" w:color="auto" w:sz="6" w:space="0"/>
                    <w:left w:val="single" w:color="auto" w:sz="6" w:space="0"/>
                    <w:bottom w:val="single" w:color="auto" w:sz="6" w:space="0"/>
                    <w:right w:val="single" w:color="auto" w:sz="12" w:space="0"/>
                  </w:tcBorders>
                  <w:vAlign w:val="center"/>
                </w:tcPr>
                <w:p w14:paraId="1724481B">
                  <w:pPr>
                    <w:pStyle w:val="50"/>
                    <w:spacing w:beforeLines="0" w:line="240" w:lineRule="auto"/>
                    <w:rPr>
                      <w:rFonts w:ascii="Times New Roman" w:hAnsi="Times New Roman"/>
                      <w:bCs/>
                      <w:color w:val="000000"/>
                      <w:szCs w:val="21"/>
                    </w:rPr>
                  </w:pPr>
                  <w:r>
                    <w:rPr>
                      <w:rFonts w:ascii="Times New Roman" w:hAnsi="Times New Roman"/>
                      <w:bCs/>
                      <w:color w:val="000000"/>
                      <w:szCs w:val="21"/>
                    </w:rPr>
                    <w:t>1</w:t>
                  </w:r>
                </w:p>
              </w:tc>
            </w:tr>
            <w:tr w14:paraId="7EDC690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dxa"/>
                  <w:tcBorders>
                    <w:top w:val="single" w:color="auto" w:sz="6" w:space="0"/>
                    <w:left w:val="single" w:color="auto" w:sz="12" w:space="0"/>
                    <w:bottom w:val="single" w:color="auto" w:sz="6" w:space="0"/>
                    <w:right w:val="single" w:color="auto" w:sz="6" w:space="0"/>
                  </w:tcBorders>
                  <w:vAlign w:val="center"/>
                </w:tcPr>
                <w:p w14:paraId="69C21563">
                  <w:pPr>
                    <w:widowControl/>
                    <w:adjustRightInd w:val="0"/>
                    <w:snapToGrid w:val="0"/>
                    <w:jc w:val="center"/>
                    <w:rPr>
                      <w:bCs/>
                      <w:color w:val="000000"/>
                      <w:szCs w:val="21"/>
                    </w:rPr>
                  </w:pPr>
                  <w:r>
                    <w:rPr>
                      <w:bCs/>
                      <w:color w:val="000000"/>
                      <w:szCs w:val="21"/>
                    </w:rPr>
                    <w:t>34</w:t>
                  </w:r>
                </w:p>
              </w:tc>
              <w:tc>
                <w:tcPr>
                  <w:tcW w:w="431" w:type="dxa"/>
                  <w:vMerge w:val="continue"/>
                  <w:tcBorders>
                    <w:left w:val="single" w:color="auto" w:sz="6" w:space="0"/>
                    <w:right w:val="single" w:color="auto" w:sz="6" w:space="0"/>
                  </w:tcBorders>
                  <w:vAlign w:val="center"/>
                </w:tcPr>
                <w:p w14:paraId="6F689131">
                  <w:pPr>
                    <w:jc w:val="center"/>
                    <w:rPr>
                      <w:color w:val="000000"/>
                      <w:szCs w:val="21"/>
                    </w:rPr>
                  </w:pPr>
                </w:p>
              </w:tc>
              <w:tc>
                <w:tcPr>
                  <w:tcW w:w="707" w:type="dxa"/>
                  <w:tcBorders>
                    <w:top w:val="single" w:color="auto" w:sz="6" w:space="0"/>
                    <w:left w:val="single" w:color="auto" w:sz="6" w:space="0"/>
                    <w:bottom w:val="single" w:color="auto" w:sz="6" w:space="0"/>
                    <w:right w:val="single" w:color="auto" w:sz="6" w:space="0"/>
                  </w:tcBorders>
                  <w:vAlign w:val="center"/>
                </w:tcPr>
                <w:p w14:paraId="39C79467">
                  <w:pPr>
                    <w:jc w:val="center"/>
                    <w:rPr>
                      <w:color w:val="000000"/>
                      <w:szCs w:val="21"/>
                    </w:rPr>
                  </w:pPr>
                  <w:r>
                    <w:rPr>
                      <w:color w:val="000000"/>
                      <w:szCs w:val="21"/>
                    </w:rPr>
                    <w:t>上楼提升机</w:t>
                  </w:r>
                </w:p>
              </w:tc>
              <w:tc>
                <w:tcPr>
                  <w:tcW w:w="480" w:type="dxa"/>
                  <w:tcBorders>
                    <w:top w:val="single" w:color="auto" w:sz="6" w:space="0"/>
                    <w:left w:val="single" w:color="auto" w:sz="6" w:space="0"/>
                    <w:bottom w:val="single" w:color="auto" w:sz="6" w:space="0"/>
                    <w:right w:val="single" w:color="auto" w:sz="6" w:space="0"/>
                  </w:tcBorders>
                  <w:vAlign w:val="center"/>
                </w:tcPr>
                <w:p w14:paraId="34E018EA">
                  <w:pPr>
                    <w:jc w:val="center"/>
                    <w:rPr>
                      <w:color w:val="000000"/>
                      <w:szCs w:val="21"/>
                    </w:rPr>
                  </w:pPr>
                  <w:r>
                    <w:rPr>
                      <w:color w:val="000000"/>
                      <w:szCs w:val="21"/>
                    </w:rPr>
                    <w:t>1</w:t>
                  </w:r>
                </w:p>
              </w:tc>
              <w:tc>
                <w:tcPr>
                  <w:tcW w:w="760" w:type="dxa"/>
                  <w:tcBorders>
                    <w:top w:val="single" w:color="auto" w:sz="6" w:space="0"/>
                    <w:left w:val="single" w:color="auto" w:sz="6" w:space="0"/>
                    <w:bottom w:val="single" w:color="auto" w:sz="6" w:space="0"/>
                    <w:right w:val="single" w:color="auto" w:sz="6" w:space="0"/>
                  </w:tcBorders>
                  <w:vAlign w:val="center"/>
                </w:tcPr>
                <w:p w14:paraId="43A793F5">
                  <w:pPr>
                    <w:adjustRightInd w:val="0"/>
                    <w:snapToGrid w:val="0"/>
                    <w:jc w:val="center"/>
                    <w:rPr>
                      <w:color w:val="000000"/>
                      <w:szCs w:val="21"/>
                    </w:rPr>
                  </w:pPr>
                  <w:r>
                    <w:rPr>
                      <w:color w:val="000000"/>
                      <w:szCs w:val="21"/>
                    </w:rPr>
                    <w:t>70-80</w:t>
                  </w:r>
                </w:p>
              </w:tc>
              <w:tc>
                <w:tcPr>
                  <w:tcW w:w="520" w:type="dxa"/>
                  <w:vMerge w:val="continue"/>
                  <w:tcBorders>
                    <w:left w:val="single" w:color="auto" w:sz="6" w:space="0"/>
                    <w:right w:val="single" w:color="auto" w:sz="6" w:space="0"/>
                  </w:tcBorders>
                  <w:vAlign w:val="center"/>
                </w:tcPr>
                <w:p w14:paraId="1C6EE502">
                  <w:pPr>
                    <w:widowControl/>
                    <w:adjustRightInd w:val="0"/>
                    <w:snapToGrid w:val="0"/>
                    <w:jc w:val="center"/>
                    <w:rPr>
                      <w:color w:val="000000"/>
                      <w:szCs w:val="21"/>
                    </w:rPr>
                  </w:pPr>
                </w:p>
              </w:tc>
              <w:tc>
                <w:tcPr>
                  <w:tcW w:w="586" w:type="dxa"/>
                  <w:tcBorders>
                    <w:top w:val="single" w:color="auto" w:sz="6" w:space="0"/>
                    <w:left w:val="single" w:color="auto" w:sz="6" w:space="0"/>
                    <w:bottom w:val="single" w:color="auto" w:sz="6" w:space="0"/>
                    <w:right w:val="single" w:color="auto" w:sz="6" w:space="0"/>
                  </w:tcBorders>
                  <w:vAlign w:val="center"/>
                </w:tcPr>
                <w:p w14:paraId="1E8F2CA5">
                  <w:pPr>
                    <w:pStyle w:val="50"/>
                    <w:spacing w:beforeLines="0" w:line="240" w:lineRule="auto"/>
                    <w:rPr>
                      <w:rFonts w:ascii="Times New Roman" w:hAnsi="Times New Roman"/>
                      <w:bCs/>
                      <w:color w:val="000000"/>
                      <w:szCs w:val="21"/>
                    </w:rPr>
                  </w:pPr>
                  <w:r>
                    <w:rPr>
                      <w:rFonts w:ascii="Times New Roman" w:hAnsi="Times New Roman"/>
                      <w:bCs/>
                      <w:color w:val="000000"/>
                      <w:szCs w:val="21"/>
                    </w:rPr>
                    <w:t>182.15</w:t>
                  </w:r>
                </w:p>
              </w:tc>
              <w:tc>
                <w:tcPr>
                  <w:tcW w:w="534" w:type="dxa"/>
                  <w:tcBorders>
                    <w:top w:val="single" w:color="auto" w:sz="6" w:space="0"/>
                    <w:left w:val="single" w:color="auto" w:sz="6" w:space="0"/>
                    <w:bottom w:val="single" w:color="auto" w:sz="6" w:space="0"/>
                    <w:right w:val="single" w:color="auto" w:sz="6" w:space="0"/>
                  </w:tcBorders>
                  <w:vAlign w:val="center"/>
                </w:tcPr>
                <w:p w14:paraId="778CAE4F">
                  <w:pPr>
                    <w:pStyle w:val="50"/>
                    <w:spacing w:beforeLines="0" w:line="240" w:lineRule="auto"/>
                    <w:rPr>
                      <w:rFonts w:ascii="Times New Roman" w:hAnsi="Times New Roman"/>
                      <w:bCs/>
                      <w:color w:val="000000"/>
                      <w:szCs w:val="21"/>
                    </w:rPr>
                  </w:pPr>
                  <w:r>
                    <w:rPr>
                      <w:rFonts w:ascii="Times New Roman" w:hAnsi="Times New Roman"/>
                      <w:bCs/>
                      <w:color w:val="000000"/>
                      <w:szCs w:val="21"/>
                    </w:rPr>
                    <w:t>-134.82</w:t>
                  </w:r>
                </w:p>
              </w:tc>
              <w:tc>
                <w:tcPr>
                  <w:tcW w:w="533" w:type="dxa"/>
                  <w:tcBorders>
                    <w:top w:val="single" w:color="auto" w:sz="6" w:space="0"/>
                    <w:left w:val="single" w:color="auto" w:sz="6" w:space="0"/>
                    <w:bottom w:val="single" w:color="auto" w:sz="6" w:space="0"/>
                    <w:right w:val="single" w:color="auto" w:sz="6" w:space="0"/>
                  </w:tcBorders>
                  <w:vAlign w:val="center"/>
                </w:tcPr>
                <w:p w14:paraId="6B0D05F2">
                  <w:pPr>
                    <w:jc w:val="center"/>
                    <w:rPr>
                      <w:szCs w:val="21"/>
                    </w:rPr>
                  </w:pPr>
                  <w:r>
                    <w:rPr>
                      <w:rFonts w:hint="eastAsia"/>
                      <w:bCs/>
                      <w:color w:val="000000"/>
                      <w:szCs w:val="21"/>
                    </w:rPr>
                    <w:t>4.5</w:t>
                  </w:r>
                </w:p>
              </w:tc>
              <w:tc>
                <w:tcPr>
                  <w:tcW w:w="517" w:type="dxa"/>
                  <w:tcBorders>
                    <w:top w:val="single" w:color="auto" w:sz="6" w:space="0"/>
                    <w:left w:val="single" w:color="auto" w:sz="6" w:space="0"/>
                    <w:bottom w:val="single" w:color="auto" w:sz="6" w:space="0"/>
                    <w:right w:val="single" w:color="auto" w:sz="6" w:space="0"/>
                  </w:tcBorders>
                  <w:vAlign w:val="center"/>
                </w:tcPr>
                <w:p w14:paraId="528BD562">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2D946BAA">
                  <w:pPr>
                    <w:jc w:val="center"/>
                    <w:rPr>
                      <w:color w:val="000000"/>
                      <w:kern w:val="0"/>
                      <w:szCs w:val="21"/>
                    </w:rPr>
                  </w:pPr>
                  <w:r>
                    <w:rPr>
                      <w:color w:val="000000"/>
                      <w:kern w:val="0"/>
                      <w:szCs w:val="21"/>
                    </w:rPr>
                    <w:t>60-65</w:t>
                  </w:r>
                </w:p>
              </w:tc>
              <w:tc>
                <w:tcPr>
                  <w:tcW w:w="733" w:type="dxa"/>
                  <w:vMerge w:val="continue"/>
                  <w:tcBorders>
                    <w:left w:val="single" w:color="auto" w:sz="6" w:space="0"/>
                    <w:right w:val="single" w:color="auto" w:sz="6" w:space="0"/>
                  </w:tcBorders>
                  <w:vAlign w:val="center"/>
                </w:tcPr>
                <w:p w14:paraId="37B1CF90">
                  <w:pPr>
                    <w:widowControl/>
                    <w:adjustRightInd w:val="0"/>
                    <w:snapToGrid w:val="0"/>
                    <w:jc w:val="center"/>
                    <w:rPr>
                      <w:bCs/>
                      <w:color w:val="000000"/>
                      <w:szCs w:val="21"/>
                    </w:rPr>
                  </w:pPr>
                </w:p>
              </w:tc>
              <w:tc>
                <w:tcPr>
                  <w:tcW w:w="644" w:type="dxa"/>
                  <w:tcBorders>
                    <w:top w:val="single" w:color="auto" w:sz="6" w:space="0"/>
                    <w:left w:val="single" w:color="auto" w:sz="6" w:space="0"/>
                    <w:bottom w:val="single" w:color="auto" w:sz="6" w:space="0"/>
                    <w:right w:val="single" w:color="auto" w:sz="6" w:space="0"/>
                  </w:tcBorders>
                  <w:vAlign w:val="center"/>
                </w:tcPr>
                <w:p w14:paraId="64E92950">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4E9F3618">
                  <w:pPr>
                    <w:jc w:val="center"/>
                    <w:rPr>
                      <w:bCs/>
                      <w:color w:val="000000"/>
                      <w:szCs w:val="21"/>
                    </w:rPr>
                  </w:pPr>
                  <w:r>
                    <w:rPr>
                      <w:bCs/>
                      <w:color w:val="000000"/>
                      <w:szCs w:val="21"/>
                    </w:rPr>
                    <w:t>50-55</w:t>
                  </w:r>
                </w:p>
              </w:tc>
              <w:tc>
                <w:tcPr>
                  <w:tcW w:w="402" w:type="dxa"/>
                  <w:tcBorders>
                    <w:top w:val="single" w:color="auto" w:sz="6" w:space="0"/>
                    <w:left w:val="single" w:color="auto" w:sz="6" w:space="0"/>
                    <w:bottom w:val="single" w:color="auto" w:sz="6" w:space="0"/>
                    <w:right w:val="single" w:color="auto" w:sz="12" w:space="0"/>
                  </w:tcBorders>
                  <w:vAlign w:val="center"/>
                </w:tcPr>
                <w:p w14:paraId="72B2C8AA">
                  <w:pPr>
                    <w:pStyle w:val="50"/>
                    <w:spacing w:beforeLines="0" w:line="240" w:lineRule="auto"/>
                    <w:rPr>
                      <w:rFonts w:ascii="Times New Roman" w:hAnsi="Times New Roman"/>
                      <w:bCs/>
                      <w:color w:val="000000"/>
                      <w:szCs w:val="21"/>
                    </w:rPr>
                  </w:pPr>
                  <w:r>
                    <w:rPr>
                      <w:rFonts w:ascii="Times New Roman" w:hAnsi="Times New Roman"/>
                      <w:bCs/>
                      <w:color w:val="000000"/>
                      <w:szCs w:val="21"/>
                    </w:rPr>
                    <w:t>1</w:t>
                  </w:r>
                </w:p>
              </w:tc>
            </w:tr>
            <w:tr w14:paraId="4B40415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dxa"/>
                  <w:tcBorders>
                    <w:top w:val="single" w:color="auto" w:sz="6" w:space="0"/>
                    <w:left w:val="single" w:color="auto" w:sz="12" w:space="0"/>
                    <w:bottom w:val="single" w:color="auto" w:sz="6" w:space="0"/>
                    <w:right w:val="single" w:color="auto" w:sz="6" w:space="0"/>
                  </w:tcBorders>
                  <w:vAlign w:val="center"/>
                </w:tcPr>
                <w:p w14:paraId="663BE165">
                  <w:pPr>
                    <w:widowControl/>
                    <w:adjustRightInd w:val="0"/>
                    <w:snapToGrid w:val="0"/>
                    <w:jc w:val="center"/>
                    <w:rPr>
                      <w:bCs/>
                      <w:color w:val="000000"/>
                      <w:szCs w:val="21"/>
                    </w:rPr>
                  </w:pPr>
                  <w:r>
                    <w:rPr>
                      <w:bCs/>
                      <w:color w:val="000000"/>
                      <w:szCs w:val="21"/>
                    </w:rPr>
                    <w:t>35</w:t>
                  </w:r>
                </w:p>
              </w:tc>
              <w:tc>
                <w:tcPr>
                  <w:tcW w:w="431" w:type="dxa"/>
                  <w:vMerge w:val="continue"/>
                  <w:tcBorders>
                    <w:left w:val="single" w:color="auto" w:sz="6" w:space="0"/>
                    <w:right w:val="single" w:color="auto" w:sz="6" w:space="0"/>
                  </w:tcBorders>
                  <w:vAlign w:val="center"/>
                </w:tcPr>
                <w:p w14:paraId="766D0C51">
                  <w:pPr>
                    <w:jc w:val="center"/>
                    <w:rPr>
                      <w:color w:val="000000"/>
                      <w:szCs w:val="21"/>
                    </w:rPr>
                  </w:pPr>
                </w:p>
              </w:tc>
              <w:tc>
                <w:tcPr>
                  <w:tcW w:w="707" w:type="dxa"/>
                  <w:tcBorders>
                    <w:top w:val="single" w:color="auto" w:sz="6" w:space="0"/>
                    <w:left w:val="single" w:color="auto" w:sz="6" w:space="0"/>
                    <w:bottom w:val="single" w:color="auto" w:sz="6" w:space="0"/>
                    <w:right w:val="single" w:color="auto" w:sz="6" w:space="0"/>
                  </w:tcBorders>
                  <w:vAlign w:val="center"/>
                </w:tcPr>
                <w:p w14:paraId="33FBB4FE">
                  <w:pPr>
                    <w:jc w:val="center"/>
                    <w:rPr>
                      <w:color w:val="000000"/>
                      <w:szCs w:val="21"/>
                    </w:rPr>
                  </w:pPr>
                  <w:r>
                    <w:rPr>
                      <w:color w:val="000000"/>
                      <w:szCs w:val="21"/>
                    </w:rPr>
                    <w:t>上楼提升机</w:t>
                  </w:r>
                </w:p>
              </w:tc>
              <w:tc>
                <w:tcPr>
                  <w:tcW w:w="480" w:type="dxa"/>
                  <w:tcBorders>
                    <w:top w:val="single" w:color="auto" w:sz="6" w:space="0"/>
                    <w:left w:val="single" w:color="auto" w:sz="6" w:space="0"/>
                    <w:bottom w:val="single" w:color="auto" w:sz="6" w:space="0"/>
                    <w:right w:val="single" w:color="auto" w:sz="6" w:space="0"/>
                  </w:tcBorders>
                  <w:vAlign w:val="center"/>
                </w:tcPr>
                <w:p w14:paraId="62A02835">
                  <w:pPr>
                    <w:jc w:val="center"/>
                    <w:rPr>
                      <w:color w:val="000000"/>
                      <w:szCs w:val="21"/>
                    </w:rPr>
                  </w:pPr>
                  <w:r>
                    <w:rPr>
                      <w:color w:val="000000"/>
                      <w:szCs w:val="21"/>
                    </w:rPr>
                    <w:t>1</w:t>
                  </w:r>
                </w:p>
              </w:tc>
              <w:tc>
                <w:tcPr>
                  <w:tcW w:w="760" w:type="dxa"/>
                  <w:tcBorders>
                    <w:top w:val="single" w:color="auto" w:sz="6" w:space="0"/>
                    <w:left w:val="single" w:color="auto" w:sz="6" w:space="0"/>
                    <w:bottom w:val="single" w:color="auto" w:sz="6" w:space="0"/>
                    <w:right w:val="single" w:color="auto" w:sz="6" w:space="0"/>
                  </w:tcBorders>
                  <w:vAlign w:val="center"/>
                </w:tcPr>
                <w:p w14:paraId="43BF80C0">
                  <w:pPr>
                    <w:adjustRightInd w:val="0"/>
                    <w:snapToGrid w:val="0"/>
                    <w:jc w:val="center"/>
                    <w:rPr>
                      <w:color w:val="000000"/>
                      <w:szCs w:val="21"/>
                    </w:rPr>
                  </w:pPr>
                  <w:r>
                    <w:rPr>
                      <w:color w:val="000000"/>
                      <w:szCs w:val="21"/>
                    </w:rPr>
                    <w:t>70-80</w:t>
                  </w:r>
                </w:p>
              </w:tc>
              <w:tc>
                <w:tcPr>
                  <w:tcW w:w="520" w:type="dxa"/>
                  <w:vMerge w:val="continue"/>
                  <w:tcBorders>
                    <w:left w:val="single" w:color="auto" w:sz="6" w:space="0"/>
                    <w:right w:val="single" w:color="auto" w:sz="6" w:space="0"/>
                  </w:tcBorders>
                  <w:vAlign w:val="center"/>
                </w:tcPr>
                <w:p w14:paraId="5575CD30">
                  <w:pPr>
                    <w:widowControl/>
                    <w:adjustRightInd w:val="0"/>
                    <w:snapToGrid w:val="0"/>
                    <w:jc w:val="center"/>
                    <w:rPr>
                      <w:color w:val="000000"/>
                      <w:szCs w:val="21"/>
                    </w:rPr>
                  </w:pPr>
                </w:p>
              </w:tc>
              <w:tc>
                <w:tcPr>
                  <w:tcW w:w="586" w:type="dxa"/>
                  <w:tcBorders>
                    <w:top w:val="single" w:color="auto" w:sz="6" w:space="0"/>
                    <w:left w:val="single" w:color="auto" w:sz="6" w:space="0"/>
                    <w:bottom w:val="single" w:color="auto" w:sz="6" w:space="0"/>
                    <w:right w:val="single" w:color="auto" w:sz="6" w:space="0"/>
                  </w:tcBorders>
                  <w:vAlign w:val="center"/>
                </w:tcPr>
                <w:p w14:paraId="6B2E5BC2">
                  <w:pPr>
                    <w:pStyle w:val="50"/>
                    <w:spacing w:beforeLines="0" w:line="240" w:lineRule="auto"/>
                    <w:rPr>
                      <w:rFonts w:ascii="Times New Roman" w:hAnsi="Times New Roman"/>
                      <w:bCs/>
                      <w:color w:val="000000"/>
                      <w:szCs w:val="21"/>
                    </w:rPr>
                  </w:pPr>
                  <w:r>
                    <w:rPr>
                      <w:rFonts w:ascii="Times New Roman" w:hAnsi="Times New Roman"/>
                      <w:bCs/>
                      <w:color w:val="000000"/>
                      <w:szCs w:val="21"/>
                    </w:rPr>
                    <w:t>171.02</w:t>
                  </w:r>
                </w:p>
              </w:tc>
              <w:tc>
                <w:tcPr>
                  <w:tcW w:w="534" w:type="dxa"/>
                  <w:tcBorders>
                    <w:top w:val="single" w:color="auto" w:sz="6" w:space="0"/>
                    <w:left w:val="single" w:color="auto" w:sz="6" w:space="0"/>
                    <w:bottom w:val="single" w:color="auto" w:sz="6" w:space="0"/>
                    <w:right w:val="single" w:color="auto" w:sz="6" w:space="0"/>
                  </w:tcBorders>
                  <w:vAlign w:val="center"/>
                </w:tcPr>
                <w:p w14:paraId="0FE6B695">
                  <w:pPr>
                    <w:pStyle w:val="50"/>
                    <w:spacing w:beforeLines="0" w:line="240" w:lineRule="auto"/>
                    <w:rPr>
                      <w:rFonts w:ascii="Times New Roman" w:hAnsi="Times New Roman"/>
                      <w:bCs/>
                      <w:color w:val="000000"/>
                      <w:szCs w:val="21"/>
                    </w:rPr>
                  </w:pPr>
                  <w:r>
                    <w:rPr>
                      <w:rFonts w:ascii="Times New Roman" w:hAnsi="Times New Roman"/>
                      <w:bCs/>
                      <w:color w:val="000000"/>
                      <w:szCs w:val="21"/>
                    </w:rPr>
                    <w:t>-130.52</w:t>
                  </w:r>
                </w:p>
              </w:tc>
              <w:tc>
                <w:tcPr>
                  <w:tcW w:w="533" w:type="dxa"/>
                  <w:tcBorders>
                    <w:top w:val="single" w:color="auto" w:sz="6" w:space="0"/>
                    <w:left w:val="single" w:color="auto" w:sz="6" w:space="0"/>
                    <w:bottom w:val="single" w:color="auto" w:sz="6" w:space="0"/>
                    <w:right w:val="single" w:color="auto" w:sz="6" w:space="0"/>
                  </w:tcBorders>
                  <w:vAlign w:val="center"/>
                </w:tcPr>
                <w:p w14:paraId="27A68C98">
                  <w:pPr>
                    <w:jc w:val="center"/>
                    <w:rPr>
                      <w:szCs w:val="21"/>
                    </w:rPr>
                  </w:pPr>
                  <w:r>
                    <w:rPr>
                      <w:rFonts w:hint="eastAsia"/>
                      <w:bCs/>
                      <w:color w:val="000000"/>
                      <w:szCs w:val="21"/>
                    </w:rPr>
                    <w:t>4.5</w:t>
                  </w:r>
                </w:p>
              </w:tc>
              <w:tc>
                <w:tcPr>
                  <w:tcW w:w="517" w:type="dxa"/>
                  <w:tcBorders>
                    <w:top w:val="single" w:color="auto" w:sz="6" w:space="0"/>
                    <w:left w:val="single" w:color="auto" w:sz="6" w:space="0"/>
                    <w:bottom w:val="single" w:color="auto" w:sz="6" w:space="0"/>
                    <w:right w:val="single" w:color="auto" w:sz="6" w:space="0"/>
                  </w:tcBorders>
                  <w:vAlign w:val="center"/>
                </w:tcPr>
                <w:p w14:paraId="079561CC">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3AE6D9C6">
                  <w:pPr>
                    <w:jc w:val="center"/>
                    <w:rPr>
                      <w:color w:val="000000"/>
                      <w:kern w:val="0"/>
                      <w:szCs w:val="21"/>
                    </w:rPr>
                  </w:pPr>
                  <w:r>
                    <w:rPr>
                      <w:color w:val="000000"/>
                      <w:kern w:val="0"/>
                      <w:szCs w:val="21"/>
                    </w:rPr>
                    <w:t>60-65</w:t>
                  </w:r>
                </w:p>
              </w:tc>
              <w:tc>
                <w:tcPr>
                  <w:tcW w:w="733" w:type="dxa"/>
                  <w:vMerge w:val="continue"/>
                  <w:tcBorders>
                    <w:left w:val="single" w:color="auto" w:sz="6" w:space="0"/>
                    <w:right w:val="single" w:color="auto" w:sz="6" w:space="0"/>
                  </w:tcBorders>
                  <w:vAlign w:val="center"/>
                </w:tcPr>
                <w:p w14:paraId="6993EAEA">
                  <w:pPr>
                    <w:widowControl/>
                    <w:adjustRightInd w:val="0"/>
                    <w:snapToGrid w:val="0"/>
                    <w:jc w:val="center"/>
                    <w:rPr>
                      <w:bCs/>
                      <w:color w:val="000000"/>
                      <w:szCs w:val="21"/>
                    </w:rPr>
                  </w:pPr>
                </w:p>
              </w:tc>
              <w:tc>
                <w:tcPr>
                  <w:tcW w:w="644" w:type="dxa"/>
                  <w:tcBorders>
                    <w:top w:val="single" w:color="auto" w:sz="6" w:space="0"/>
                    <w:left w:val="single" w:color="auto" w:sz="6" w:space="0"/>
                    <w:bottom w:val="single" w:color="auto" w:sz="6" w:space="0"/>
                    <w:right w:val="single" w:color="auto" w:sz="6" w:space="0"/>
                  </w:tcBorders>
                  <w:vAlign w:val="center"/>
                </w:tcPr>
                <w:p w14:paraId="4676A39A">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249506C9">
                  <w:pPr>
                    <w:jc w:val="center"/>
                    <w:rPr>
                      <w:bCs/>
                      <w:color w:val="000000"/>
                      <w:szCs w:val="21"/>
                    </w:rPr>
                  </w:pPr>
                  <w:r>
                    <w:rPr>
                      <w:bCs/>
                      <w:color w:val="000000"/>
                      <w:szCs w:val="21"/>
                    </w:rPr>
                    <w:t>50-55</w:t>
                  </w:r>
                </w:p>
              </w:tc>
              <w:tc>
                <w:tcPr>
                  <w:tcW w:w="402" w:type="dxa"/>
                  <w:tcBorders>
                    <w:top w:val="single" w:color="auto" w:sz="6" w:space="0"/>
                    <w:left w:val="single" w:color="auto" w:sz="6" w:space="0"/>
                    <w:bottom w:val="single" w:color="auto" w:sz="6" w:space="0"/>
                    <w:right w:val="single" w:color="auto" w:sz="12" w:space="0"/>
                  </w:tcBorders>
                  <w:vAlign w:val="center"/>
                </w:tcPr>
                <w:p w14:paraId="42E5287B">
                  <w:pPr>
                    <w:pStyle w:val="50"/>
                    <w:spacing w:beforeLines="0" w:line="240" w:lineRule="auto"/>
                    <w:rPr>
                      <w:rFonts w:ascii="Times New Roman" w:hAnsi="Times New Roman"/>
                      <w:bCs/>
                      <w:color w:val="000000"/>
                      <w:szCs w:val="21"/>
                    </w:rPr>
                  </w:pPr>
                  <w:r>
                    <w:rPr>
                      <w:rFonts w:ascii="Times New Roman" w:hAnsi="Times New Roman"/>
                      <w:bCs/>
                      <w:color w:val="000000"/>
                      <w:szCs w:val="21"/>
                    </w:rPr>
                    <w:t>1</w:t>
                  </w:r>
                </w:p>
              </w:tc>
            </w:tr>
            <w:tr w14:paraId="537FBA9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dxa"/>
                  <w:tcBorders>
                    <w:top w:val="single" w:color="auto" w:sz="6" w:space="0"/>
                    <w:left w:val="single" w:color="auto" w:sz="12" w:space="0"/>
                    <w:bottom w:val="single" w:color="auto" w:sz="6" w:space="0"/>
                    <w:right w:val="single" w:color="auto" w:sz="6" w:space="0"/>
                  </w:tcBorders>
                  <w:vAlign w:val="center"/>
                </w:tcPr>
                <w:p w14:paraId="45C95301">
                  <w:pPr>
                    <w:widowControl/>
                    <w:adjustRightInd w:val="0"/>
                    <w:snapToGrid w:val="0"/>
                    <w:jc w:val="center"/>
                    <w:rPr>
                      <w:bCs/>
                      <w:color w:val="000000"/>
                      <w:szCs w:val="21"/>
                    </w:rPr>
                  </w:pPr>
                  <w:r>
                    <w:rPr>
                      <w:bCs/>
                      <w:color w:val="000000"/>
                      <w:szCs w:val="21"/>
                    </w:rPr>
                    <w:t>36</w:t>
                  </w:r>
                </w:p>
              </w:tc>
              <w:tc>
                <w:tcPr>
                  <w:tcW w:w="431" w:type="dxa"/>
                  <w:vMerge w:val="continue"/>
                  <w:tcBorders>
                    <w:left w:val="single" w:color="auto" w:sz="6" w:space="0"/>
                    <w:right w:val="single" w:color="auto" w:sz="6" w:space="0"/>
                  </w:tcBorders>
                  <w:vAlign w:val="center"/>
                </w:tcPr>
                <w:p w14:paraId="307A181B">
                  <w:pPr>
                    <w:jc w:val="center"/>
                    <w:rPr>
                      <w:color w:val="000000"/>
                      <w:szCs w:val="21"/>
                    </w:rPr>
                  </w:pPr>
                </w:p>
              </w:tc>
              <w:tc>
                <w:tcPr>
                  <w:tcW w:w="707" w:type="dxa"/>
                  <w:tcBorders>
                    <w:top w:val="single" w:color="auto" w:sz="6" w:space="0"/>
                    <w:left w:val="single" w:color="auto" w:sz="6" w:space="0"/>
                    <w:bottom w:val="single" w:color="auto" w:sz="6" w:space="0"/>
                    <w:right w:val="single" w:color="auto" w:sz="6" w:space="0"/>
                  </w:tcBorders>
                  <w:vAlign w:val="center"/>
                </w:tcPr>
                <w:p w14:paraId="66784C5B">
                  <w:pPr>
                    <w:jc w:val="center"/>
                    <w:rPr>
                      <w:color w:val="000000"/>
                      <w:szCs w:val="21"/>
                    </w:rPr>
                  </w:pPr>
                  <w:r>
                    <w:rPr>
                      <w:color w:val="000000"/>
                      <w:szCs w:val="21"/>
                    </w:rPr>
                    <w:t>清洗过水机</w:t>
                  </w:r>
                </w:p>
              </w:tc>
              <w:tc>
                <w:tcPr>
                  <w:tcW w:w="480" w:type="dxa"/>
                  <w:tcBorders>
                    <w:top w:val="single" w:color="auto" w:sz="6" w:space="0"/>
                    <w:left w:val="single" w:color="auto" w:sz="6" w:space="0"/>
                    <w:bottom w:val="single" w:color="auto" w:sz="6" w:space="0"/>
                    <w:right w:val="single" w:color="auto" w:sz="6" w:space="0"/>
                  </w:tcBorders>
                  <w:vAlign w:val="center"/>
                </w:tcPr>
                <w:p w14:paraId="2B709FD9">
                  <w:pPr>
                    <w:jc w:val="center"/>
                    <w:rPr>
                      <w:color w:val="000000"/>
                      <w:szCs w:val="21"/>
                    </w:rPr>
                  </w:pPr>
                  <w:r>
                    <w:rPr>
                      <w:color w:val="000000"/>
                      <w:szCs w:val="21"/>
                    </w:rPr>
                    <w:t>1</w:t>
                  </w:r>
                </w:p>
              </w:tc>
              <w:tc>
                <w:tcPr>
                  <w:tcW w:w="760" w:type="dxa"/>
                  <w:tcBorders>
                    <w:top w:val="single" w:color="auto" w:sz="6" w:space="0"/>
                    <w:left w:val="single" w:color="auto" w:sz="6" w:space="0"/>
                    <w:bottom w:val="single" w:color="auto" w:sz="6" w:space="0"/>
                    <w:right w:val="single" w:color="auto" w:sz="6" w:space="0"/>
                  </w:tcBorders>
                  <w:vAlign w:val="center"/>
                </w:tcPr>
                <w:p w14:paraId="4E54EBA8">
                  <w:pPr>
                    <w:adjustRightInd w:val="0"/>
                    <w:snapToGrid w:val="0"/>
                    <w:jc w:val="center"/>
                    <w:rPr>
                      <w:color w:val="000000"/>
                      <w:szCs w:val="21"/>
                    </w:rPr>
                  </w:pPr>
                  <w:r>
                    <w:rPr>
                      <w:color w:val="000000"/>
                      <w:szCs w:val="21"/>
                    </w:rPr>
                    <w:t>65-75</w:t>
                  </w:r>
                </w:p>
              </w:tc>
              <w:tc>
                <w:tcPr>
                  <w:tcW w:w="520" w:type="dxa"/>
                  <w:vMerge w:val="continue"/>
                  <w:tcBorders>
                    <w:left w:val="single" w:color="auto" w:sz="6" w:space="0"/>
                    <w:right w:val="single" w:color="auto" w:sz="6" w:space="0"/>
                  </w:tcBorders>
                  <w:vAlign w:val="center"/>
                </w:tcPr>
                <w:p w14:paraId="7D945BB2">
                  <w:pPr>
                    <w:widowControl/>
                    <w:adjustRightInd w:val="0"/>
                    <w:snapToGrid w:val="0"/>
                    <w:jc w:val="center"/>
                    <w:rPr>
                      <w:color w:val="000000"/>
                      <w:szCs w:val="21"/>
                    </w:rPr>
                  </w:pPr>
                </w:p>
              </w:tc>
              <w:tc>
                <w:tcPr>
                  <w:tcW w:w="586" w:type="dxa"/>
                  <w:tcBorders>
                    <w:top w:val="single" w:color="auto" w:sz="6" w:space="0"/>
                    <w:left w:val="single" w:color="auto" w:sz="6" w:space="0"/>
                    <w:bottom w:val="single" w:color="auto" w:sz="6" w:space="0"/>
                    <w:right w:val="single" w:color="auto" w:sz="6" w:space="0"/>
                  </w:tcBorders>
                  <w:vAlign w:val="center"/>
                </w:tcPr>
                <w:p w14:paraId="3D9B3832">
                  <w:pPr>
                    <w:pStyle w:val="50"/>
                    <w:spacing w:beforeLines="0" w:line="240" w:lineRule="auto"/>
                    <w:rPr>
                      <w:rFonts w:ascii="Times New Roman" w:hAnsi="Times New Roman"/>
                      <w:bCs/>
                      <w:color w:val="000000"/>
                      <w:szCs w:val="21"/>
                    </w:rPr>
                  </w:pPr>
                  <w:r>
                    <w:rPr>
                      <w:rFonts w:ascii="Times New Roman" w:hAnsi="Times New Roman"/>
                      <w:bCs/>
                      <w:color w:val="000000"/>
                      <w:szCs w:val="21"/>
                    </w:rPr>
                    <w:t>168.25</w:t>
                  </w:r>
                </w:p>
              </w:tc>
              <w:tc>
                <w:tcPr>
                  <w:tcW w:w="534" w:type="dxa"/>
                  <w:tcBorders>
                    <w:top w:val="single" w:color="auto" w:sz="6" w:space="0"/>
                    <w:left w:val="single" w:color="auto" w:sz="6" w:space="0"/>
                    <w:bottom w:val="single" w:color="auto" w:sz="6" w:space="0"/>
                    <w:right w:val="single" w:color="auto" w:sz="6" w:space="0"/>
                  </w:tcBorders>
                  <w:vAlign w:val="center"/>
                </w:tcPr>
                <w:p w14:paraId="004A8CEA">
                  <w:pPr>
                    <w:pStyle w:val="50"/>
                    <w:spacing w:beforeLines="0" w:line="240" w:lineRule="auto"/>
                    <w:rPr>
                      <w:rFonts w:ascii="Times New Roman" w:hAnsi="Times New Roman"/>
                      <w:bCs/>
                      <w:color w:val="000000"/>
                      <w:szCs w:val="21"/>
                    </w:rPr>
                  </w:pPr>
                  <w:r>
                    <w:rPr>
                      <w:rFonts w:ascii="Times New Roman" w:hAnsi="Times New Roman"/>
                      <w:bCs/>
                      <w:color w:val="000000"/>
                      <w:szCs w:val="21"/>
                    </w:rPr>
                    <w:t>-127.54</w:t>
                  </w:r>
                </w:p>
              </w:tc>
              <w:tc>
                <w:tcPr>
                  <w:tcW w:w="533" w:type="dxa"/>
                  <w:tcBorders>
                    <w:top w:val="single" w:color="auto" w:sz="6" w:space="0"/>
                    <w:left w:val="single" w:color="auto" w:sz="6" w:space="0"/>
                    <w:bottom w:val="single" w:color="auto" w:sz="6" w:space="0"/>
                    <w:right w:val="single" w:color="auto" w:sz="6" w:space="0"/>
                  </w:tcBorders>
                  <w:vAlign w:val="center"/>
                </w:tcPr>
                <w:p w14:paraId="04DA39F5">
                  <w:pPr>
                    <w:jc w:val="center"/>
                    <w:rPr>
                      <w:szCs w:val="21"/>
                    </w:rPr>
                  </w:pPr>
                  <w:r>
                    <w:rPr>
                      <w:rFonts w:hint="eastAsia"/>
                      <w:bCs/>
                      <w:color w:val="000000"/>
                      <w:szCs w:val="21"/>
                    </w:rPr>
                    <w:t>4.5</w:t>
                  </w:r>
                </w:p>
              </w:tc>
              <w:tc>
                <w:tcPr>
                  <w:tcW w:w="517" w:type="dxa"/>
                  <w:tcBorders>
                    <w:top w:val="single" w:color="auto" w:sz="6" w:space="0"/>
                    <w:left w:val="single" w:color="auto" w:sz="6" w:space="0"/>
                    <w:bottom w:val="single" w:color="auto" w:sz="6" w:space="0"/>
                    <w:right w:val="single" w:color="auto" w:sz="6" w:space="0"/>
                  </w:tcBorders>
                  <w:vAlign w:val="center"/>
                </w:tcPr>
                <w:p w14:paraId="31C740CF">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690FA4CE">
                  <w:pPr>
                    <w:jc w:val="center"/>
                    <w:rPr>
                      <w:color w:val="000000"/>
                      <w:kern w:val="0"/>
                      <w:szCs w:val="21"/>
                    </w:rPr>
                  </w:pPr>
                  <w:r>
                    <w:rPr>
                      <w:color w:val="000000"/>
                      <w:kern w:val="0"/>
                      <w:szCs w:val="21"/>
                    </w:rPr>
                    <w:t>50-60</w:t>
                  </w:r>
                </w:p>
              </w:tc>
              <w:tc>
                <w:tcPr>
                  <w:tcW w:w="733" w:type="dxa"/>
                  <w:vMerge w:val="continue"/>
                  <w:tcBorders>
                    <w:left w:val="single" w:color="auto" w:sz="6" w:space="0"/>
                    <w:right w:val="single" w:color="auto" w:sz="6" w:space="0"/>
                  </w:tcBorders>
                  <w:vAlign w:val="center"/>
                </w:tcPr>
                <w:p w14:paraId="6656C97E">
                  <w:pPr>
                    <w:widowControl/>
                    <w:adjustRightInd w:val="0"/>
                    <w:snapToGrid w:val="0"/>
                    <w:jc w:val="center"/>
                    <w:rPr>
                      <w:bCs/>
                      <w:color w:val="000000"/>
                      <w:szCs w:val="21"/>
                    </w:rPr>
                  </w:pPr>
                </w:p>
              </w:tc>
              <w:tc>
                <w:tcPr>
                  <w:tcW w:w="644" w:type="dxa"/>
                  <w:tcBorders>
                    <w:top w:val="single" w:color="auto" w:sz="6" w:space="0"/>
                    <w:left w:val="single" w:color="auto" w:sz="6" w:space="0"/>
                    <w:bottom w:val="single" w:color="auto" w:sz="6" w:space="0"/>
                    <w:right w:val="single" w:color="auto" w:sz="6" w:space="0"/>
                  </w:tcBorders>
                  <w:vAlign w:val="center"/>
                </w:tcPr>
                <w:p w14:paraId="17B80712">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22B51E04">
                  <w:pPr>
                    <w:jc w:val="center"/>
                    <w:rPr>
                      <w:bCs/>
                      <w:color w:val="000000"/>
                      <w:szCs w:val="21"/>
                    </w:rPr>
                  </w:pPr>
                  <w:r>
                    <w:rPr>
                      <w:bCs/>
                      <w:color w:val="000000"/>
                      <w:szCs w:val="21"/>
                    </w:rPr>
                    <w:t>45-55</w:t>
                  </w:r>
                </w:p>
              </w:tc>
              <w:tc>
                <w:tcPr>
                  <w:tcW w:w="402" w:type="dxa"/>
                  <w:tcBorders>
                    <w:top w:val="single" w:color="auto" w:sz="6" w:space="0"/>
                    <w:left w:val="single" w:color="auto" w:sz="6" w:space="0"/>
                    <w:bottom w:val="single" w:color="auto" w:sz="6" w:space="0"/>
                    <w:right w:val="single" w:color="auto" w:sz="12" w:space="0"/>
                  </w:tcBorders>
                  <w:vAlign w:val="center"/>
                </w:tcPr>
                <w:p w14:paraId="33D5B5A3">
                  <w:pPr>
                    <w:pStyle w:val="50"/>
                    <w:spacing w:beforeLines="0" w:line="240" w:lineRule="auto"/>
                    <w:rPr>
                      <w:rFonts w:ascii="Times New Roman" w:hAnsi="Times New Roman"/>
                      <w:bCs/>
                      <w:color w:val="000000"/>
                      <w:szCs w:val="21"/>
                    </w:rPr>
                  </w:pPr>
                  <w:r>
                    <w:rPr>
                      <w:rFonts w:ascii="Times New Roman" w:hAnsi="Times New Roman"/>
                      <w:bCs/>
                      <w:color w:val="000000"/>
                      <w:szCs w:val="21"/>
                    </w:rPr>
                    <w:t>1</w:t>
                  </w:r>
                </w:p>
              </w:tc>
            </w:tr>
            <w:tr w14:paraId="7A59DEB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dxa"/>
                  <w:tcBorders>
                    <w:top w:val="single" w:color="auto" w:sz="6" w:space="0"/>
                    <w:left w:val="single" w:color="auto" w:sz="12" w:space="0"/>
                    <w:bottom w:val="single" w:color="auto" w:sz="6" w:space="0"/>
                    <w:right w:val="single" w:color="auto" w:sz="6" w:space="0"/>
                  </w:tcBorders>
                  <w:vAlign w:val="center"/>
                </w:tcPr>
                <w:p w14:paraId="60F3B5E4">
                  <w:pPr>
                    <w:widowControl/>
                    <w:adjustRightInd w:val="0"/>
                    <w:snapToGrid w:val="0"/>
                    <w:jc w:val="center"/>
                    <w:rPr>
                      <w:bCs/>
                      <w:color w:val="000000"/>
                      <w:szCs w:val="21"/>
                    </w:rPr>
                  </w:pPr>
                  <w:r>
                    <w:rPr>
                      <w:bCs/>
                      <w:color w:val="000000"/>
                      <w:szCs w:val="21"/>
                    </w:rPr>
                    <w:t>37</w:t>
                  </w:r>
                </w:p>
              </w:tc>
              <w:tc>
                <w:tcPr>
                  <w:tcW w:w="431" w:type="dxa"/>
                  <w:vMerge w:val="continue"/>
                  <w:tcBorders>
                    <w:left w:val="single" w:color="auto" w:sz="6" w:space="0"/>
                    <w:right w:val="single" w:color="auto" w:sz="6" w:space="0"/>
                  </w:tcBorders>
                  <w:vAlign w:val="center"/>
                </w:tcPr>
                <w:p w14:paraId="76A46501">
                  <w:pPr>
                    <w:jc w:val="center"/>
                    <w:rPr>
                      <w:color w:val="000000"/>
                      <w:szCs w:val="21"/>
                    </w:rPr>
                  </w:pPr>
                </w:p>
              </w:tc>
              <w:tc>
                <w:tcPr>
                  <w:tcW w:w="707" w:type="dxa"/>
                  <w:tcBorders>
                    <w:top w:val="single" w:color="auto" w:sz="6" w:space="0"/>
                    <w:left w:val="single" w:color="auto" w:sz="6" w:space="0"/>
                    <w:bottom w:val="single" w:color="auto" w:sz="6" w:space="0"/>
                    <w:right w:val="single" w:color="auto" w:sz="6" w:space="0"/>
                  </w:tcBorders>
                  <w:vAlign w:val="center"/>
                </w:tcPr>
                <w:p w14:paraId="6C2C1126">
                  <w:pPr>
                    <w:jc w:val="center"/>
                    <w:rPr>
                      <w:color w:val="000000"/>
                      <w:szCs w:val="21"/>
                    </w:rPr>
                  </w:pPr>
                  <w:r>
                    <w:rPr>
                      <w:color w:val="000000"/>
                      <w:szCs w:val="21"/>
                    </w:rPr>
                    <w:t>第二次过水机</w:t>
                  </w:r>
                </w:p>
              </w:tc>
              <w:tc>
                <w:tcPr>
                  <w:tcW w:w="480" w:type="dxa"/>
                  <w:tcBorders>
                    <w:top w:val="single" w:color="auto" w:sz="6" w:space="0"/>
                    <w:left w:val="single" w:color="auto" w:sz="6" w:space="0"/>
                    <w:bottom w:val="single" w:color="auto" w:sz="6" w:space="0"/>
                    <w:right w:val="single" w:color="auto" w:sz="6" w:space="0"/>
                  </w:tcBorders>
                  <w:vAlign w:val="center"/>
                </w:tcPr>
                <w:p w14:paraId="09D8AA01">
                  <w:pPr>
                    <w:jc w:val="center"/>
                    <w:rPr>
                      <w:color w:val="000000"/>
                      <w:szCs w:val="21"/>
                    </w:rPr>
                  </w:pPr>
                  <w:r>
                    <w:rPr>
                      <w:color w:val="000000"/>
                      <w:szCs w:val="21"/>
                    </w:rPr>
                    <w:t>1</w:t>
                  </w:r>
                </w:p>
              </w:tc>
              <w:tc>
                <w:tcPr>
                  <w:tcW w:w="760" w:type="dxa"/>
                  <w:tcBorders>
                    <w:top w:val="single" w:color="auto" w:sz="6" w:space="0"/>
                    <w:left w:val="single" w:color="auto" w:sz="6" w:space="0"/>
                    <w:bottom w:val="single" w:color="auto" w:sz="6" w:space="0"/>
                    <w:right w:val="single" w:color="auto" w:sz="6" w:space="0"/>
                  </w:tcBorders>
                  <w:vAlign w:val="center"/>
                </w:tcPr>
                <w:p w14:paraId="18B030B8">
                  <w:pPr>
                    <w:adjustRightInd w:val="0"/>
                    <w:snapToGrid w:val="0"/>
                    <w:jc w:val="center"/>
                    <w:rPr>
                      <w:color w:val="000000"/>
                      <w:szCs w:val="21"/>
                    </w:rPr>
                  </w:pPr>
                  <w:r>
                    <w:rPr>
                      <w:color w:val="000000"/>
                      <w:szCs w:val="21"/>
                    </w:rPr>
                    <w:t>65-75</w:t>
                  </w:r>
                </w:p>
              </w:tc>
              <w:tc>
                <w:tcPr>
                  <w:tcW w:w="520" w:type="dxa"/>
                  <w:vMerge w:val="continue"/>
                  <w:tcBorders>
                    <w:left w:val="single" w:color="auto" w:sz="6" w:space="0"/>
                    <w:right w:val="single" w:color="auto" w:sz="6" w:space="0"/>
                  </w:tcBorders>
                  <w:vAlign w:val="center"/>
                </w:tcPr>
                <w:p w14:paraId="600BD8FF">
                  <w:pPr>
                    <w:widowControl/>
                    <w:adjustRightInd w:val="0"/>
                    <w:snapToGrid w:val="0"/>
                    <w:jc w:val="center"/>
                    <w:rPr>
                      <w:color w:val="000000"/>
                      <w:szCs w:val="21"/>
                    </w:rPr>
                  </w:pPr>
                </w:p>
              </w:tc>
              <w:tc>
                <w:tcPr>
                  <w:tcW w:w="586" w:type="dxa"/>
                  <w:tcBorders>
                    <w:top w:val="single" w:color="auto" w:sz="6" w:space="0"/>
                    <w:left w:val="single" w:color="auto" w:sz="6" w:space="0"/>
                    <w:bottom w:val="single" w:color="auto" w:sz="6" w:space="0"/>
                    <w:right w:val="single" w:color="auto" w:sz="6" w:space="0"/>
                  </w:tcBorders>
                  <w:vAlign w:val="center"/>
                </w:tcPr>
                <w:p w14:paraId="2614FCDD">
                  <w:pPr>
                    <w:pStyle w:val="50"/>
                    <w:spacing w:beforeLines="0" w:line="240" w:lineRule="auto"/>
                    <w:rPr>
                      <w:rFonts w:ascii="Times New Roman" w:hAnsi="Times New Roman"/>
                      <w:bCs/>
                      <w:color w:val="000000"/>
                      <w:szCs w:val="21"/>
                    </w:rPr>
                  </w:pPr>
                  <w:r>
                    <w:rPr>
                      <w:rFonts w:ascii="Times New Roman" w:hAnsi="Times New Roman"/>
                      <w:bCs/>
                      <w:color w:val="000000"/>
                      <w:szCs w:val="21"/>
                    </w:rPr>
                    <w:t>154.03</w:t>
                  </w:r>
                </w:p>
              </w:tc>
              <w:tc>
                <w:tcPr>
                  <w:tcW w:w="534" w:type="dxa"/>
                  <w:tcBorders>
                    <w:top w:val="single" w:color="auto" w:sz="6" w:space="0"/>
                    <w:left w:val="single" w:color="auto" w:sz="6" w:space="0"/>
                    <w:bottom w:val="single" w:color="auto" w:sz="6" w:space="0"/>
                    <w:right w:val="single" w:color="auto" w:sz="6" w:space="0"/>
                  </w:tcBorders>
                  <w:vAlign w:val="center"/>
                </w:tcPr>
                <w:p w14:paraId="3445BAA7">
                  <w:pPr>
                    <w:pStyle w:val="50"/>
                    <w:spacing w:beforeLines="0" w:line="240" w:lineRule="auto"/>
                    <w:rPr>
                      <w:rFonts w:ascii="Times New Roman" w:hAnsi="Times New Roman"/>
                      <w:bCs/>
                      <w:color w:val="000000"/>
                      <w:szCs w:val="21"/>
                    </w:rPr>
                  </w:pPr>
                  <w:r>
                    <w:rPr>
                      <w:rFonts w:ascii="Times New Roman" w:hAnsi="Times New Roman"/>
                      <w:bCs/>
                      <w:color w:val="000000"/>
                      <w:szCs w:val="21"/>
                    </w:rPr>
                    <w:t>-126.85</w:t>
                  </w:r>
                </w:p>
              </w:tc>
              <w:tc>
                <w:tcPr>
                  <w:tcW w:w="533" w:type="dxa"/>
                  <w:tcBorders>
                    <w:top w:val="single" w:color="auto" w:sz="6" w:space="0"/>
                    <w:left w:val="single" w:color="auto" w:sz="6" w:space="0"/>
                    <w:bottom w:val="single" w:color="auto" w:sz="6" w:space="0"/>
                    <w:right w:val="single" w:color="auto" w:sz="6" w:space="0"/>
                  </w:tcBorders>
                  <w:vAlign w:val="center"/>
                </w:tcPr>
                <w:p w14:paraId="6D8C720C">
                  <w:pPr>
                    <w:jc w:val="center"/>
                    <w:rPr>
                      <w:szCs w:val="21"/>
                    </w:rPr>
                  </w:pPr>
                  <w:r>
                    <w:rPr>
                      <w:rFonts w:hint="eastAsia"/>
                      <w:bCs/>
                      <w:color w:val="000000"/>
                      <w:szCs w:val="21"/>
                    </w:rPr>
                    <w:t>4.5</w:t>
                  </w:r>
                </w:p>
              </w:tc>
              <w:tc>
                <w:tcPr>
                  <w:tcW w:w="517" w:type="dxa"/>
                  <w:tcBorders>
                    <w:top w:val="single" w:color="auto" w:sz="6" w:space="0"/>
                    <w:left w:val="single" w:color="auto" w:sz="6" w:space="0"/>
                    <w:bottom w:val="single" w:color="auto" w:sz="6" w:space="0"/>
                    <w:right w:val="single" w:color="auto" w:sz="6" w:space="0"/>
                  </w:tcBorders>
                  <w:vAlign w:val="center"/>
                </w:tcPr>
                <w:p w14:paraId="5539EA55">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4A2EE0B7">
                  <w:pPr>
                    <w:jc w:val="center"/>
                    <w:rPr>
                      <w:color w:val="000000"/>
                      <w:kern w:val="0"/>
                      <w:szCs w:val="21"/>
                    </w:rPr>
                  </w:pPr>
                  <w:r>
                    <w:rPr>
                      <w:color w:val="000000"/>
                      <w:kern w:val="0"/>
                      <w:szCs w:val="21"/>
                    </w:rPr>
                    <w:t>50-60</w:t>
                  </w:r>
                </w:p>
              </w:tc>
              <w:tc>
                <w:tcPr>
                  <w:tcW w:w="733" w:type="dxa"/>
                  <w:vMerge w:val="continue"/>
                  <w:tcBorders>
                    <w:left w:val="single" w:color="auto" w:sz="6" w:space="0"/>
                    <w:right w:val="single" w:color="auto" w:sz="6" w:space="0"/>
                  </w:tcBorders>
                  <w:vAlign w:val="center"/>
                </w:tcPr>
                <w:p w14:paraId="585A4E6F">
                  <w:pPr>
                    <w:widowControl/>
                    <w:adjustRightInd w:val="0"/>
                    <w:snapToGrid w:val="0"/>
                    <w:jc w:val="center"/>
                    <w:rPr>
                      <w:bCs/>
                      <w:color w:val="000000"/>
                      <w:szCs w:val="21"/>
                    </w:rPr>
                  </w:pPr>
                </w:p>
              </w:tc>
              <w:tc>
                <w:tcPr>
                  <w:tcW w:w="644" w:type="dxa"/>
                  <w:tcBorders>
                    <w:top w:val="single" w:color="auto" w:sz="6" w:space="0"/>
                    <w:left w:val="single" w:color="auto" w:sz="6" w:space="0"/>
                    <w:bottom w:val="single" w:color="auto" w:sz="6" w:space="0"/>
                    <w:right w:val="single" w:color="auto" w:sz="6" w:space="0"/>
                  </w:tcBorders>
                  <w:vAlign w:val="center"/>
                </w:tcPr>
                <w:p w14:paraId="553F602D">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2C8C2D24">
                  <w:pPr>
                    <w:jc w:val="center"/>
                    <w:rPr>
                      <w:bCs/>
                      <w:color w:val="000000"/>
                      <w:szCs w:val="21"/>
                    </w:rPr>
                  </w:pPr>
                  <w:r>
                    <w:rPr>
                      <w:bCs/>
                      <w:color w:val="000000"/>
                      <w:szCs w:val="21"/>
                    </w:rPr>
                    <w:t>45-55</w:t>
                  </w:r>
                </w:p>
              </w:tc>
              <w:tc>
                <w:tcPr>
                  <w:tcW w:w="402" w:type="dxa"/>
                  <w:tcBorders>
                    <w:top w:val="single" w:color="auto" w:sz="6" w:space="0"/>
                    <w:left w:val="single" w:color="auto" w:sz="6" w:space="0"/>
                    <w:bottom w:val="single" w:color="auto" w:sz="6" w:space="0"/>
                    <w:right w:val="single" w:color="auto" w:sz="12" w:space="0"/>
                  </w:tcBorders>
                  <w:vAlign w:val="center"/>
                </w:tcPr>
                <w:p w14:paraId="1A59D039">
                  <w:pPr>
                    <w:pStyle w:val="50"/>
                    <w:spacing w:beforeLines="0" w:line="240" w:lineRule="auto"/>
                    <w:rPr>
                      <w:rFonts w:ascii="Times New Roman" w:hAnsi="Times New Roman"/>
                      <w:bCs/>
                      <w:color w:val="000000"/>
                      <w:szCs w:val="21"/>
                    </w:rPr>
                  </w:pPr>
                  <w:r>
                    <w:rPr>
                      <w:rFonts w:ascii="Times New Roman" w:hAnsi="Times New Roman"/>
                      <w:bCs/>
                      <w:color w:val="000000"/>
                      <w:szCs w:val="21"/>
                    </w:rPr>
                    <w:t>1</w:t>
                  </w:r>
                </w:p>
              </w:tc>
            </w:tr>
            <w:tr w14:paraId="33C6C0F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dxa"/>
                  <w:tcBorders>
                    <w:top w:val="single" w:color="auto" w:sz="6" w:space="0"/>
                    <w:left w:val="single" w:color="auto" w:sz="12" w:space="0"/>
                    <w:bottom w:val="single" w:color="auto" w:sz="6" w:space="0"/>
                    <w:right w:val="single" w:color="auto" w:sz="6" w:space="0"/>
                  </w:tcBorders>
                  <w:vAlign w:val="center"/>
                </w:tcPr>
                <w:p w14:paraId="7EC1B24B">
                  <w:pPr>
                    <w:widowControl/>
                    <w:adjustRightInd w:val="0"/>
                    <w:snapToGrid w:val="0"/>
                    <w:jc w:val="center"/>
                    <w:rPr>
                      <w:bCs/>
                      <w:color w:val="000000"/>
                      <w:szCs w:val="21"/>
                    </w:rPr>
                  </w:pPr>
                  <w:r>
                    <w:rPr>
                      <w:bCs/>
                      <w:color w:val="000000"/>
                      <w:szCs w:val="21"/>
                    </w:rPr>
                    <w:t>38</w:t>
                  </w:r>
                </w:p>
              </w:tc>
              <w:tc>
                <w:tcPr>
                  <w:tcW w:w="431" w:type="dxa"/>
                  <w:vMerge w:val="continue"/>
                  <w:tcBorders>
                    <w:left w:val="single" w:color="auto" w:sz="6" w:space="0"/>
                    <w:right w:val="single" w:color="auto" w:sz="6" w:space="0"/>
                  </w:tcBorders>
                  <w:vAlign w:val="center"/>
                </w:tcPr>
                <w:p w14:paraId="40129442">
                  <w:pPr>
                    <w:jc w:val="center"/>
                    <w:rPr>
                      <w:color w:val="000000"/>
                      <w:szCs w:val="21"/>
                    </w:rPr>
                  </w:pPr>
                </w:p>
              </w:tc>
              <w:tc>
                <w:tcPr>
                  <w:tcW w:w="707" w:type="dxa"/>
                  <w:tcBorders>
                    <w:top w:val="single" w:color="auto" w:sz="6" w:space="0"/>
                    <w:left w:val="single" w:color="auto" w:sz="6" w:space="0"/>
                    <w:bottom w:val="single" w:color="auto" w:sz="6" w:space="0"/>
                    <w:right w:val="single" w:color="auto" w:sz="6" w:space="0"/>
                  </w:tcBorders>
                  <w:vAlign w:val="center"/>
                </w:tcPr>
                <w:p w14:paraId="74AADFA1">
                  <w:pPr>
                    <w:jc w:val="center"/>
                    <w:rPr>
                      <w:color w:val="000000"/>
                      <w:szCs w:val="21"/>
                    </w:rPr>
                  </w:pPr>
                  <w:r>
                    <w:rPr>
                      <w:color w:val="000000"/>
                      <w:szCs w:val="21"/>
                    </w:rPr>
                    <w:t>振动筛</w:t>
                  </w:r>
                </w:p>
              </w:tc>
              <w:tc>
                <w:tcPr>
                  <w:tcW w:w="480" w:type="dxa"/>
                  <w:tcBorders>
                    <w:top w:val="single" w:color="auto" w:sz="6" w:space="0"/>
                    <w:left w:val="single" w:color="auto" w:sz="6" w:space="0"/>
                    <w:bottom w:val="single" w:color="auto" w:sz="6" w:space="0"/>
                    <w:right w:val="single" w:color="auto" w:sz="6" w:space="0"/>
                  </w:tcBorders>
                  <w:vAlign w:val="center"/>
                </w:tcPr>
                <w:p w14:paraId="5551C30E">
                  <w:pPr>
                    <w:jc w:val="center"/>
                    <w:rPr>
                      <w:color w:val="000000"/>
                      <w:szCs w:val="21"/>
                    </w:rPr>
                  </w:pPr>
                  <w:r>
                    <w:rPr>
                      <w:color w:val="000000"/>
                      <w:szCs w:val="21"/>
                    </w:rPr>
                    <w:t>1</w:t>
                  </w:r>
                </w:p>
              </w:tc>
              <w:tc>
                <w:tcPr>
                  <w:tcW w:w="760" w:type="dxa"/>
                  <w:tcBorders>
                    <w:top w:val="single" w:color="auto" w:sz="6" w:space="0"/>
                    <w:left w:val="single" w:color="auto" w:sz="6" w:space="0"/>
                    <w:bottom w:val="single" w:color="auto" w:sz="6" w:space="0"/>
                    <w:right w:val="single" w:color="auto" w:sz="6" w:space="0"/>
                  </w:tcBorders>
                  <w:vAlign w:val="center"/>
                </w:tcPr>
                <w:p w14:paraId="64BB24C2">
                  <w:pPr>
                    <w:adjustRightInd w:val="0"/>
                    <w:snapToGrid w:val="0"/>
                    <w:jc w:val="center"/>
                    <w:rPr>
                      <w:color w:val="000000"/>
                      <w:szCs w:val="21"/>
                    </w:rPr>
                  </w:pPr>
                  <w:r>
                    <w:rPr>
                      <w:color w:val="000000"/>
                      <w:szCs w:val="21"/>
                    </w:rPr>
                    <w:t>70-80</w:t>
                  </w:r>
                </w:p>
              </w:tc>
              <w:tc>
                <w:tcPr>
                  <w:tcW w:w="520" w:type="dxa"/>
                  <w:vMerge w:val="continue"/>
                  <w:tcBorders>
                    <w:left w:val="single" w:color="auto" w:sz="6" w:space="0"/>
                    <w:right w:val="single" w:color="auto" w:sz="6" w:space="0"/>
                  </w:tcBorders>
                  <w:vAlign w:val="center"/>
                </w:tcPr>
                <w:p w14:paraId="5CC98075">
                  <w:pPr>
                    <w:widowControl/>
                    <w:adjustRightInd w:val="0"/>
                    <w:snapToGrid w:val="0"/>
                    <w:jc w:val="center"/>
                    <w:rPr>
                      <w:color w:val="000000"/>
                      <w:szCs w:val="21"/>
                    </w:rPr>
                  </w:pPr>
                </w:p>
              </w:tc>
              <w:tc>
                <w:tcPr>
                  <w:tcW w:w="586" w:type="dxa"/>
                  <w:tcBorders>
                    <w:top w:val="single" w:color="auto" w:sz="6" w:space="0"/>
                    <w:left w:val="single" w:color="auto" w:sz="6" w:space="0"/>
                    <w:bottom w:val="single" w:color="auto" w:sz="6" w:space="0"/>
                    <w:right w:val="single" w:color="auto" w:sz="6" w:space="0"/>
                  </w:tcBorders>
                  <w:vAlign w:val="center"/>
                </w:tcPr>
                <w:p w14:paraId="0DC3A721">
                  <w:pPr>
                    <w:pStyle w:val="50"/>
                    <w:spacing w:beforeLines="0" w:line="240" w:lineRule="auto"/>
                    <w:rPr>
                      <w:rFonts w:ascii="Times New Roman" w:hAnsi="Times New Roman"/>
                      <w:bCs/>
                      <w:color w:val="000000"/>
                      <w:szCs w:val="21"/>
                    </w:rPr>
                  </w:pPr>
                  <w:r>
                    <w:rPr>
                      <w:rFonts w:ascii="Times New Roman" w:hAnsi="Times New Roman"/>
                      <w:bCs/>
                      <w:color w:val="000000"/>
                      <w:szCs w:val="21"/>
                    </w:rPr>
                    <w:t>168.54</w:t>
                  </w:r>
                </w:p>
              </w:tc>
              <w:tc>
                <w:tcPr>
                  <w:tcW w:w="534" w:type="dxa"/>
                  <w:tcBorders>
                    <w:top w:val="single" w:color="auto" w:sz="6" w:space="0"/>
                    <w:left w:val="single" w:color="auto" w:sz="6" w:space="0"/>
                    <w:bottom w:val="single" w:color="auto" w:sz="6" w:space="0"/>
                    <w:right w:val="single" w:color="auto" w:sz="6" w:space="0"/>
                  </w:tcBorders>
                  <w:vAlign w:val="center"/>
                </w:tcPr>
                <w:p w14:paraId="6CC4757B">
                  <w:pPr>
                    <w:pStyle w:val="50"/>
                    <w:spacing w:beforeLines="0" w:line="240" w:lineRule="auto"/>
                    <w:rPr>
                      <w:rFonts w:ascii="Times New Roman" w:hAnsi="Times New Roman"/>
                      <w:bCs/>
                      <w:color w:val="000000"/>
                      <w:szCs w:val="21"/>
                    </w:rPr>
                  </w:pPr>
                  <w:r>
                    <w:rPr>
                      <w:rFonts w:ascii="Times New Roman" w:hAnsi="Times New Roman"/>
                      <w:bCs/>
                      <w:color w:val="000000"/>
                      <w:szCs w:val="21"/>
                    </w:rPr>
                    <w:t>-127.94</w:t>
                  </w:r>
                </w:p>
              </w:tc>
              <w:tc>
                <w:tcPr>
                  <w:tcW w:w="533" w:type="dxa"/>
                  <w:tcBorders>
                    <w:top w:val="single" w:color="auto" w:sz="6" w:space="0"/>
                    <w:left w:val="single" w:color="auto" w:sz="6" w:space="0"/>
                    <w:bottom w:val="single" w:color="auto" w:sz="6" w:space="0"/>
                    <w:right w:val="single" w:color="auto" w:sz="6" w:space="0"/>
                  </w:tcBorders>
                  <w:vAlign w:val="center"/>
                </w:tcPr>
                <w:p w14:paraId="100D3476">
                  <w:pPr>
                    <w:jc w:val="center"/>
                    <w:rPr>
                      <w:szCs w:val="21"/>
                    </w:rPr>
                  </w:pPr>
                  <w:r>
                    <w:rPr>
                      <w:rFonts w:hint="eastAsia"/>
                      <w:bCs/>
                      <w:color w:val="000000"/>
                      <w:szCs w:val="21"/>
                    </w:rPr>
                    <w:t>4.5</w:t>
                  </w:r>
                </w:p>
              </w:tc>
              <w:tc>
                <w:tcPr>
                  <w:tcW w:w="517" w:type="dxa"/>
                  <w:tcBorders>
                    <w:top w:val="single" w:color="auto" w:sz="6" w:space="0"/>
                    <w:left w:val="single" w:color="auto" w:sz="6" w:space="0"/>
                    <w:bottom w:val="single" w:color="auto" w:sz="6" w:space="0"/>
                    <w:right w:val="single" w:color="auto" w:sz="6" w:space="0"/>
                  </w:tcBorders>
                  <w:vAlign w:val="center"/>
                </w:tcPr>
                <w:p w14:paraId="5A724165">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63A30A71">
                  <w:pPr>
                    <w:jc w:val="center"/>
                    <w:rPr>
                      <w:color w:val="000000"/>
                      <w:kern w:val="0"/>
                      <w:szCs w:val="21"/>
                    </w:rPr>
                  </w:pPr>
                  <w:r>
                    <w:rPr>
                      <w:color w:val="000000"/>
                      <w:kern w:val="0"/>
                      <w:szCs w:val="21"/>
                    </w:rPr>
                    <w:t>60-65</w:t>
                  </w:r>
                </w:p>
              </w:tc>
              <w:tc>
                <w:tcPr>
                  <w:tcW w:w="733" w:type="dxa"/>
                  <w:vMerge w:val="continue"/>
                  <w:tcBorders>
                    <w:left w:val="single" w:color="auto" w:sz="6" w:space="0"/>
                    <w:right w:val="single" w:color="auto" w:sz="6" w:space="0"/>
                  </w:tcBorders>
                  <w:vAlign w:val="center"/>
                </w:tcPr>
                <w:p w14:paraId="5B83A5BC">
                  <w:pPr>
                    <w:widowControl/>
                    <w:adjustRightInd w:val="0"/>
                    <w:snapToGrid w:val="0"/>
                    <w:jc w:val="center"/>
                    <w:rPr>
                      <w:bCs/>
                      <w:color w:val="000000"/>
                      <w:szCs w:val="21"/>
                    </w:rPr>
                  </w:pPr>
                </w:p>
              </w:tc>
              <w:tc>
                <w:tcPr>
                  <w:tcW w:w="644" w:type="dxa"/>
                  <w:tcBorders>
                    <w:top w:val="single" w:color="auto" w:sz="6" w:space="0"/>
                    <w:left w:val="single" w:color="auto" w:sz="6" w:space="0"/>
                    <w:bottom w:val="single" w:color="auto" w:sz="6" w:space="0"/>
                    <w:right w:val="single" w:color="auto" w:sz="6" w:space="0"/>
                  </w:tcBorders>
                  <w:vAlign w:val="center"/>
                </w:tcPr>
                <w:p w14:paraId="6CA04957">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51B43934">
                  <w:pPr>
                    <w:jc w:val="center"/>
                    <w:rPr>
                      <w:bCs/>
                      <w:color w:val="000000"/>
                      <w:szCs w:val="21"/>
                    </w:rPr>
                  </w:pPr>
                  <w:r>
                    <w:rPr>
                      <w:bCs/>
                      <w:color w:val="000000"/>
                      <w:szCs w:val="21"/>
                    </w:rPr>
                    <w:t>50-55</w:t>
                  </w:r>
                </w:p>
              </w:tc>
              <w:tc>
                <w:tcPr>
                  <w:tcW w:w="402" w:type="dxa"/>
                  <w:tcBorders>
                    <w:top w:val="single" w:color="auto" w:sz="6" w:space="0"/>
                    <w:left w:val="single" w:color="auto" w:sz="6" w:space="0"/>
                    <w:bottom w:val="single" w:color="auto" w:sz="6" w:space="0"/>
                    <w:right w:val="single" w:color="auto" w:sz="12" w:space="0"/>
                  </w:tcBorders>
                  <w:vAlign w:val="center"/>
                </w:tcPr>
                <w:p w14:paraId="180D3E15">
                  <w:pPr>
                    <w:pStyle w:val="50"/>
                    <w:spacing w:beforeLines="0" w:line="240" w:lineRule="auto"/>
                    <w:rPr>
                      <w:rFonts w:ascii="Times New Roman" w:hAnsi="Times New Roman"/>
                      <w:bCs/>
                      <w:color w:val="000000"/>
                      <w:szCs w:val="21"/>
                    </w:rPr>
                  </w:pPr>
                  <w:r>
                    <w:rPr>
                      <w:rFonts w:ascii="Times New Roman" w:hAnsi="Times New Roman"/>
                      <w:bCs/>
                      <w:color w:val="000000"/>
                      <w:szCs w:val="21"/>
                    </w:rPr>
                    <w:t>1</w:t>
                  </w:r>
                </w:p>
              </w:tc>
            </w:tr>
            <w:tr w14:paraId="4AF5222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dxa"/>
                  <w:tcBorders>
                    <w:top w:val="single" w:color="auto" w:sz="6" w:space="0"/>
                    <w:left w:val="single" w:color="auto" w:sz="12" w:space="0"/>
                    <w:bottom w:val="single" w:color="auto" w:sz="6" w:space="0"/>
                    <w:right w:val="single" w:color="auto" w:sz="6" w:space="0"/>
                  </w:tcBorders>
                  <w:vAlign w:val="center"/>
                </w:tcPr>
                <w:p w14:paraId="445B654A">
                  <w:pPr>
                    <w:widowControl/>
                    <w:adjustRightInd w:val="0"/>
                    <w:snapToGrid w:val="0"/>
                    <w:jc w:val="center"/>
                    <w:rPr>
                      <w:bCs/>
                      <w:color w:val="000000"/>
                      <w:szCs w:val="21"/>
                    </w:rPr>
                  </w:pPr>
                  <w:r>
                    <w:rPr>
                      <w:bCs/>
                      <w:color w:val="000000"/>
                      <w:szCs w:val="21"/>
                    </w:rPr>
                    <w:t>39</w:t>
                  </w:r>
                </w:p>
              </w:tc>
              <w:tc>
                <w:tcPr>
                  <w:tcW w:w="431" w:type="dxa"/>
                  <w:vMerge w:val="continue"/>
                  <w:tcBorders>
                    <w:left w:val="single" w:color="auto" w:sz="6" w:space="0"/>
                    <w:right w:val="single" w:color="auto" w:sz="6" w:space="0"/>
                  </w:tcBorders>
                  <w:vAlign w:val="center"/>
                </w:tcPr>
                <w:p w14:paraId="08353762">
                  <w:pPr>
                    <w:jc w:val="center"/>
                    <w:rPr>
                      <w:color w:val="000000"/>
                      <w:szCs w:val="21"/>
                    </w:rPr>
                  </w:pPr>
                </w:p>
              </w:tc>
              <w:tc>
                <w:tcPr>
                  <w:tcW w:w="707" w:type="dxa"/>
                  <w:tcBorders>
                    <w:top w:val="single" w:color="auto" w:sz="6" w:space="0"/>
                    <w:left w:val="single" w:color="auto" w:sz="6" w:space="0"/>
                    <w:bottom w:val="single" w:color="auto" w:sz="6" w:space="0"/>
                    <w:right w:val="single" w:color="auto" w:sz="6" w:space="0"/>
                  </w:tcBorders>
                  <w:vAlign w:val="center"/>
                </w:tcPr>
                <w:p w14:paraId="46F7130D">
                  <w:pPr>
                    <w:jc w:val="center"/>
                    <w:rPr>
                      <w:color w:val="000000"/>
                      <w:szCs w:val="21"/>
                    </w:rPr>
                  </w:pPr>
                  <w:r>
                    <w:rPr>
                      <w:color w:val="000000"/>
                      <w:szCs w:val="21"/>
                    </w:rPr>
                    <w:t>正反传送带</w:t>
                  </w:r>
                </w:p>
              </w:tc>
              <w:tc>
                <w:tcPr>
                  <w:tcW w:w="480" w:type="dxa"/>
                  <w:tcBorders>
                    <w:top w:val="single" w:color="auto" w:sz="6" w:space="0"/>
                    <w:left w:val="single" w:color="auto" w:sz="6" w:space="0"/>
                    <w:bottom w:val="single" w:color="auto" w:sz="6" w:space="0"/>
                    <w:right w:val="single" w:color="auto" w:sz="6" w:space="0"/>
                  </w:tcBorders>
                  <w:vAlign w:val="center"/>
                </w:tcPr>
                <w:p w14:paraId="5F132A24">
                  <w:pPr>
                    <w:jc w:val="center"/>
                    <w:rPr>
                      <w:color w:val="000000"/>
                      <w:szCs w:val="21"/>
                    </w:rPr>
                  </w:pPr>
                  <w:r>
                    <w:rPr>
                      <w:color w:val="000000"/>
                      <w:szCs w:val="21"/>
                    </w:rPr>
                    <w:t>1</w:t>
                  </w:r>
                </w:p>
              </w:tc>
              <w:tc>
                <w:tcPr>
                  <w:tcW w:w="760" w:type="dxa"/>
                  <w:tcBorders>
                    <w:top w:val="single" w:color="auto" w:sz="6" w:space="0"/>
                    <w:left w:val="single" w:color="auto" w:sz="6" w:space="0"/>
                    <w:bottom w:val="single" w:color="auto" w:sz="6" w:space="0"/>
                    <w:right w:val="single" w:color="auto" w:sz="6" w:space="0"/>
                  </w:tcBorders>
                  <w:vAlign w:val="center"/>
                </w:tcPr>
                <w:p w14:paraId="056D9F6A">
                  <w:pPr>
                    <w:adjustRightInd w:val="0"/>
                    <w:snapToGrid w:val="0"/>
                    <w:jc w:val="center"/>
                    <w:rPr>
                      <w:color w:val="000000"/>
                      <w:szCs w:val="21"/>
                    </w:rPr>
                  </w:pPr>
                  <w:r>
                    <w:rPr>
                      <w:color w:val="000000"/>
                      <w:szCs w:val="21"/>
                    </w:rPr>
                    <w:t>70-80</w:t>
                  </w:r>
                </w:p>
              </w:tc>
              <w:tc>
                <w:tcPr>
                  <w:tcW w:w="520" w:type="dxa"/>
                  <w:vMerge w:val="continue"/>
                  <w:tcBorders>
                    <w:left w:val="single" w:color="auto" w:sz="6" w:space="0"/>
                    <w:right w:val="single" w:color="auto" w:sz="6" w:space="0"/>
                  </w:tcBorders>
                  <w:vAlign w:val="center"/>
                </w:tcPr>
                <w:p w14:paraId="7E90F05D">
                  <w:pPr>
                    <w:widowControl/>
                    <w:adjustRightInd w:val="0"/>
                    <w:snapToGrid w:val="0"/>
                    <w:jc w:val="center"/>
                    <w:rPr>
                      <w:color w:val="000000"/>
                      <w:szCs w:val="21"/>
                    </w:rPr>
                  </w:pPr>
                </w:p>
              </w:tc>
              <w:tc>
                <w:tcPr>
                  <w:tcW w:w="586" w:type="dxa"/>
                  <w:tcBorders>
                    <w:top w:val="single" w:color="auto" w:sz="6" w:space="0"/>
                    <w:left w:val="single" w:color="auto" w:sz="6" w:space="0"/>
                    <w:bottom w:val="single" w:color="auto" w:sz="6" w:space="0"/>
                    <w:right w:val="single" w:color="auto" w:sz="6" w:space="0"/>
                  </w:tcBorders>
                  <w:vAlign w:val="center"/>
                </w:tcPr>
                <w:p w14:paraId="0CB9F587">
                  <w:pPr>
                    <w:pStyle w:val="50"/>
                    <w:spacing w:beforeLines="0" w:line="240" w:lineRule="auto"/>
                    <w:rPr>
                      <w:rFonts w:ascii="Times New Roman" w:hAnsi="Times New Roman"/>
                      <w:bCs/>
                      <w:color w:val="000000"/>
                      <w:szCs w:val="21"/>
                    </w:rPr>
                  </w:pPr>
                  <w:r>
                    <w:rPr>
                      <w:rFonts w:ascii="Times New Roman" w:hAnsi="Times New Roman"/>
                      <w:bCs/>
                      <w:color w:val="000000"/>
                      <w:szCs w:val="21"/>
                    </w:rPr>
                    <w:t>-158.67</w:t>
                  </w:r>
                </w:p>
              </w:tc>
              <w:tc>
                <w:tcPr>
                  <w:tcW w:w="534" w:type="dxa"/>
                  <w:tcBorders>
                    <w:top w:val="single" w:color="auto" w:sz="6" w:space="0"/>
                    <w:left w:val="single" w:color="auto" w:sz="6" w:space="0"/>
                    <w:bottom w:val="single" w:color="auto" w:sz="6" w:space="0"/>
                    <w:right w:val="single" w:color="auto" w:sz="6" w:space="0"/>
                  </w:tcBorders>
                  <w:vAlign w:val="center"/>
                </w:tcPr>
                <w:p w14:paraId="5A1A97B5">
                  <w:pPr>
                    <w:pStyle w:val="50"/>
                    <w:spacing w:beforeLines="0" w:line="240" w:lineRule="auto"/>
                    <w:rPr>
                      <w:rFonts w:ascii="Times New Roman" w:hAnsi="Times New Roman"/>
                      <w:bCs/>
                      <w:color w:val="000000"/>
                      <w:szCs w:val="21"/>
                    </w:rPr>
                  </w:pPr>
                  <w:r>
                    <w:rPr>
                      <w:rFonts w:ascii="Times New Roman" w:hAnsi="Times New Roman"/>
                      <w:bCs/>
                      <w:color w:val="000000"/>
                      <w:szCs w:val="21"/>
                    </w:rPr>
                    <w:t>-105.49</w:t>
                  </w:r>
                </w:p>
              </w:tc>
              <w:tc>
                <w:tcPr>
                  <w:tcW w:w="533" w:type="dxa"/>
                  <w:tcBorders>
                    <w:top w:val="single" w:color="auto" w:sz="6" w:space="0"/>
                    <w:left w:val="single" w:color="auto" w:sz="6" w:space="0"/>
                    <w:bottom w:val="single" w:color="auto" w:sz="6" w:space="0"/>
                    <w:right w:val="single" w:color="auto" w:sz="6" w:space="0"/>
                  </w:tcBorders>
                  <w:vAlign w:val="center"/>
                </w:tcPr>
                <w:p w14:paraId="1B2D9D85">
                  <w:pPr>
                    <w:jc w:val="center"/>
                    <w:rPr>
                      <w:szCs w:val="21"/>
                    </w:rPr>
                  </w:pPr>
                  <w:r>
                    <w:rPr>
                      <w:rFonts w:hint="eastAsia"/>
                      <w:bCs/>
                      <w:color w:val="000000"/>
                      <w:szCs w:val="21"/>
                    </w:rPr>
                    <w:t>4.5</w:t>
                  </w:r>
                </w:p>
              </w:tc>
              <w:tc>
                <w:tcPr>
                  <w:tcW w:w="517" w:type="dxa"/>
                  <w:tcBorders>
                    <w:top w:val="single" w:color="auto" w:sz="6" w:space="0"/>
                    <w:left w:val="single" w:color="auto" w:sz="6" w:space="0"/>
                    <w:bottom w:val="single" w:color="auto" w:sz="6" w:space="0"/>
                    <w:right w:val="single" w:color="auto" w:sz="6" w:space="0"/>
                  </w:tcBorders>
                  <w:vAlign w:val="center"/>
                </w:tcPr>
                <w:p w14:paraId="6FD1CC0B">
                  <w:pPr>
                    <w:pStyle w:val="50"/>
                    <w:spacing w:beforeLines="0" w:line="240" w:lineRule="auto"/>
                    <w:rPr>
                      <w:rFonts w:ascii="Times New Roman" w:hAnsi="Times New Roman"/>
                      <w:bCs/>
                      <w:color w:val="000000"/>
                      <w:szCs w:val="21"/>
                    </w:rPr>
                  </w:pPr>
                  <w:r>
                    <w:rPr>
                      <w:rFonts w:ascii="Times New Roman" w:hAnsi="Times New Roman"/>
                      <w:bCs/>
                      <w:color w:val="000000"/>
                      <w:szCs w:val="21"/>
                    </w:rPr>
                    <w:t>5</w:t>
                  </w:r>
                </w:p>
              </w:tc>
              <w:tc>
                <w:tcPr>
                  <w:tcW w:w="644" w:type="dxa"/>
                  <w:tcBorders>
                    <w:top w:val="single" w:color="auto" w:sz="6" w:space="0"/>
                    <w:left w:val="single" w:color="auto" w:sz="6" w:space="0"/>
                    <w:bottom w:val="single" w:color="auto" w:sz="6" w:space="0"/>
                    <w:right w:val="single" w:color="auto" w:sz="6" w:space="0"/>
                  </w:tcBorders>
                  <w:vAlign w:val="center"/>
                </w:tcPr>
                <w:p w14:paraId="32C5ED43">
                  <w:pPr>
                    <w:jc w:val="center"/>
                    <w:rPr>
                      <w:color w:val="000000"/>
                      <w:kern w:val="0"/>
                      <w:szCs w:val="21"/>
                    </w:rPr>
                  </w:pPr>
                  <w:r>
                    <w:rPr>
                      <w:color w:val="000000"/>
                      <w:kern w:val="0"/>
                      <w:szCs w:val="21"/>
                    </w:rPr>
                    <w:t>60-65</w:t>
                  </w:r>
                </w:p>
              </w:tc>
              <w:tc>
                <w:tcPr>
                  <w:tcW w:w="733" w:type="dxa"/>
                  <w:vMerge w:val="continue"/>
                  <w:tcBorders>
                    <w:left w:val="single" w:color="auto" w:sz="6" w:space="0"/>
                    <w:right w:val="single" w:color="auto" w:sz="6" w:space="0"/>
                  </w:tcBorders>
                  <w:vAlign w:val="center"/>
                </w:tcPr>
                <w:p w14:paraId="2D5BB5FA">
                  <w:pPr>
                    <w:widowControl/>
                    <w:adjustRightInd w:val="0"/>
                    <w:snapToGrid w:val="0"/>
                    <w:jc w:val="center"/>
                    <w:rPr>
                      <w:bCs/>
                      <w:color w:val="000000"/>
                      <w:szCs w:val="21"/>
                    </w:rPr>
                  </w:pPr>
                </w:p>
              </w:tc>
              <w:tc>
                <w:tcPr>
                  <w:tcW w:w="644" w:type="dxa"/>
                  <w:tcBorders>
                    <w:top w:val="single" w:color="auto" w:sz="6" w:space="0"/>
                    <w:left w:val="single" w:color="auto" w:sz="6" w:space="0"/>
                    <w:bottom w:val="single" w:color="auto" w:sz="6" w:space="0"/>
                    <w:right w:val="single" w:color="auto" w:sz="6" w:space="0"/>
                  </w:tcBorders>
                  <w:vAlign w:val="center"/>
                </w:tcPr>
                <w:p w14:paraId="22442692">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58E50916">
                  <w:pPr>
                    <w:jc w:val="center"/>
                    <w:rPr>
                      <w:bCs/>
                      <w:color w:val="000000"/>
                      <w:szCs w:val="21"/>
                    </w:rPr>
                  </w:pPr>
                  <w:r>
                    <w:rPr>
                      <w:bCs/>
                      <w:color w:val="000000"/>
                      <w:szCs w:val="21"/>
                    </w:rPr>
                    <w:t>50-55</w:t>
                  </w:r>
                </w:p>
              </w:tc>
              <w:tc>
                <w:tcPr>
                  <w:tcW w:w="402" w:type="dxa"/>
                  <w:tcBorders>
                    <w:top w:val="single" w:color="auto" w:sz="6" w:space="0"/>
                    <w:left w:val="single" w:color="auto" w:sz="6" w:space="0"/>
                    <w:bottom w:val="single" w:color="auto" w:sz="6" w:space="0"/>
                    <w:right w:val="single" w:color="auto" w:sz="12" w:space="0"/>
                  </w:tcBorders>
                  <w:vAlign w:val="center"/>
                </w:tcPr>
                <w:p w14:paraId="1B31AE9E">
                  <w:pPr>
                    <w:pStyle w:val="50"/>
                    <w:spacing w:beforeLines="0" w:line="240" w:lineRule="auto"/>
                    <w:rPr>
                      <w:rFonts w:ascii="Times New Roman" w:hAnsi="Times New Roman"/>
                      <w:bCs/>
                      <w:color w:val="000000"/>
                      <w:szCs w:val="21"/>
                    </w:rPr>
                  </w:pPr>
                  <w:r>
                    <w:rPr>
                      <w:rFonts w:ascii="Times New Roman" w:hAnsi="Times New Roman"/>
                      <w:bCs/>
                      <w:color w:val="000000"/>
                      <w:szCs w:val="21"/>
                    </w:rPr>
                    <w:t>1</w:t>
                  </w:r>
                </w:p>
              </w:tc>
            </w:tr>
            <w:tr w14:paraId="049DBFF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dxa"/>
                  <w:tcBorders>
                    <w:top w:val="single" w:color="auto" w:sz="6" w:space="0"/>
                    <w:left w:val="single" w:color="auto" w:sz="12" w:space="0"/>
                    <w:bottom w:val="single" w:color="auto" w:sz="6" w:space="0"/>
                    <w:right w:val="single" w:color="auto" w:sz="6" w:space="0"/>
                  </w:tcBorders>
                  <w:vAlign w:val="center"/>
                </w:tcPr>
                <w:p w14:paraId="01A2FC05">
                  <w:pPr>
                    <w:widowControl/>
                    <w:adjustRightInd w:val="0"/>
                    <w:snapToGrid w:val="0"/>
                    <w:jc w:val="center"/>
                    <w:rPr>
                      <w:bCs/>
                      <w:color w:val="000000"/>
                      <w:szCs w:val="21"/>
                    </w:rPr>
                  </w:pPr>
                  <w:r>
                    <w:rPr>
                      <w:bCs/>
                      <w:color w:val="000000"/>
                      <w:szCs w:val="21"/>
                    </w:rPr>
                    <w:t>40</w:t>
                  </w:r>
                </w:p>
              </w:tc>
              <w:tc>
                <w:tcPr>
                  <w:tcW w:w="431" w:type="dxa"/>
                  <w:vMerge w:val="continue"/>
                  <w:tcBorders>
                    <w:left w:val="single" w:color="auto" w:sz="6" w:space="0"/>
                    <w:right w:val="single" w:color="auto" w:sz="6" w:space="0"/>
                  </w:tcBorders>
                  <w:vAlign w:val="center"/>
                </w:tcPr>
                <w:p w14:paraId="121723E7">
                  <w:pPr>
                    <w:jc w:val="center"/>
                    <w:rPr>
                      <w:color w:val="000000"/>
                      <w:szCs w:val="21"/>
                    </w:rPr>
                  </w:pPr>
                </w:p>
              </w:tc>
              <w:tc>
                <w:tcPr>
                  <w:tcW w:w="707" w:type="dxa"/>
                  <w:tcBorders>
                    <w:top w:val="single" w:color="auto" w:sz="6" w:space="0"/>
                    <w:left w:val="single" w:color="auto" w:sz="6" w:space="0"/>
                    <w:bottom w:val="single" w:color="auto" w:sz="6" w:space="0"/>
                    <w:right w:val="single" w:color="auto" w:sz="6" w:space="0"/>
                  </w:tcBorders>
                  <w:vAlign w:val="center"/>
                </w:tcPr>
                <w:p w14:paraId="62D0589B">
                  <w:pPr>
                    <w:jc w:val="center"/>
                    <w:rPr>
                      <w:color w:val="000000"/>
                      <w:szCs w:val="21"/>
                    </w:rPr>
                  </w:pPr>
                  <w:r>
                    <w:rPr>
                      <w:color w:val="000000"/>
                      <w:szCs w:val="21"/>
                    </w:rPr>
                    <w:t>提升机</w:t>
                  </w:r>
                </w:p>
              </w:tc>
              <w:tc>
                <w:tcPr>
                  <w:tcW w:w="480" w:type="dxa"/>
                  <w:tcBorders>
                    <w:top w:val="single" w:color="auto" w:sz="6" w:space="0"/>
                    <w:left w:val="single" w:color="auto" w:sz="6" w:space="0"/>
                    <w:bottom w:val="single" w:color="auto" w:sz="6" w:space="0"/>
                    <w:right w:val="single" w:color="auto" w:sz="6" w:space="0"/>
                  </w:tcBorders>
                  <w:vAlign w:val="center"/>
                </w:tcPr>
                <w:p w14:paraId="2C0229A8">
                  <w:pPr>
                    <w:jc w:val="center"/>
                    <w:rPr>
                      <w:color w:val="000000"/>
                      <w:szCs w:val="21"/>
                    </w:rPr>
                  </w:pPr>
                  <w:r>
                    <w:rPr>
                      <w:color w:val="000000"/>
                      <w:szCs w:val="21"/>
                    </w:rPr>
                    <w:t>1</w:t>
                  </w:r>
                </w:p>
              </w:tc>
              <w:tc>
                <w:tcPr>
                  <w:tcW w:w="760" w:type="dxa"/>
                  <w:tcBorders>
                    <w:top w:val="single" w:color="auto" w:sz="6" w:space="0"/>
                    <w:left w:val="single" w:color="auto" w:sz="6" w:space="0"/>
                    <w:bottom w:val="single" w:color="auto" w:sz="6" w:space="0"/>
                    <w:right w:val="single" w:color="auto" w:sz="6" w:space="0"/>
                  </w:tcBorders>
                  <w:vAlign w:val="center"/>
                </w:tcPr>
                <w:p w14:paraId="39881209">
                  <w:pPr>
                    <w:adjustRightInd w:val="0"/>
                    <w:snapToGrid w:val="0"/>
                    <w:jc w:val="center"/>
                    <w:rPr>
                      <w:color w:val="000000"/>
                      <w:szCs w:val="21"/>
                    </w:rPr>
                  </w:pPr>
                  <w:r>
                    <w:rPr>
                      <w:color w:val="000000"/>
                      <w:szCs w:val="21"/>
                    </w:rPr>
                    <w:t>70-80</w:t>
                  </w:r>
                </w:p>
              </w:tc>
              <w:tc>
                <w:tcPr>
                  <w:tcW w:w="520" w:type="dxa"/>
                  <w:vMerge w:val="continue"/>
                  <w:tcBorders>
                    <w:left w:val="single" w:color="auto" w:sz="6" w:space="0"/>
                    <w:right w:val="single" w:color="auto" w:sz="6" w:space="0"/>
                  </w:tcBorders>
                  <w:vAlign w:val="center"/>
                </w:tcPr>
                <w:p w14:paraId="674ED122">
                  <w:pPr>
                    <w:widowControl/>
                    <w:adjustRightInd w:val="0"/>
                    <w:snapToGrid w:val="0"/>
                    <w:jc w:val="center"/>
                    <w:rPr>
                      <w:color w:val="000000"/>
                      <w:szCs w:val="21"/>
                    </w:rPr>
                  </w:pPr>
                </w:p>
              </w:tc>
              <w:tc>
                <w:tcPr>
                  <w:tcW w:w="586" w:type="dxa"/>
                  <w:tcBorders>
                    <w:top w:val="single" w:color="auto" w:sz="6" w:space="0"/>
                    <w:left w:val="single" w:color="auto" w:sz="6" w:space="0"/>
                    <w:bottom w:val="single" w:color="auto" w:sz="6" w:space="0"/>
                    <w:right w:val="single" w:color="auto" w:sz="6" w:space="0"/>
                  </w:tcBorders>
                  <w:vAlign w:val="center"/>
                </w:tcPr>
                <w:p w14:paraId="231DAAB9">
                  <w:pPr>
                    <w:pStyle w:val="50"/>
                    <w:spacing w:beforeLines="0" w:line="240" w:lineRule="auto"/>
                    <w:rPr>
                      <w:rFonts w:ascii="Times New Roman" w:hAnsi="Times New Roman"/>
                      <w:bCs/>
                      <w:color w:val="000000"/>
                      <w:szCs w:val="21"/>
                    </w:rPr>
                  </w:pPr>
                  <w:r>
                    <w:rPr>
                      <w:rFonts w:ascii="Times New Roman" w:hAnsi="Times New Roman"/>
                      <w:bCs/>
                      <w:color w:val="000000"/>
                      <w:szCs w:val="21"/>
                    </w:rPr>
                    <w:t>-157.68</w:t>
                  </w:r>
                </w:p>
              </w:tc>
              <w:tc>
                <w:tcPr>
                  <w:tcW w:w="534" w:type="dxa"/>
                  <w:tcBorders>
                    <w:top w:val="single" w:color="auto" w:sz="6" w:space="0"/>
                    <w:left w:val="single" w:color="auto" w:sz="6" w:space="0"/>
                    <w:bottom w:val="single" w:color="auto" w:sz="6" w:space="0"/>
                    <w:right w:val="single" w:color="auto" w:sz="6" w:space="0"/>
                  </w:tcBorders>
                  <w:vAlign w:val="center"/>
                </w:tcPr>
                <w:p w14:paraId="16DB3A81">
                  <w:pPr>
                    <w:pStyle w:val="50"/>
                    <w:spacing w:beforeLines="0" w:line="240" w:lineRule="auto"/>
                    <w:rPr>
                      <w:rFonts w:ascii="Times New Roman" w:hAnsi="Times New Roman"/>
                      <w:bCs/>
                      <w:color w:val="000000"/>
                      <w:szCs w:val="21"/>
                    </w:rPr>
                  </w:pPr>
                  <w:r>
                    <w:rPr>
                      <w:rFonts w:ascii="Times New Roman" w:hAnsi="Times New Roman"/>
                      <w:bCs/>
                      <w:color w:val="000000"/>
                      <w:szCs w:val="21"/>
                    </w:rPr>
                    <w:t>-144.25</w:t>
                  </w:r>
                </w:p>
              </w:tc>
              <w:tc>
                <w:tcPr>
                  <w:tcW w:w="533" w:type="dxa"/>
                  <w:tcBorders>
                    <w:top w:val="single" w:color="auto" w:sz="6" w:space="0"/>
                    <w:left w:val="single" w:color="auto" w:sz="6" w:space="0"/>
                    <w:bottom w:val="single" w:color="auto" w:sz="6" w:space="0"/>
                    <w:right w:val="single" w:color="auto" w:sz="6" w:space="0"/>
                  </w:tcBorders>
                  <w:vAlign w:val="center"/>
                </w:tcPr>
                <w:p w14:paraId="0B03E275">
                  <w:pPr>
                    <w:jc w:val="center"/>
                    <w:rPr>
                      <w:szCs w:val="21"/>
                    </w:rPr>
                  </w:pPr>
                  <w:r>
                    <w:rPr>
                      <w:rFonts w:hint="eastAsia"/>
                      <w:bCs/>
                      <w:color w:val="000000"/>
                      <w:szCs w:val="21"/>
                    </w:rPr>
                    <w:t>7.5</w:t>
                  </w:r>
                </w:p>
              </w:tc>
              <w:tc>
                <w:tcPr>
                  <w:tcW w:w="517" w:type="dxa"/>
                  <w:tcBorders>
                    <w:top w:val="single" w:color="auto" w:sz="6" w:space="0"/>
                    <w:left w:val="single" w:color="auto" w:sz="6" w:space="0"/>
                    <w:bottom w:val="single" w:color="auto" w:sz="6" w:space="0"/>
                    <w:right w:val="single" w:color="auto" w:sz="6" w:space="0"/>
                  </w:tcBorders>
                  <w:vAlign w:val="center"/>
                </w:tcPr>
                <w:p w14:paraId="0DFED5CE">
                  <w:pPr>
                    <w:pStyle w:val="50"/>
                    <w:spacing w:beforeLines="0" w:line="240" w:lineRule="auto"/>
                    <w:rPr>
                      <w:rFonts w:ascii="Times New Roman" w:hAnsi="Times New Roman"/>
                      <w:bCs/>
                      <w:color w:val="000000"/>
                      <w:szCs w:val="21"/>
                    </w:rPr>
                  </w:pPr>
                  <w:r>
                    <w:rPr>
                      <w:rFonts w:ascii="Times New Roman" w:hAnsi="Times New Roman"/>
                      <w:bCs/>
                      <w:color w:val="000000"/>
                      <w:szCs w:val="21"/>
                    </w:rPr>
                    <w:t>5</w:t>
                  </w:r>
                </w:p>
              </w:tc>
              <w:tc>
                <w:tcPr>
                  <w:tcW w:w="644" w:type="dxa"/>
                  <w:tcBorders>
                    <w:top w:val="single" w:color="auto" w:sz="6" w:space="0"/>
                    <w:left w:val="single" w:color="auto" w:sz="6" w:space="0"/>
                    <w:bottom w:val="single" w:color="auto" w:sz="6" w:space="0"/>
                    <w:right w:val="single" w:color="auto" w:sz="6" w:space="0"/>
                  </w:tcBorders>
                  <w:vAlign w:val="center"/>
                </w:tcPr>
                <w:p w14:paraId="4F896896">
                  <w:pPr>
                    <w:jc w:val="center"/>
                    <w:rPr>
                      <w:color w:val="000000"/>
                      <w:kern w:val="0"/>
                      <w:szCs w:val="21"/>
                    </w:rPr>
                  </w:pPr>
                  <w:r>
                    <w:rPr>
                      <w:color w:val="000000"/>
                      <w:kern w:val="0"/>
                      <w:szCs w:val="21"/>
                    </w:rPr>
                    <w:t>60-65</w:t>
                  </w:r>
                </w:p>
              </w:tc>
              <w:tc>
                <w:tcPr>
                  <w:tcW w:w="733" w:type="dxa"/>
                  <w:vMerge w:val="continue"/>
                  <w:tcBorders>
                    <w:left w:val="single" w:color="auto" w:sz="6" w:space="0"/>
                    <w:right w:val="single" w:color="auto" w:sz="6" w:space="0"/>
                  </w:tcBorders>
                  <w:vAlign w:val="center"/>
                </w:tcPr>
                <w:p w14:paraId="403706E4">
                  <w:pPr>
                    <w:widowControl/>
                    <w:adjustRightInd w:val="0"/>
                    <w:snapToGrid w:val="0"/>
                    <w:jc w:val="center"/>
                    <w:rPr>
                      <w:bCs/>
                      <w:color w:val="000000"/>
                      <w:szCs w:val="21"/>
                    </w:rPr>
                  </w:pPr>
                </w:p>
              </w:tc>
              <w:tc>
                <w:tcPr>
                  <w:tcW w:w="644" w:type="dxa"/>
                  <w:tcBorders>
                    <w:top w:val="single" w:color="auto" w:sz="6" w:space="0"/>
                    <w:left w:val="single" w:color="auto" w:sz="6" w:space="0"/>
                    <w:bottom w:val="single" w:color="auto" w:sz="6" w:space="0"/>
                    <w:right w:val="single" w:color="auto" w:sz="6" w:space="0"/>
                  </w:tcBorders>
                  <w:vAlign w:val="center"/>
                </w:tcPr>
                <w:p w14:paraId="7CEF2C8D">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2BABA41B">
                  <w:pPr>
                    <w:jc w:val="center"/>
                    <w:rPr>
                      <w:bCs/>
                      <w:color w:val="000000"/>
                      <w:szCs w:val="21"/>
                    </w:rPr>
                  </w:pPr>
                  <w:r>
                    <w:rPr>
                      <w:bCs/>
                      <w:color w:val="000000"/>
                      <w:szCs w:val="21"/>
                    </w:rPr>
                    <w:t>50-55</w:t>
                  </w:r>
                </w:p>
              </w:tc>
              <w:tc>
                <w:tcPr>
                  <w:tcW w:w="402" w:type="dxa"/>
                  <w:tcBorders>
                    <w:top w:val="single" w:color="auto" w:sz="6" w:space="0"/>
                    <w:left w:val="single" w:color="auto" w:sz="6" w:space="0"/>
                    <w:bottom w:val="single" w:color="auto" w:sz="6" w:space="0"/>
                    <w:right w:val="single" w:color="auto" w:sz="12" w:space="0"/>
                  </w:tcBorders>
                  <w:vAlign w:val="center"/>
                </w:tcPr>
                <w:p w14:paraId="1ECCC220">
                  <w:pPr>
                    <w:pStyle w:val="50"/>
                    <w:spacing w:beforeLines="0" w:line="240" w:lineRule="auto"/>
                    <w:rPr>
                      <w:rFonts w:ascii="Times New Roman" w:hAnsi="Times New Roman"/>
                      <w:bCs/>
                      <w:color w:val="000000"/>
                      <w:szCs w:val="21"/>
                    </w:rPr>
                  </w:pPr>
                  <w:r>
                    <w:rPr>
                      <w:rFonts w:ascii="Times New Roman" w:hAnsi="Times New Roman"/>
                      <w:bCs/>
                      <w:color w:val="000000"/>
                      <w:szCs w:val="21"/>
                    </w:rPr>
                    <w:t>1</w:t>
                  </w:r>
                </w:p>
              </w:tc>
            </w:tr>
            <w:tr w14:paraId="7EC5FA1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dxa"/>
                  <w:tcBorders>
                    <w:top w:val="single" w:color="auto" w:sz="6" w:space="0"/>
                    <w:left w:val="single" w:color="auto" w:sz="12" w:space="0"/>
                    <w:bottom w:val="single" w:color="auto" w:sz="6" w:space="0"/>
                    <w:right w:val="single" w:color="auto" w:sz="6" w:space="0"/>
                  </w:tcBorders>
                  <w:vAlign w:val="center"/>
                </w:tcPr>
                <w:p w14:paraId="429F0B6D">
                  <w:pPr>
                    <w:widowControl/>
                    <w:adjustRightInd w:val="0"/>
                    <w:snapToGrid w:val="0"/>
                    <w:jc w:val="center"/>
                    <w:rPr>
                      <w:bCs/>
                      <w:color w:val="000000"/>
                      <w:szCs w:val="21"/>
                    </w:rPr>
                  </w:pPr>
                  <w:r>
                    <w:rPr>
                      <w:bCs/>
                      <w:color w:val="000000"/>
                      <w:szCs w:val="21"/>
                    </w:rPr>
                    <w:t>41</w:t>
                  </w:r>
                </w:p>
              </w:tc>
              <w:tc>
                <w:tcPr>
                  <w:tcW w:w="431" w:type="dxa"/>
                  <w:vMerge w:val="continue"/>
                  <w:tcBorders>
                    <w:left w:val="single" w:color="auto" w:sz="6" w:space="0"/>
                    <w:right w:val="single" w:color="auto" w:sz="6" w:space="0"/>
                  </w:tcBorders>
                  <w:vAlign w:val="center"/>
                </w:tcPr>
                <w:p w14:paraId="68EFEB49">
                  <w:pPr>
                    <w:jc w:val="center"/>
                    <w:rPr>
                      <w:color w:val="000000"/>
                      <w:szCs w:val="21"/>
                    </w:rPr>
                  </w:pPr>
                </w:p>
              </w:tc>
              <w:tc>
                <w:tcPr>
                  <w:tcW w:w="707" w:type="dxa"/>
                  <w:tcBorders>
                    <w:top w:val="single" w:color="auto" w:sz="6" w:space="0"/>
                    <w:left w:val="single" w:color="auto" w:sz="6" w:space="0"/>
                    <w:bottom w:val="single" w:color="auto" w:sz="6" w:space="0"/>
                    <w:right w:val="single" w:color="auto" w:sz="6" w:space="0"/>
                  </w:tcBorders>
                  <w:vAlign w:val="center"/>
                </w:tcPr>
                <w:p w14:paraId="61139CDA">
                  <w:pPr>
                    <w:jc w:val="center"/>
                    <w:rPr>
                      <w:color w:val="000000"/>
                      <w:szCs w:val="21"/>
                    </w:rPr>
                  </w:pPr>
                  <w:r>
                    <w:rPr>
                      <w:color w:val="000000"/>
                      <w:szCs w:val="21"/>
                    </w:rPr>
                    <w:t>五层烘干机</w:t>
                  </w:r>
                </w:p>
              </w:tc>
              <w:tc>
                <w:tcPr>
                  <w:tcW w:w="480" w:type="dxa"/>
                  <w:tcBorders>
                    <w:top w:val="single" w:color="auto" w:sz="6" w:space="0"/>
                    <w:left w:val="single" w:color="auto" w:sz="6" w:space="0"/>
                    <w:bottom w:val="single" w:color="auto" w:sz="6" w:space="0"/>
                    <w:right w:val="single" w:color="auto" w:sz="6" w:space="0"/>
                  </w:tcBorders>
                  <w:vAlign w:val="center"/>
                </w:tcPr>
                <w:p w14:paraId="594E454D">
                  <w:pPr>
                    <w:jc w:val="center"/>
                    <w:rPr>
                      <w:color w:val="000000"/>
                      <w:szCs w:val="21"/>
                    </w:rPr>
                  </w:pPr>
                  <w:r>
                    <w:rPr>
                      <w:color w:val="000000"/>
                      <w:szCs w:val="21"/>
                    </w:rPr>
                    <w:t>1</w:t>
                  </w:r>
                </w:p>
              </w:tc>
              <w:tc>
                <w:tcPr>
                  <w:tcW w:w="760" w:type="dxa"/>
                  <w:tcBorders>
                    <w:top w:val="single" w:color="auto" w:sz="6" w:space="0"/>
                    <w:left w:val="single" w:color="auto" w:sz="6" w:space="0"/>
                    <w:bottom w:val="single" w:color="auto" w:sz="6" w:space="0"/>
                    <w:right w:val="single" w:color="auto" w:sz="6" w:space="0"/>
                  </w:tcBorders>
                  <w:vAlign w:val="center"/>
                </w:tcPr>
                <w:p w14:paraId="3F4B8A62">
                  <w:pPr>
                    <w:adjustRightInd w:val="0"/>
                    <w:snapToGrid w:val="0"/>
                    <w:jc w:val="center"/>
                    <w:rPr>
                      <w:color w:val="000000"/>
                      <w:szCs w:val="21"/>
                    </w:rPr>
                  </w:pPr>
                  <w:r>
                    <w:rPr>
                      <w:color w:val="000000"/>
                      <w:szCs w:val="21"/>
                    </w:rPr>
                    <w:t>70-80</w:t>
                  </w:r>
                </w:p>
              </w:tc>
              <w:tc>
                <w:tcPr>
                  <w:tcW w:w="520" w:type="dxa"/>
                  <w:vMerge w:val="continue"/>
                  <w:tcBorders>
                    <w:left w:val="single" w:color="auto" w:sz="6" w:space="0"/>
                    <w:right w:val="single" w:color="auto" w:sz="6" w:space="0"/>
                  </w:tcBorders>
                  <w:vAlign w:val="center"/>
                </w:tcPr>
                <w:p w14:paraId="42749A15">
                  <w:pPr>
                    <w:widowControl/>
                    <w:adjustRightInd w:val="0"/>
                    <w:snapToGrid w:val="0"/>
                    <w:jc w:val="center"/>
                    <w:rPr>
                      <w:color w:val="000000"/>
                      <w:szCs w:val="21"/>
                    </w:rPr>
                  </w:pPr>
                </w:p>
              </w:tc>
              <w:tc>
                <w:tcPr>
                  <w:tcW w:w="586" w:type="dxa"/>
                  <w:tcBorders>
                    <w:top w:val="single" w:color="auto" w:sz="6" w:space="0"/>
                    <w:left w:val="single" w:color="auto" w:sz="6" w:space="0"/>
                    <w:bottom w:val="single" w:color="auto" w:sz="6" w:space="0"/>
                    <w:right w:val="single" w:color="auto" w:sz="6" w:space="0"/>
                  </w:tcBorders>
                  <w:vAlign w:val="center"/>
                </w:tcPr>
                <w:p w14:paraId="374CE245">
                  <w:pPr>
                    <w:pStyle w:val="50"/>
                    <w:spacing w:beforeLines="0" w:line="240" w:lineRule="auto"/>
                    <w:rPr>
                      <w:rFonts w:ascii="Times New Roman" w:hAnsi="Times New Roman"/>
                      <w:bCs/>
                      <w:color w:val="000000"/>
                      <w:szCs w:val="21"/>
                    </w:rPr>
                  </w:pPr>
                  <w:r>
                    <w:rPr>
                      <w:rFonts w:ascii="Times New Roman" w:hAnsi="Times New Roman"/>
                      <w:bCs/>
                      <w:color w:val="000000"/>
                      <w:szCs w:val="21"/>
                    </w:rPr>
                    <w:t>148.54</w:t>
                  </w:r>
                </w:p>
              </w:tc>
              <w:tc>
                <w:tcPr>
                  <w:tcW w:w="534" w:type="dxa"/>
                  <w:tcBorders>
                    <w:top w:val="single" w:color="auto" w:sz="6" w:space="0"/>
                    <w:left w:val="single" w:color="auto" w:sz="6" w:space="0"/>
                    <w:bottom w:val="single" w:color="auto" w:sz="6" w:space="0"/>
                    <w:right w:val="single" w:color="auto" w:sz="6" w:space="0"/>
                  </w:tcBorders>
                  <w:vAlign w:val="center"/>
                </w:tcPr>
                <w:p w14:paraId="2D9EA4AC">
                  <w:pPr>
                    <w:pStyle w:val="50"/>
                    <w:spacing w:beforeLines="0" w:line="240" w:lineRule="auto"/>
                    <w:rPr>
                      <w:rFonts w:ascii="Times New Roman" w:hAnsi="Times New Roman"/>
                      <w:bCs/>
                      <w:color w:val="000000"/>
                      <w:szCs w:val="21"/>
                    </w:rPr>
                  </w:pPr>
                  <w:r>
                    <w:rPr>
                      <w:rFonts w:ascii="Times New Roman" w:hAnsi="Times New Roman"/>
                      <w:bCs/>
                      <w:color w:val="000000"/>
                      <w:szCs w:val="21"/>
                    </w:rPr>
                    <w:t>-124.16</w:t>
                  </w:r>
                </w:p>
              </w:tc>
              <w:tc>
                <w:tcPr>
                  <w:tcW w:w="533" w:type="dxa"/>
                  <w:tcBorders>
                    <w:top w:val="single" w:color="auto" w:sz="6" w:space="0"/>
                    <w:left w:val="single" w:color="auto" w:sz="6" w:space="0"/>
                    <w:bottom w:val="single" w:color="auto" w:sz="6" w:space="0"/>
                    <w:right w:val="single" w:color="auto" w:sz="6" w:space="0"/>
                  </w:tcBorders>
                  <w:vAlign w:val="center"/>
                </w:tcPr>
                <w:p w14:paraId="0499B22B">
                  <w:pPr>
                    <w:jc w:val="center"/>
                    <w:rPr>
                      <w:szCs w:val="21"/>
                    </w:rPr>
                  </w:pPr>
                  <w:r>
                    <w:rPr>
                      <w:rFonts w:hint="eastAsia"/>
                      <w:bCs/>
                      <w:color w:val="000000"/>
                      <w:szCs w:val="21"/>
                    </w:rPr>
                    <w:t>7.5</w:t>
                  </w:r>
                </w:p>
              </w:tc>
              <w:tc>
                <w:tcPr>
                  <w:tcW w:w="517" w:type="dxa"/>
                  <w:tcBorders>
                    <w:top w:val="single" w:color="auto" w:sz="6" w:space="0"/>
                    <w:left w:val="single" w:color="auto" w:sz="6" w:space="0"/>
                    <w:bottom w:val="single" w:color="auto" w:sz="6" w:space="0"/>
                    <w:right w:val="single" w:color="auto" w:sz="6" w:space="0"/>
                  </w:tcBorders>
                  <w:vAlign w:val="center"/>
                </w:tcPr>
                <w:p w14:paraId="0F636750">
                  <w:pPr>
                    <w:pStyle w:val="50"/>
                    <w:spacing w:beforeLines="0" w:line="240" w:lineRule="auto"/>
                    <w:rPr>
                      <w:rFonts w:ascii="Times New Roman" w:hAnsi="Times New Roman"/>
                      <w:bCs/>
                      <w:color w:val="000000"/>
                      <w:szCs w:val="21"/>
                    </w:rPr>
                  </w:pPr>
                  <w:r>
                    <w:rPr>
                      <w:rFonts w:ascii="Times New Roman" w:hAnsi="Times New Roman"/>
                      <w:bCs/>
                      <w:color w:val="000000"/>
                      <w:szCs w:val="21"/>
                    </w:rPr>
                    <w:t>5</w:t>
                  </w:r>
                </w:p>
              </w:tc>
              <w:tc>
                <w:tcPr>
                  <w:tcW w:w="644" w:type="dxa"/>
                  <w:tcBorders>
                    <w:top w:val="single" w:color="auto" w:sz="6" w:space="0"/>
                    <w:left w:val="single" w:color="auto" w:sz="6" w:space="0"/>
                    <w:bottom w:val="single" w:color="auto" w:sz="6" w:space="0"/>
                    <w:right w:val="single" w:color="auto" w:sz="6" w:space="0"/>
                  </w:tcBorders>
                  <w:vAlign w:val="center"/>
                </w:tcPr>
                <w:p w14:paraId="5CD1DB3B">
                  <w:pPr>
                    <w:jc w:val="center"/>
                    <w:rPr>
                      <w:color w:val="000000"/>
                      <w:kern w:val="0"/>
                      <w:szCs w:val="21"/>
                    </w:rPr>
                  </w:pPr>
                  <w:r>
                    <w:rPr>
                      <w:color w:val="000000"/>
                      <w:kern w:val="0"/>
                      <w:szCs w:val="21"/>
                    </w:rPr>
                    <w:t>60-65</w:t>
                  </w:r>
                </w:p>
              </w:tc>
              <w:tc>
                <w:tcPr>
                  <w:tcW w:w="733" w:type="dxa"/>
                  <w:vMerge w:val="continue"/>
                  <w:tcBorders>
                    <w:left w:val="single" w:color="auto" w:sz="6" w:space="0"/>
                    <w:right w:val="single" w:color="auto" w:sz="6" w:space="0"/>
                  </w:tcBorders>
                  <w:vAlign w:val="center"/>
                </w:tcPr>
                <w:p w14:paraId="7FE7E4E0">
                  <w:pPr>
                    <w:widowControl/>
                    <w:adjustRightInd w:val="0"/>
                    <w:snapToGrid w:val="0"/>
                    <w:jc w:val="center"/>
                    <w:rPr>
                      <w:bCs/>
                      <w:color w:val="000000"/>
                      <w:szCs w:val="21"/>
                    </w:rPr>
                  </w:pPr>
                </w:p>
              </w:tc>
              <w:tc>
                <w:tcPr>
                  <w:tcW w:w="644" w:type="dxa"/>
                  <w:tcBorders>
                    <w:top w:val="single" w:color="auto" w:sz="6" w:space="0"/>
                    <w:left w:val="single" w:color="auto" w:sz="6" w:space="0"/>
                    <w:bottom w:val="single" w:color="auto" w:sz="6" w:space="0"/>
                    <w:right w:val="single" w:color="auto" w:sz="6" w:space="0"/>
                  </w:tcBorders>
                  <w:vAlign w:val="center"/>
                </w:tcPr>
                <w:p w14:paraId="686863BC">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160E5B72">
                  <w:pPr>
                    <w:jc w:val="center"/>
                    <w:rPr>
                      <w:bCs/>
                      <w:color w:val="000000"/>
                      <w:szCs w:val="21"/>
                    </w:rPr>
                  </w:pPr>
                  <w:r>
                    <w:rPr>
                      <w:bCs/>
                      <w:color w:val="000000"/>
                      <w:szCs w:val="21"/>
                    </w:rPr>
                    <w:t>50-55</w:t>
                  </w:r>
                </w:p>
              </w:tc>
              <w:tc>
                <w:tcPr>
                  <w:tcW w:w="402" w:type="dxa"/>
                  <w:tcBorders>
                    <w:top w:val="single" w:color="auto" w:sz="6" w:space="0"/>
                    <w:left w:val="single" w:color="auto" w:sz="6" w:space="0"/>
                    <w:bottom w:val="single" w:color="auto" w:sz="6" w:space="0"/>
                    <w:right w:val="single" w:color="auto" w:sz="12" w:space="0"/>
                  </w:tcBorders>
                  <w:vAlign w:val="center"/>
                </w:tcPr>
                <w:p w14:paraId="03D1F6CD">
                  <w:pPr>
                    <w:pStyle w:val="50"/>
                    <w:spacing w:beforeLines="0" w:line="240" w:lineRule="auto"/>
                    <w:rPr>
                      <w:rFonts w:ascii="Times New Roman" w:hAnsi="Times New Roman"/>
                      <w:bCs/>
                      <w:color w:val="000000"/>
                      <w:szCs w:val="21"/>
                    </w:rPr>
                  </w:pPr>
                  <w:r>
                    <w:rPr>
                      <w:rFonts w:ascii="Times New Roman" w:hAnsi="Times New Roman"/>
                      <w:bCs/>
                      <w:color w:val="000000"/>
                      <w:szCs w:val="21"/>
                    </w:rPr>
                    <w:t>1</w:t>
                  </w:r>
                </w:p>
              </w:tc>
            </w:tr>
            <w:tr w14:paraId="3411149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dxa"/>
                  <w:tcBorders>
                    <w:top w:val="single" w:color="auto" w:sz="6" w:space="0"/>
                    <w:left w:val="single" w:color="auto" w:sz="12" w:space="0"/>
                    <w:bottom w:val="single" w:color="auto" w:sz="6" w:space="0"/>
                    <w:right w:val="single" w:color="auto" w:sz="6" w:space="0"/>
                  </w:tcBorders>
                  <w:vAlign w:val="center"/>
                </w:tcPr>
                <w:p w14:paraId="416FBE40">
                  <w:pPr>
                    <w:widowControl/>
                    <w:adjustRightInd w:val="0"/>
                    <w:snapToGrid w:val="0"/>
                    <w:jc w:val="center"/>
                    <w:rPr>
                      <w:bCs/>
                      <w:color w:val="000000"/>
                      <w:szCs w:val="21"/>
                    </w:rPr>
                  </w:pPr>
                  <w:r>
                    <w:rPr>
                      <w:bCs/>
                      <w:color w:val="000000"/>
                      <w:szCs w:val="21"/>
                    </w:rPr>
                    <w:t>42</w:t>
                  </w:r>
                </w:p>
              </w:tc>
              <w:tc>
                <w:tcPr>
                  <w:tcW w:w="431" w:type="dxa"/>
                  <w:vMerge w:val="continue"/>
                  <w:tcBorders>
                    <w:left w:val="single" w:color="auto" w:sz="6" w:space="0"/>
                    <w:right w:val="single" w:color="auto" w:sz="6" w:space="0"/>
                  </w:tcBorders>
                  <w:vAlign w:val="center"/>
                </w:tcPr>
                <w:p w14:paraId="71074DAF">
                  <w:pPr>
                    <w:jc w:val="center"/>
                    <w:rPr>
                      <w:color w:val="000000"/>
                      <w:szCs w:val="21"/>
                    </w:rPr>
                  </w:pPr>
                </w:p>
              </w:tc>
              <w:tc>
                <w:tcPr>
                  <w:tcW w:w="707" w:type="dxa"/>
                  <w:tcBorders>
                    <w:top w:val="single" w:color="auto" w:sz="6" w:space="0"/>
                    <w:left w:val="single" w:color="auto" w:sz="6" w:space="0"/>
                    <w:bottom w:val="single" w:color="auto" w:sz="6" w:space="0"/>
                    <w:right w:val="single" w:color="auto" w:sz="6" w:space="0"/>
                  </w:tcBorders>
                  <w:vAlign w:val="center"/>
                </w:tcPr>
                <w:p w14:paraId="3E6B32E1">
                  <w:pPr>
                    <w:jc w:val="center"/>
                    <w:rPr>
                      <w:color w:val="000000"/>
                      <w:szCs w:val="21"/>
                    </w:rPr>
                  </w:pPr>
                  <w:r>
                    <w:rPr>
                      <w:color w:val="000000"/>
                      <w:szCs w:val="21"/>
                    </w:rPr>
                    <w:t>提升机</w:t>
                  </w:r>
                </w:p>
              </w:tc>
              <w:tc>
                <w:tcPr>
                  <w:tcW w:w="480" w:type="dxa"/>
                  <w:tcBorders>
                    <w:top w:val="single" w:color="auto" w:sz="6" w:space="0"/>
                    <w:left w:val="single" w:color="auto" w:sz="6" w:space="0"/>
                    <w:bottom w:val="single" w:color="auto" w:sz="6" w:space="0"/>
                    <w:right w:val="single" w:color="auto" w:sz="6" w:space="0"/>
                  </w:tcBorders>
                  <w:vAlign w:val="center"/>
                </w:tcPr>
                <w:p w14:paraId="63A07B23">
                  <w:pPr>
                    <w:jc w:val="center"/>
                    <w:rPr>
                      <w:color w:val="000000"/>
                      <w:szCs w:val="21"/>
                    </w:rPr>
                  </w:pPr>
                  <w:r>
                    <w:rPr>
                      <w:color w:val="000000"/>
                      <w:szCs w:val="21"/>
                    </w:rPr>
                    <w:t>1</w:t>
                  </w:r>
                </w:p>
              </w:tc>
              <w:tc>
                <w:tcPr>
                  <w:tcW w:w="760" w:type="dxa"/>
                  <w:tcBorders>
                    <w:top w:val="single" w:color="auto" w:sz="6" w:space="0"/>
                    <w:left w:val="single" w:color="auto" w:sz="6" w:space="0"/>
                    <w:bottom w:val="single" w:color="auto" w:sz="6" w:space="0"/>
                    <w:right w:val="single" w:color="auto" w:sz="6" w:space="0"/>
                  </w:tcBorders>
                  <w:vAlign w:val="center"/>
                </w:tcPr>
                <w:p w14:paraId="70D3F762">
                  <w:pPr>
                    <w:adjustRightInd w:val="0"/>
                    <w:snapToGrid w:val="0"/>
                    <w:jc w:val="center"/>
                    <w:rPr>
                      <w:color w:val="000000"/>
                      <w:szCs w:val="21"/>
                    </w:rPr>
                  </w:pPr>
                  <w:r>
                    <w:rPr>
                      <w:color w:val="000000"/>
                      <w:szCs w:val="21"/>
                    </w:rPr>
                    <w:t>70-80</w:t>
                  </w:r>
                </w:p>
              </w:tc>
              <w:tc>
                <w:tcPr>
                  <w:tcW w:w="520" w:type="dxa"/>
                  <w:vMerge w:val="continue"/>
                  <w:tcBorders>
                    <w:left w:val="single" w:color="auto" w:sz="6" w:space="0"/>
                    <w:right w:val="single" w:color="auto" w:sz="6" w:space="0"/>
                  </w:tcBorders>
                  <w:vAlign w:val="center"/>
                </w:tcPr>
                <w:p w14:paraId="6FEEA47D">
                  <w:pPr>
                    <w:widowControl/>
                    <w:adjustRightInd w:val="0"/>
                    <w:snapToGrid w:val="0"/>
                    <w:jc w:val="center"/>
                    <w:rPr>
                      <w:color w:val="000000"/>
                      <w:szCs w:val="21"/>
                    </w:rPr>
                  </w:pPr>
                </w:p>
              </w:tc>
              <w:tc>
                <w:tcPr>
                  <w:tcW w:w="586" w:type="dxa"/>
                  <w:tcBorders>
                    <w:top w:val="single" w:color="auto" w:sz="6" w:space="0"/>
                    <w:left w:val="single" w:color="auto" w:sz="6" w:space="0"/>
                    <w:bottom w:val="single" w:color="auto" w:sz="6" w:space="0"/>
                    <w:right w:val="single" w:color="auto" w:sz="6" w:space="0"/>
                  </w:tcBorders>
                  <w:vAlign w:val="center"/>
                </w:tcPr>
                <w:p w14:paraId="703861E8">
                  <w:pPr>
                    <w:pStyle w:val="50"/>
                    <w:spacing w:beforeLines="0" w:line="240" w:lineRule="auto"/>
                    <w:rPr>
                      <w:rFonts w:ascii="Times New Roman" w:hAnsi="Times New Roman"/>
                      <w:bCs/>
                      <w:color w:val="000000"/>
                      <w:szCs w:val="21"/>
                    </w:rPr>
                  </w:pPr>
                  <w:r>
                    <w:rPr>
                      <w:rFonts w:ascii="Times New Roman" w:hAnsi="Times New Roman"/>
                      <w:bCs/>
                      <w:color w:val="000000"/>
                      <w:szCs w:val="21"/>
                    </w:rPr>
                    <w:t>192.22</w:t>
                  </w:r>
                </w:p>
              </w:tc>
              <w:tc>
                <w:tcPr>
                  <w:tcW w:w="534" w:type="dxa"/>
                  <w:tcBorders>
                    <w:top w:val="single" w:color="auto" w:sz="6" w:space="0"/>
                    <w:left w:val="single" w:color="auto" w:sz="6" w:space="0"/>
                    <w:bottom w:val="single" w:color="auto" w:sz="6" w:space="0"/>
                    <w:right w:val="single" w:color="auto" w:sz="6" w:space="0"/>
                  </w:tcBorders>
                  <w:vAlign w:val="center"/>
                </w:tcPr>
                <w:p w14:paraId="7F21BC24">
                  <w:pPr>
                    <w:pStyle w:val="50"/>
                    <w:spacing w:beforeLines="0" w:line="240" w:lineRule="auto"/>
                    <w:rPr>
                      <w:rFonts w:ascii="Times New Roman" w:hAnsi="Times New Roman"/>
                      <w:bCs/>
                      <w:color w:val="000000"/>
                      <w:szCs w:val="21"/>
                    </w:rPr>
                  </w:pPr>
                  <w:r>
                    <w:rPr>
                      <w:rFonts w:ascii="Times New Roman" w:hAnsi="Times New Roman"/>
                      <w:bCs/>
                      <w:color w:val="000000"/>
                      <w:szCs w:val="21"/>
                    </w:rPr>
                    <w:t>-133.48</w:t>
                  </w:r>
                </w:p>
              </w:tc>
              <w:tc>
                <w:tcPr>
                  <w:tcW w:w="533" w:type="dxa"/>
                  <w:tcBorders>
                    <w:top w:val="single" w:color="auto" w:sz="6" w:space="0"/>
                    <w:left w:val="single" w:color="auto" w:sz="6" w:space="0"/>
                    <w:bottom w:val="single" w:color="auto" w:sz="6" w:space="0"/>
                    <w:right w:val="single" w:color="auto" w:sz="6" w:space="0"/>
                  </w:tcBorders>
                  <w:vAlign w:val="center"/>
                </w:tcPr>
                <w:p w14:paraId="6A69942B">
                  <w:pPr>
                    <w:jc w:val="center"/>
                    <w:rPr>
                      <w:szCs w:val="21"/>
                    </w:rPr>
                  </w:pPr>
                  <w:r>
                    <w:rPr>
                      <w:rFonts w:hint="eastAsia"/>
                      <w:bCs/>
                      <w:color w:val="000000"/>
                      <w:szCs w:val="21"/>
                    </w:rPr>
                    <w:t>7.5</w:t>
                  </w:r>
                </w:p>
              </w:tc>
              <w:tc>
                <w:tcPr>
                  <w:tcW w:w="517" w:type="dxa"/>
                  <w:tcBorders>
                    <w:top w:val="single" w:color="auto" w:sz="6" w:space="0"/>
                    <w:left w:val="single" w:color="auto" w:sz="6" w:space="0"/>
                    <w:bottom w:val="single" w:color="auto" w:sz="6" w:space="0"/>
                    <w:right w:val="single" w:color="auto" w:sz="6" w:space="0"/>
                  </w:tcBorders>
                  <w:vAlign w:val="center"/>
                </w:tcPr>
                <w:p w14:paraId="51348399">
                  <w:pPr>
                    <w:pStyle w:val="50"/>
                    <w:spacing w:beforeLines="0" w:line="240" w:lineRule="auto"/>
                    <w:rPr>
                      <w:rFonts w:ascii="Times New Roman" w:hAnsi="Times New Roman"/>
                      <w:bCs/>
                      <w:color w:val="000000"/>
                      <w:szCs w:val="21"/>
                    </w:rPr>
                  </w:pPr>
                  <w:r>
                    <w:rPr>
                      <w:rFonts w:ascii="Times New Roman" w:hAnsi="Times New Roman"/>
                      <w:bCs/>
                      <w:color w:val="000000"/>
                      <w:szCs w:val="21"/>
                    </w:rPr>
                    <w:t>5</w:t>
                  </w:r>
                </w:p>
              </w:tc>
              <w:tc>
                <w:tcPr>
                  <w:tcW w:w="644" w:type="dxa"/>
                  <w:tcBorders>
                    <w:top w:val="single" w:color="auto" w:sz="6" w:space="0"/>
                    <w:left w:val="single" w:color="auto" w:sz="6" w:space="0"/>
                    <w:bottom w:val="single" w:color="auto" w:sz="6" w:space="0"/>
                    <w:right w:val="single" w:color="auto" w:sz="6" w:space="0"/>
                  </w:tcBorders>
                  <w:vAlign w:val="center"/>
                </w:tcPr>
                <w:p w14:paraId="769E7680">
                  <w:pPr>
                    <w:jc w:val="center"/>
                    <w:rPr>
                      <w:color w:val="000000"/>
                      <w:kern w:val="0"/>
                      <w:szCs w:val="21"/>
                    </w:rPr>
                  </w:pPr>
                  <w:r>
                    <w:rPr>
                      <w:color w:val="000000"/>
                      <w:kern w:val="0"/>
                      <w:szCs w:val="21"/>
                    </w:rPr>
                    <w:t>60-65</w:t>
                  </w:r>
                </w:p>
              </w:tc>
              <w:tc>
                <w:tcPr>
                  <w:tcW w:w="733" w:type="dxa"/>
                  <w:vMerge w:val="continue"/>
                  <w:tcBorders>
                    <w:left w:val="single" w:color="auto" w:sz="6" w:space="0"/>
                    <w:right w:val="single" w:color="auto" w:sz="6" w:space="0"/>
                  </w:tcBorders>
                  <w:vAlign w:val="center"/>
                </w:tcPr>
                <w:p w14:paraId="306C55B4">
                  <w:pPr>
                    <w:widowControl/>
                    <w:adjustRightInd w:val="0"/>
                    <w:snapToGrid w:val="0"/>
                    <w:jc w:val="center"/>
                    <w:rPr>
                      <w:bCs/>
                      <w:color w:val="000000"/>
                      <w:szCs w:val="21"/>
                    </w:rPr>
                  </w:pPr>
                </w:p>
              </w:tc>
              <w:tc>
                <w:tcPr>
                  <w:tcW w:w="644" w:type="dxa"/>
                  <w:tcBorders>
                    <w:top w:val="single" w:color="auto" w:sz="6" w:space="0"/>
                    <w:left w:val="single" w:color="auto" w:sz="6" w:space="0"/>
                    <w:bottom w:val="single" w:color="auto" w:sz="6" w:space="0"/>
                    <w:right w:val="single" w:color="auto" w:sz="6" w:space="0"/>
                  </w:tcBorders>
                  <w:vAlign w:val="center"/>
                </w:tcPr>
                <w:p w14:paraId="43A0C2DF">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611D7BDD">
                  <w:pPr>
                    <w:jc w:val="center"/>
                    <w:rPr>
                      <w:bCs/>
                      <w:color w:val="000000"/>
                      <w:szCs w:val="21"/>
                    </w:rPr>
                  </w:pPr>
                  <w:r>
                    <w:rPr>
                      <w:bCs/>
                      <w:color w:val="000000"/>
                      <w:szCs w:val="21"/>
                    </w:rPr>
                    <w:t>50-55</w:t>
                  </w:r>
                </w:p>
              </w:tc>
              <w:tc>
                <w:tcPr>
                  <w:tcW w:w="402" w:type="dxa"/>
                  <w:tcBorders>
                    <w:top w:val="single" w:color="auto" w:sz="6" w:space="0"/>
                    <w:left w:val="single" w:color="auto" w:sz="6" w:space="0"/>
                    <w:bottom w:val="single" w:color="auto" w:sz="6" w:space="0"/>
                    <w:right w:val="single" w:color="auto" w:sz="12" w:space="0"/>
                  </w:tcBorders>
                  <w:vAlign w:val="center"/>
                </w:tcPr>
                <w:p w14:paraId="4A77BB9D">
                  <w:pPr>
                    <w:pStyle w:val="50"/>
                    <w:spacing w:beforeLines="0" w:line="240" w:lineRule="auto"/>
                    <w:rPr>
                      <w:rFonts w:ascii="Times New Roman" w:hAnsi="Times New Roman"/>
                      <w:bCs/>
                      <w:color w:val="000000"/>
                      <w:szCs w:val="21"/>
                    </w:rPr>
                  </w:pPr>
                  <w:r>
                    <w:rPr>
                      <w:rFonts w:ascii="Times New Roman" w:hAnsi="Times New Roman"/>
                      <w:bCs/>
                      <w:color w:val="000000"/>
                      <w:szCs w:val="21"/>
                    </w:rPr>
                    <w:t>1</w:t>
                  </w:r>
                </w:p>
              </w:tc>
            </w:tr>
            <w:tr w14:paraId="158E5AF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dxa"/>
                  <w:tcBorders>
                    <w:top w:val="single" w:color="auto" w:sz="6" w:space="0"/>
                    <w:left w:val="single" w:color="auto" w:sz="12" w:space="0"/>
                    <w:bottom w:val="single" w:color="auto" w:sz="6" w:space="0"/>
                    <w:right w:val="single" w:color="auto" w:sz="6" w:space="0"/>
                  </w:tcBorders>
                  <w:vAlign w:val="center"/>
                </w:tcPr>
                <w:p w14:paraId="7444F60C">
                  <w:pPr>
                    <w:widowControl/>
                    <w:adjustRightInd w:val="0"/>
                    <w:snapToGrid w:val="0"/>
                    <w:jc w:val="center"/>
                    <w:rPr>
                      <w:bCs/>
                      <w:color w:val="000000"/>
                      <w:szCs w:val="21"/>
                    </w:rPr>
                  </w:pPr>
                  <w:r>
                    <w:rPr>
                      <w:bCs/>
                      <w:color w:val="000000"/>
                      <w:szCs w:val="21"/>
                    </w:rPr>
                    <w:t>43</w:t>
                  </w:r>
                </w:p>
              </w:tc>
              <w:tc>
                <w:tcPr>
                  <w:tcW w:w="431" w:type="dxa"/>
                  <w:vMerge w:val="continue"/>
                  <w:tcBorders>
                    <w:left w:val="single" w:color="auto" w:sz="6" w:space="0"/>
                    <w:right w:val="single" w:color="auto" w:sz="6" w:space="0"/>
                  </w:tcBorders>
                  <w:vAlign w:val="center"/>
                </w:tcPr>
                <w:p w14:paraId="6DCC95EC">
                  <w:pPr>
                    <w:jc w:val="center"/>
                    <w:rPr>
                      <w:color w:val="000000"/>
                      <w:szCs w:val="21"/>
                    </w:rPr>
                  </w:pPr>
                </w:p>
              </w:tc>
              <w:tc>
                <w:tcPr>
                  <w:tcW w:w="707" w:type="dxa"/>
                  <w:tcBorders>
                    <w:top w:val="single" w:color="auto" w:sz="6" w:space="0"/>
                    <w:left w:val="single" w:color="auto" w:sz="6" w:space="0"/>
                    <w:bottom w:val="single" w:color="auto" w:sz="6" w:space="0"/>
                    <w:right w:val="single" w:color="auto" w:sz="6" w:space="0"/>
                  </w:tcBorders>
                  <w:vAlign w:val="center"/>
                </w:tcPr>
                <w:p w14:paraId="6FF6C87A">
                  <w:pPr>
                    <w:jc w:val="center"/>
                    <w:rPr>
                      <w:color w:val="000000"/>
                      <w:szCs w:val="21"/>
                    </w:rPr>
                  </w:pPr>
                  <w:r>
                    <w:rPr>
                      <w:color w:val="000000"/>
                      <w:szCs w:val="21"/>
                    </w:rPr>
                    <w:t>高空提升机</w:t>
                  </w:r>
                </w:p>
              </w:tc>
              <w:tc>
                <w:tcPr>
                  <w:tcW w:w="480" w:type="dxa"/>
                  <w:tcBorders>
                    <w:top w:val="single" w:color="auto" w:sz="6" w:space="0"/>
                    <w:left w:val="single" w:color="auto" w:sz="6" w:space="0"/>
                    <w:bottom w:val="single" w:color="auto" w:sz="6" w:space="0"/>
                    <w:right w:val="single" w:color="auto" w:sz="6" w:space="0"/>
                  </w:tcBorders>
                  <w:vAlign w:val="center"/>
                </w:tcPr>
                <w:p w14:paraId="2AAF2170">
                  <w:pPr>
                    <w:jc w:val="center"/>
                    <w:rPr>
                      <w:color w:val="000000"/>
                      <w:szCs w:val="21"/>
                    </w:rPr>
                  </w:pPr>
                  <w:r>
                    <w:rPr>
                      <w:color w:val="000000"/>
                      <w:szCs w:val="21"/>
                    </w:rPr>
                    <w:t>1</w:t>
                  </w:r>
                </w:p>
              </w:tc>
              <w:tc>
                <w:tcPr>
                  <w:tcW w:w="760" w:type="dxa"/>
                  <w:tcBorders>
                    <w:top w:val="single" w:color="auto" w:sz="6" w:space="0"/>
                    <w:left w:val="single" w:color="auto" w:sz="6" w:space="0"/>
                    <w:bottom w:val="single" w:color="auto" w:sz="6" w:space="0"/>
                    <w:right w:val="single" w:color="auto" w:sz="6" w:space="0"/>
                  </w:tcBorders>
                  <w:vAlign w:val="center"/>
                </w:tcPr>
                <w:p w14:paraId="140804FE">
                  <w:pPr>
                    <w:adjustRightInd w:val="0"/>
                    <w:snapToGrid w:val="0"/>
                    <w:jc w:val="center"/>
                    <w:rPr>
                      <w:color w:val="000000"/>
                      <w:szCs w:val="21"/>
                    </w:rPr>
                  </w:pPr>
                  <w:r>
                    <w:rPr>
                      <w:color w:val="000000"/>
                      <w:szCs w:val="21"/>
                    </w:rPr>
                    <w:t>70-80</w:t>
                  </w:r>
                </w:p>
              </w:tc>
              <w:tc>
                <w:tcPr>
                  <w:tcW w:w="520" w:type="dxa"/>
                  <w:vMerge w:val="continue"/>
                  <w:tcBorders>
                    <w:left w:val="single" w:color="auto" w:sz="6" w:space="0"/>
                    <w:right w:val="single" w:color="auto" w:sz="6" w:space="0"/>
                  </w:tcBorders>
                  <w:vAlign w:val="center"/>
                </w:tcPr>
                <w:p w14:paraId="74FC7538">
                  <w:pPr>
                    <w:widowControl/>
                    <w:adjustRightInd w:val="0"/>
                    <w:snapToGrid w:val="0"/>
                    <w:jc w:val="center"/>
                    <w:rPr>
                      <w:color w:val="000000"/>
                      <w:szCs w:val="21"/>
                    </w:rPr>
                  </w:pPr>
                </w:p>
              </w:tc>
              <w:tc>
                <w:tcPr>
                  <w:tcW w:w="586" w:type="dxa"/>
                  <w:tcBorders>
                    <w:top w:val="single" w:color="auto" w:sz="6" w:space="0"/>
                    <w:left w:val="single" w:color="auto" w:sz="6" w:space="0"/>
                    <w:bottom w:val="single" w:color="auto" w:sz="6" w:space="0"/>
                    <w:right w:val="single" w:color="auto" w:sz="6" w:space="0"/>
                  </w:tcBorders>
                  <w:vAlign w:val="center"/>
                </w:tcPr>
                <w:p w14:paraId="06AA0643">
                  <w:pPr>
                    <w:pStyle w:val="50"/>
                    <w:spacing w:beforeLines="0" w:line="240" w:lineRule="auto"/>
                    <w:rPr>
                      <w:rFonts w:ascii="Times New Roman" w:hAnsi="Times New Roman"/>
                      <w:bCs/>
                      <w:color w:val="000000"/>
                      <w:szCs w:val="21"/>
                    </w:rPr>
                  </w:pPr>
                  <w:r>
                    <w:rPr>
                      <w:rFonts w:ascii="Times New Roman" w:hAnsi="Times New Roman"/>
                      <w:bCs/>
                      <w:color w:val="000000"/>
                      <w:szCs w:val="21"/>
                    </w:rPr>
                    <w:t>139.73</w:t>
                  </w:r>
                </w:p>
              </w:tc>
              <w:tc>
                <w:tcPr>
                  <w:tcW w:w="534" w:type="dxa"/>
                  <w:tcBorders>
                    <w:top w:val="single" w:color="auto" w:sz="6" w:space="0"/>
                    <w:left w:val="single" w:color="auto" w:sz="6" w:space="0"/>
                    <w:bottom w:val="single" w:color="auto" w:sz="6" w:space="0"/>
                    <w:right w:val="single" w:color="auto" w:sz="6" w:space="0"/>
                  </w:tcBorders>
                  <w:vAlign w:val="center"/>
                </w:tcPr>
                <w:p w14:paraId="34B50061">
                  <w:pPr>
                    <w:pStyle w:val="50"/>
                    <w:spacing w:beforeLines="0" w:line="240" w:lineRule="auto"/>
                    <w:rPr>
                      <w:rFonts w:ascii="Times New Roman" w:hAnsi="Times New Roman"/>
                      <w:bCs/>
                      <w:color w:val="000000"/>
                      <w:szCs w:val="21"/>
                    </w:rPr>
                  </w:pPr>
                  <w:r>
                    <w:rPr>
                      <w:rFonts w:ascii="Times New Roman" w:hAnsi="Times New Roman"/>
                      <w:bCs/>
                      <w:color w:val="000000"/>
                      <w:szCs w:val="21"/>
                    </w:rPr>
                    <w:t>-119.21</w:t>
                  </w:r>
                </w:p>
              </w:tc>
              <w:tc>
                <w:tcPr>
                  <w:tcW w:w="533" w:type="dxa"/>
                  <w:tcBorders>
                    <w:top w:val="single" w:color="auto" w:sz="6" w:space="0"/>
                    <w:left w:val="single" w:color="auto" w:sz="6" w:space="0"/>
                    <w:bottom w:val="single" w:color="auto" w:sz="6" w:space="0"/>
                    <w:right w:val="single" w:color="auto" w:sz="6" w:space="0"/>
                  </w:tcBorders>
                  <w:vAlign w:val="center"/>
                </w:tcPr>
                <w:p w14:paraId="72A17548">
                  <w:pPr>
                    <w:jc w:val="center"/>
                    <w:rPr>
                      <w:szCs w:val="21"/>
                    </w:rPr>
                  </w:pPr>
                  <w:r>
                    <w:rPr>
                      <w:bCs/>
                      <w:color w:val="000000"/>
                      <w:szCs w:val="21"/>
                    </w:rPr>
                    <w:t>1.5</w:t>
                  </w:r>
                </w:p>
              </w:tc>
              <w:tc>
                <w:tcPr>
                  <w:tcW w:w="517" w:type="dxa"/>
                  <w:tcBorders>
                    <w:top w:val="single" w:color="auto" w:sz="6" w:space="0"/>
                    <w:left w:val="single" w:color="auto" w:sz="6" w:space="0"/>
                    <w:bottom w:val="single" w:color="auto" w:sz="6" w:space="0"/>
                    <w:right w:val="single" w:color="auto" w:sz="6" w:space="0"/>
                  </w:tcBorders>
                  <w:vAlign w:val="center"/>
                </w:tcPr>
                <w:p w14:paraId="28125C47">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712F9E8E">
                  <w:pPr>
                    <w:jc w:val="center"/>
                    <w:rPr>
                      <w:color w:val="000000"/>
                      <w:kern w:val="0"/>
                      <w:szCs w:val="21"/>
                    </w:rPr>
                  </w:pPr>
                  <w:r>
                    <w:rPr>
                      <w:color w:val="000000"/>
                      <w:kern w:val="0"/>
                      <w:szCs w:val="21"/>
                    </w:rPr>
                    <w:t>60-65</w:t>
                  </w:r>
                </w:p>
              </w:tc>
              <w:tc>
                <w:tcPr>
                  <w:tcW w:w="733" w:type="dxa"/>
                  <w:vMerge w:val="continue"/>
                  <w:tcBorders>
                    <w:left w:val="single" w:color="auto" w:sz="6" w:space="0"/>
                    <w:right w:val="single" w:color="auto" w:sz="6" w:space="0"/>
                  </w:tcBorders>
                  <w:vAlign w:val="center"/>
                </w:tcPr>
                <w:p w14:paraId="6851F77B">
                  <w:pPr>
                    <w:widowControl/>
                    <w:adjustRightInd w:val="0"/>
                    <w:snapToGrid w:val="0"/>
                    <w:jc w:val="center"/>
                    <w:rPr>
                      <w:bCs/>
                      <w:color w:val="000000"/>
                      <w:szCs w:val="21"/>
                    </w:rPr>
                  </w:pPr>
                </w:p>
              </w:tc>
              <w:tc>
                <w:tcPr>
                  <w:tcW w:w="644" w:type="dxa"/>
                  <w:tcBorders>
                    <w:top w:val="single" w:color="auto" w:sz="6" w:space="0"/>
                    <w:left w:val="single" w:color="auto" w:sz="6" w:space="0"/>
                    <w:bottom w:val="single" w:color="auto" w:sz="6" w:space="0"/>
                    <w:right w:val="single" w:color="auto" w:sz="6" w:space="0"/>
                  </w:tcBorders>
                  <w:vAlign w:val="center"/>
                </w:tcPr>
                <w:p w14:paraId="42115EBA">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5693FBA0">
                  <w:pPr>
                    <w:jc w:val="center"/>
                    <w:rPr>
                      <w:bCs/>
                      <w:color w:val="000000"/>
                      <w:szCs w:val="21"/>
                    </w:rPr>
                  </w:pPr>
                  <w:r>
                    <w:rPr>
                      <w:bCs/>
                      <w:color w:val="000000"/>
                      <w:szCs w:val="21"/>
                    </w:rPr>
                    <w:t>50-55</w:t>
                  </w:r>
                </w:p>
              </w:tc>
              <w:tc>
                <w:tcPr>
                  <w:tcW w:w="402" w:type="dxa"/>
                  <w:tcBorders>
                    <w:top w:val="single" w:color="auto" w:sz="6" w:space="0"/>
                    <w:left w:val="single" w:color="auto" w:sz="6" w:space="0"/>
                    <w:bottom w:val="single" w:color="auto" w:sz="6" w:space="0"/>
                    <w:right w:val="single" w:color="auto" w:sz="12" w:space="0"/>
                  </w:tcBorders>
                  <w:vAlign w:val="center"/>
                </w:tcPr>
                <w:p w14:paraId="3FF4F5EF">
                  <w:pPr>
                    <w:pStyle w:val="50"/>
                    <w:spacing w:beforeLines="0" w:line="240" w:lineRule="auto"/>
                    <w:rPr>
                      <w:rFonts w:ascii="Times New Roman" w:hAnsi="Times New Roman"/>
                      <w:bCs/>
                      <w:color w:val="000000"/>
                      <w:szCs w:val="21"/>
                    </w:rPr>
                  </w:pPr>
                  <w:r>
                    <w:rPr>
                      <w:rFonts w:ascii="Times New Roman" w:hAnsi="Times New Roman"/>
                      <w:bCs/>
                      <w:color w:val="000000"/>
                      <w:szCs w:val="21"/>
                    </w:rPr>
                    <w:t>1</w:t>
                  </w:r>
                </w:p>
              </w:tc>
            </w:tr>
            <w:tr w14:paraId="67D0BCF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dxa"/>
                  <w:tcBorders>
                    <w:top w:val="single" w:color="auto" w:sz="6" w:space="0"/>
                    <w:left w:val="single" w:color="auto" w:sz="12" w:space="0"/>
                    <w:bottom w:val="single" w:color="auto" w:sz="6" w:space="0"/>
                    <w:right w:val="single" w:color="auto" w:sz="6" w:space="0"/>
                  </w:tcBorders>
                  <w:vAlign w:val="center"/>
                </w:tcPr>
                <w:p w14:paraId="135AAC2D">
                  <w:pPr>
                    <w:widowControl/>
                    <w:adjustRightInd w:val="0"/>
                    <w:snapToGrid w:val="0"/>
                    <w:jc w:val="center"/>
                    <w:rPr>
                      <w:bCs/>
                      <w:color w:val="000000"/>
                      <w:szCs w:val="21"/>
                    </w:rPr>
                  </w:pPr>
                  <w:r>
                    <w:rPr>
                      <w:bCs/>
                      <w:color w:val="000000"/>
                      <w:szCs w:val="21"/>
                    </w:rPr>
                    <w:t>44</w:t>
                  </w:r>
                </w:p>
              </w:tc>
              <w:tc>
                <w:tcPr>
                  <w:tcW w:w="431" w:type="dxa"/>
                  <w:vMerge w:val="continue"/>
                  <w:tcBorders>
                    <w:left w:val="single" w:color="auto" w:sz="6" w:space="0"/>
                    <w:right w:val="single" w:color="auto" w:sz="6" w:space="0"/>
                  </w:tcBorders>
                  <w:vAlign w:val="center"/>
                </w:tcPr>
                <w:p w14:paraId="78A8C133">
                  <w:pPr>
                    <w:jc w:val="center"/>
                    <w:rPr>
                      <w:color w:val="000000"/>
                      <w:szCs w:val="21"/>
                    </w:rPr>
                  </w:pPr>
                </w:p>
              </w:tc>
              <w:tc>
                <w:tcPr>
                  <w:tcW w:w="707" w:type="dxa"/>
                  <w:tcBorders>
                    <w:top w:val="single" w:color="auto" w:sz="6" w:space="0"/>
                    <w:left w:val="single" w:color="auto" w:sz="6" w:space="0"/>
                    <w:bottom w:val="single" w:color="auto" w:sz="6" w:space="0"/>
                    <w:right w:val="single" w:color="auto" w:sz="6" w:space="0"/>
                  </w:tcBorders>
                  <w:vAlign w:val="center"/>
                </w:tcPr>
                <w:p w14:paraId="328FC83A">
                  <w:pPr>
                    <w:jc w:val="center"/>
                    <w:rPr>
                      <w:color w:val="000000"/>
                      <w:szCs w:val="21"/>
                    </w:rPr>
                  </w:pPr>
                  <w:r>
                    <w:rPr>
                      <w:color w:val="000000"/>
                      <w:szCs w:val="21"/>
                    </w:rPr>
                    <w:t>高空传送带</w:t>
                  </w:r>
                </w:p>
              </w:tc>
              <w:tc>
                <w:tcPr>
                  <w:tcW w:w="480" w:type="dxa"/>
                  <w:tcBorders>
                    <w:top w:val="single" w:color="auto" w:sz="6" w:space="0"/>
                    <w:left w:val="single" w:color="auto" w:sz="6" w:space="0"/>
                    <w:bottom w:val="single" w:color="auto" w:sz="6" w:space="0"/>
                    <w:right w:val="single" w:color="auto" w:sz="6" w:space="0"/>
                  </w:tcBorders>
                  <w:vAlign w:val="center"/>
                </w:tcPr>
                <w:p w14:paraId="7901A661">
                  <w:pPr>
                    <w:jc w:val="center"/>
                    <w:rPr>
                      <w:color w:val="000000"/>
                      <w:szCs w:val="21"/>
                    </w:rPr>
                  </w:pPr>
                  <w:r>
                    <w:rPr>
                      <w:color w:val="000000"/>
                      <w:szCs w:val="21"/>
                    </w:rPr>
                    <w:t>1</w:t>
                  </w:r>
                </w:p>
              </w:tc>
              <w:tc>
                <w:tcPr>
                  <w:tcW w:w="760" w:type="dxa"/>
                  <w:tcBorders>
                    <w:top w:val="single" w:color="auto" w:sz="6" w:space="0"/>
                    <w:left w:val="single" w:color="auto" w:sz="6" w:space="0"/>
                    <w:bottom w:val="single" w:color="auto" w:sz="6" w:space="0"/>
                    <w:right w:val="single" w:color="auto" w:sz="6" w:space="0"/>
                  </w:tcBorders>
                  <w:vAlign w:val="center"/>
                </w:tcPr>
                <w:p w14:paraId="0C66CB41">
                  <w:pPr>
                    <w:adjustRightInd w:val="0"/>
                    <w:snapToGrid w:val="0"/>
                    <w:jc w:val="center"/>
                    <w:rPr>
                      <w:color w:val="000000"/>
                      <w:szCs w:val="21"/>
                    </w:rPr>
                  </w:pPr>
                  <w:r>
                    <w:rPr>
                      <w:color w:val="000000"/>
                      <w:szCs w:val="21"/>
                    </w:rPr>
                    <w:t>70-80</w:t>
                  </w:r>
                </w:p>
              </w:tc>
              <w:tc>
                <w:tcPr>
                  <w:tcW w:w="520" w:type="dxa"/>
                  <w:vMerge w:val="continue"/>
                  <w:tcBorders>
                    <w:left w:val="single" w:color="auto" w:sz="6" w:space="0"/>
                    <w:right w:val="single" w:color="auto" w:sz="6" w:space="0"/>
                  </w:tcBorders>
                  <w:vAlign w:val="center"/>
                </w:tcPr>
                <w:p w14:paraId="2B15C070">
                  <w:pPr>
                    <w:widowControl/>
                    <w:adjustRightInd w:val="0"/>
                    <w:snapToGrid w:val="0"/>
                    <w:jc w:val="center"/>
                    <w:rPr>
                      <w:color w:val="000000"/>
                      <w:szCs w:val="21"/>
                    </w:rPr>
                  </w:pPr>
                </w:p>
              </w:tc>
              <w:tc>
                <w:tcPr>
                  <w:tcW w:w="586" w:type="dxa"/>
                  <w:tcBorders>
                    <w:top w:val="single" w:color="auto" w:sz="6" w:space="0"/>
                    <w:left w:val="single" w:color="auto" w:sz="6" w:space="0"/>
                    <w:bottom w:val="single" w:color="auto" w:sz="6" w:space="0"/>
                    <w:right w:val="single" w:color="auto" w:sz="6" w:space="0"/>
                  </w:tcBorders>
                  <w:vAlign w:val="center"/>
                </w:tcPr>
                <w:p w14:paraId="0DCC5575">
                  <w:pPr>
                    <w:pStyle w:val="50"/>
                    <w:spacing w:beforeLines="0" w:line="240" w:lineRule="auto"/>
                    <w:rPr>
                      <w:rFonts w:ascii="Times New Roman" w:hAnsi="Times New Roman"/>
                      <w:bCs/>
                      <w:color w:val="000000"/>
                      <w:szCs w:val="21"/>
                    </w:rPr>
                  </w:pPr>
                  <w:r>
                    <w:rPr>
                      <w:rFonts w:ascii="Times New Roman" w:hAnsi="Times New Roman"/>
                      <w:bCs/>
                      <w:color w:val="000000"/>
                      <w:szCs w:val="21"/>
                    </w:rPr>
                    <w:t>142.81</w:t>
                  </w:r>
                </w:p>
              </w:tc>
              <w:tc>
                <w:tcPr>
                  <w:tcW w:w="534" w:type="dxa"/>
                  <w:tcBorders>
                    <w:top w:val="single" w:color="auto" w:sz="6" w:space="0"/>
                    <w:left w:val="single" w:color="auto" w:sz="6" w:space="0"/>
                    <w:bottom w:val="single" w:color="auto" w:sz="6" w:space="0"/>
                    <w:right w:val="single" w:color="auto" w:sz="6" w:space="0"/>
                  </w:tcBorders>
                  <w:vAlign w:val="center"/>
                </w:tcPr>
                <w:p w14:paraId="45262F0C">
                  <w:pPr>
                    <w:pStyle w:val="50"/>
                    <w:spacing w:beforeLines="0" w:line="240" w:lineRule="auto"/>
                    <w:rPr>
                      <w:rFonts w:ascii="Times New Roman" w:hAnsi="Times New Roman"/>
                      <w:bCs/>
                      <w:color w:val="000000"/>
                      <w:szCs w:val="21"/>
                    </w:rPr>
                  </w:pPr>
                  <w:r>
                    <w:rPr>
                      <w:rFonts w:ascii="Times New Roman" w:hAnsi="Times New Roman"/>
                      <w:bCs/>
                      <w:color w:val="000000"/>
                      <w:szCs w:val="21"/>
                    </w:rPr>
                    <w:t>-105.74</w:t>
                  </w:r>
                </w:p>
              </w:tc>
              <w:tc>
                <w:tcPr>
                  <w:tcW w:w="533" w:type="dxa"/>
                  <w:tcBorders>
                    <w:top w:val="single" w:color="auto" w:sz="6" w:space="0"/>
                    <w:left w:val="single" w:color="auto" w:sz="6" w:space="0"/>
                    <w:bottom w:val="single" w:color="auto" w:sz="6" w:space="0"/>
                    <w:right w:val="single" w:color="auto" w:sz="6" w:space="0"/>
                  </w:tcBorders>
                  <w:vAlign w:val="center"/>
                </w:tcPr>
                <w:p w14:paraId="6CF7B5AB">
                  <w:pPr>
                    <w:jc w:val="center"/>
                    <w:rPr>
                      <w:szCs w:val="21"/>
                    </w:rPr>
                  </w:pPr>
                  <w:r>
                    <w:rPr>
                      <w:rFonts w:hint="eastAsia"/>
                      <w:bCs/>
                      <w:color w:val="000000"/>
                      <w:szCs w:val="21"/>
                    </w:rPr>
                    <w:t>7.5</w:t>
                  </w:r>
                </w:p>
              </w:tc>
              <w:tc>
                <w:tcPr>
                  <w:tcW w:w="517" w:type="dxa"/>
                  <w:tcBorders>
                    <w:top w:val="single" w:color="auto" w:sz="6" w:space="0"/>
                    <w:left w:val="single" w:color="auto" w:sz="6" w:space="0"/>
                    <w:bottom w:val="single" w:color="auto" w:sz="6" w:space="0"/>
                    <w:right w:val="single" w:color="auto" w:sz="6" w:space="0"/>
                  </w:tcBorders>
                  <w:vAlign w:val="center"/>
                </w:tcPr>
                <w:p w14:paraId="43FC4EC7">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6C8D95CF">
                  <w:pPr>
                    <w:jc w:val="center"/>
                    <w:rPr>
                      <w:color w:val="000000"/>
                      <w:kern w:val="0"/>
                      <w:szCs w:val="21"/>
                    </w:rPr>
                  </w:pPr>
                  <w:r>
                    <w:rPr>
                      <w:color w:val="000000"/>
                      <w:kern w:val="0"/>
                      <w:szCs w:val="21"/>
                    </w:rPr>
                    <w:t>60-65</w:t>
                  </w:r>
                </w:p>
              </w:tc>
              <w:tc>
                <w:tcPr>
                  <w:tcW w:w="733" w:type="dxa"/>
                  <w:vMerge w:val="continue"/>
                  <w:tcBorders>
                    <w:left w:val="single" w:color="auto" w:sz="6" w:space="0"/>
                    <w:right w:val="single" w:color="auto" w:sz="6" w:space="0"/>
                  </w:tcBorders>
                  <w:vAlign w:val="center"/>
                </w:tcPr>
                <w:p w14:paraId="185BC96A">
                  <w:pPr>
                    <w:widowControl/>
                    <w:adjustRightInd w:val="0"/>
                    <w:snapToGrid w:val="0"/>
                    <w:jc w:val="center"/>
                    <w:rPr>
                      <w:bCs/>
                      <w:color w:val="000000"/>
                      <w:szCs w:val="21"/>
                    </w:rPr>
                  </w:pPr>
                </w:p>
              </w:tc>
              <w:tc>
                <w:tcPr>
                  <w:tcW w:w="644" w:type="dxa"/>
                  <w:tcBorders>
                    <w:top w:val="single" w:color="auto" w:sz="6" w:space="0"/>
                    <w:left w:val="single" w:color="auto" w:sz="6" w:space="0"/>
                    <w:bottom w:val="single" w:color="auto" w:sz="6" w:space="0"/>
                    <w:right w:val="single" w:color="auto" w:sz="6" w:space="0"/>
                  </w:tcBorders>
                  <w:vAlign w:val="center"/>
                </w:tcPr>
                <w:p w14:paraId="74E64BC1">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195D5C5A">
                  <w:pPr>
                    <w:jc w:val="center"/>
                    <w:rPr>
                      <w:bCs/>
                      <w:color w:val="000000"/>
                      <w:szCs w:val="21"/>
                    </w:rPr>
                  </w:pPr>
                  <w:r>
                    <w:rPr>
                      <w:bCs/>
                      <w:color w:val="000000"/>
                      <w:szCs w:val="21"/>
                    </w:rPr>
                    <w:t>50-55</w:t>
                  </w:r>
                </w:p>
              </w:tc>
              <w:tc>
                <w:tcPr>
                  <w:tcW w:w="402" w:type="dxa"/>
                  <w:tcBorders>
                    <w:top w:val="single" w:color="auto" w:sz="6" w:space="0"/>
                    <w:left w:val="single" w:color="auto" w:sz="6" w:space="0"/>
                    <w:bottom w:val="single" w:color="auto" w:sz="6" w:space="0"/>
                    <w:right w:val="single" w:color="auto" w:sz="12" w:space="0"/>
                  </w:tcBorders>
                  <w:vAlign w:val="center"/>
                </w:tcPr>
                <w:p w14:paraId="308BCE32">
                  <w:pPr>
                    <w:pStyle w:val="50"/>
                    <w:spacing w:beforeLines="0" w:line="240" w:lineRule="auto"/>
                    <w:rPr>
                      <w:rFonts w:ascii="Times New Roman" w:hAnsi="Times New Roman"/>
                      <w:bCs/>
                      <w:color w:val="000000"/>
                      <w:szCs w:val="21"/>
                    </w:rPr>
                  </w:pPr>
                  <w:r>
                    <w:rPr>
                      <w:rFonts w:ascii="Times New Roman" w:hAnsi="Times New Roman"/>
                      <w:bCs/>
                      <w:color w:val="000000"/>
                      <w:szCs w:val="21"/>
                    </w:rPr>
                    <w:t>1</w:t>
                  </w:r>
                </w:p>
              </w:tc>
            </w:tr>
            <w:tr w14:paraId="39A42E5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dxa"/>
                  <w:tcBorders>
                    <w:top w:val="single" w:color="auto" w:sz="6" w:space="0"/>
                    <w:left w:val="single" w:color="auto" w:sz="12" w:space="0"/>
                    <w:bottom w:val="single" w:color="auto" w:sz="6" w:space="0"/>
                    <w:right w:val="single" w:color="auto" w:sz="6" w:space="0"/>
                  </w:tcBorders>
                  <w:vAlign w:val="center"/>
                </w:tcPr>
                <w:p w14:paraId="71964224">
                  <w:pPr>
                    <w:widowControl/>
                    <w:adjustRightInd w:val="0"/>
                    <w:snapToGrid w:val="0"/>
                    <w:jc w:val="center"/>
                    <w:rPr>
                      <w:bCs/>
                      <w:color w:val="000000"/>
                      <w:szCs w:val="21"/>
                    </w:rPr>
                  </w:pPr>
                  <w:r>
                    <w:rPr>
                      <w:bCs/>
                      <w:color w:val="000000"/>
                      <w:szCs w:val="21"/>
                    </w:rPr>
                    <w:t>45</w:t>
                  </w:r>
                </w:p>
              </w:tc>
              <w:tc>
                <w:tcPr>
                  <w:tcW w:w="431" w:type="dxa"/>
                  <w:vMerge w:val="continue"/>
                  <w:tcBorders>
                    <w:left w:val="single" w:color="auto" w:sz="6" w:space="0"/>
                    <w:right w:val="single" w:color="auto" w:sz="6" w:space="0"/>
                  </w:tcBorders>
                  <w:vAlign w:val="center"/>
                </w:tcPr>
                <w:p w14:paraId="4F0A51D9">
                  <w:pPr>
                    <w:jc w:val="center"/>
                    <w:rPr>
                      <w:color w:val="000000"/>
                      <w:szCs w:val="21"/>
                    </w:rPr>
                  </w:pPr>
                </w:p>
              </w:tc>
              <w:tc>
                <w:tcPr>
                  <w:tcW w:w="707" w:type="dxa"/>
                  <w:tcBorders>
                    <w:top w:val="single" w:color="auto" w:sz="6" w:space="0"/>
                    <w:left w:val="single" w:color="auto" w:sz="6" w:space="0"/>
                    <w:bottom w:val="single" w:color="auto" w:sz="6" w:space="0"/>
                    <w:right w:val="single" w:color="auto" w:sz="6" w:space="0"/>
                  </w:tcBorders>
                  <w:vAlign w:val="center"/>
                </w:tcPr>
                <w:p w14:paraId="72D461FB">
                  <w:pPr>
                    <w:jc w:val="center"/>
                    <w:rPr>
                      <w:color w:val="000000"/>
                      <w:szCs w:val="21"/>
                    </w:rPr>
                  </w:pPr>
                  <w:r>
                    <w:rPr>
                      <w:color w:val="000000"/>
                      <w:szCs w:val="21"/>
                    </w:rPr>
                    <w:t>正反传送带</w:t>
                  </w:r>
                </w:p>
              </w:tc>
              <w:tc>
                <w:tcPr>
                  <w:tcW w:w="480" w:type="dxa"/>
                  <w:tcBorders>
                    <w:top w:val="single" w:color="auto" w:sz="6" w:space="0"/>
                    <w:left w:val="single" w:color="auto" w:sz="6" w:space="0"/>
                    <w:bottom w:val="single" w:color="auto" w:sz="6" w:space="0"/>
                    <w:right w:val="single" w:color="auto" w:sz="6" w:space="0"/>
                  </w:tcBorders>
                  <w:vAlign w:val="center"/>
                </w:tcPr>
                <w:p w14:paraId="1F3769DB">
                  <w:pPr>
                    <w:jc w:val="center"/>
                    <w:rPr>
                      <w:color w:val="000000"/>
                      <w:szCs w:val="21"/>
                    </w:rPr>
                  </w:pPr>
                  <w:r>
                    <w:rPr>
                      <w:color w:val="000000"/>
                      <w:szCs w:val="21"/>
                    </w:rPr>
                    <w:t>1</w:t>
                  </w:r>
                </w:p>
              </w:tc>
              <w:tc>
                <w:tcPr>
                  <w:tcW w:w="760" w:type="dxa"/>
                  <w:tcBorders>
                    <w:top w:val="single" w:color="auto" w:sz="6" w:space="0"/>
                    <w:left w:val="single" w:color="auto" w:sz="6" w:space="0"/>
                    <w:bottom w:val="single" w:color="auto" w:sz="6" w:space="0"/>
                    <w:right w:val="single" w:color="auto" w:sz="6" w:space="0"/>
                  </w:tcBorders>
                  <w:vAlign w:val="center"/>
                </w:tcPr>
                <w:p w14:paraId="10B2FECA">
                  <w:pPr>
                    <w:adjustRightInd w:val="0"/>
                    <w:snapToGrid w:val="0"/>
                    <w:jc w:val="center"/>
                    <w:rPr>
                      <w:color w:val="000000"/>
                      <w:szCs w:val="21"/>
                    </w:rPr>
                  </w:pPr>
                  <w:r>
                    <w:rPr>
                      <w:color w:val="000000"/>
                      <w:szCs w:val="21"/>
                    </w:rPr>
                    <w:t>70-80</w:t>
                  </w:r>
                </w:p>
              </w:tc>
              <w:tc>
                <w:tcPr>
                  <w:tcW w:w="520" w:type="dxa"/>
                  <w:vMerge w:val="continue"/>
                  <w:tcBorders>
                    <w:left w:val="single" w:color="auto" w:sz="6" w:space="0"/>
                    <w:right w:val="single" w:color="auto" w:sz="6" w:space="0"/>
                  </w:tcBorders>
                  <w:vAlign w:val="center"/>
                </w:tcPr>
                <w:p w14:paraId="4CFEE6D5">
                  <w:pPr>
                    <w:widowControl/>
                    <w:adjustRightInd w:val="0"/>
                    <w:snapToGrid w:val="0"/>
                    <w:jc w:val="center"/>
                    <w:rPr>
                      <w:color w:val="000000"/>
                      <w:szCs w:val="21"/>
                    </w:rPr>
                  </w:pPr>
                </w:p>
              </w:tc>
              <w:tc>
                <w:tcPr>
                  <w:tcW w:w="586" w:type="dxa"/>
                  <w:tcBorders>
                    <w:top w:val="single" w:color="auto" w:sz="6" w:space="0"/>
                    <w:left w:val="single" w:color="auto" w:sz="6" w:space="0"/>
                    <w:bottom w:val="single" w:color="auto" w:sz="6" w:space="0"/>
                    <w:right w:val="single" w:color="auto" w:sz="6" w:space="0"/>
                  </w:tcBorders>
                  <w:vAlign w:val="center"/>
                </w:tcPr>
                <w:p w14:paraId="4BB2F1A5">
                  <w:pPr>
                    <w:pStyle w:val="50"/>
                    <w:spacing w:beforeLines="0" w:line="240" w:lineRule="auto"/>
                    <w:rPr>
                      <w:rFonts w:ascii="Times New Roman" w:hAnsi="Times New Roman"/>
                      <w:bCs/>
                      <w:color w:val="000000"/>
                      <w:szCs w:val="21"/>
                    </w:rPr>
                  </w:pPr>
                  <w:r>
                    <w:rPr>
                      <w:rFonts w:ascii="Times New Roman" w:hAnsi="Times New Roman"/>
                      <w:bCs/>
                      <w:color w:val="000000"/>
                      <w:szCs w:val="21"/>
                    </w:rPr>
                    <w:t>137.15</w:t>
                  </w:r>
                </w:p>
              </w:tc>
              <w:tc>
                <w:tcPr>
                  <w:tcW w:w="534" w:type="dxa"/>
                  <w:tcBorders>
                    <w:top w:val="single" w:color="auto" w:sz="6" w:space="0"/>
                    <w:left w:val="single" w:color="auto" w:sz="6" w:space="0"/>
                    <w:bottom w:val="single" w:color="auto" w:sz="6" w:space="0"/>
                    <w:right w:val="single" w:color="auto" w:sz="6" w:space="0"/>
                  </w:tcBorders>
                  <w:vAlign w:val="center"/>
                </w:tcPr>
                <w:p w14:paraId="4EBDB5A5">
                  <w:pPr>
                    <w:pStyle w:val="50"/>
                    <w:spacing w:beforeLines="0" w:line="240" w:lineRule="auto"/>
                    <w:rPr>
                      <w:rFonts w:ascii="Times New Roman" w:hAnsi="Times New Roman"/>
                      <w:bCs/>
                      <w:color w:val="000000"/>
                      <w:szCs w:val="21"/>
                    </w:rPr>
                  </w:pPr>
                  <w:r>
                    <w:rPr>
                      <w:rFonts w:ascii="Times New Roman" w:hAnsi="Times New Roman"/>
                      <w:bCs/>
                      <w:color w:val="000000"/>
                      <w:szCs w:val="21"/>
                    </w:rPr>
                    <w:t>-98.57</w:t>
                  </w:r>
                </w:p>
              </w:tc>
              <w:tc>
                <w:tcPr>
                  <w:tcW w:w="533" w:type="dxa"/>
                  <w:tcBorders>
                    <w:top w:val="single" w:color="auto" w:sz="6" w:space="0"/>
                    <w:left w:val="single" w:color="auto" w:sz="6" w:space="0"/>
                    <w:bottom w:val="single" w:color="auto" w:sz="6" w:space="0"/>
                    <w:right w:val="single" w:color="auto" w:sz="6" w:space="0"/>
                  </w:tcBorders>
                  <w:vAlign w:val="center"/>
                </w:tcPr>
                <w:p w14:paraId="477FDDD6">
                  <w:pPr>
                    <w:jc w:val="center"/>
                    <w:rPr>
                      <w:szCs w:val="21"/>
                    </w:rPr>
                  </w:pPr>
                  <w:r>
                    <w:rPr>
                      <w:rFonts w:hint="eastAsia"/>
                      <w:bCs/>
                      <w:color w:val="000000"/>
                      <w:szCs w:val="21"/>
                    </w:rPr>
                    <w:t>7.5</w:t>
                  </w:r>
                </w:p>
              </w:tc>
              <w:tc>
                <w:tcPr>
                  <w:tcW w:w="517" w:type="dxa"/>
                  <w:tcBorders>
                    <w:top w:val="single" w:color="auto" w:sz="6" w:space="0"/>
                    <w:left w:val="single" w:color="auto" w:sz="6" w:space="0"/>
                    <w:bottom w:val="single" w:color="auto" w:sz="6" w:space="0"/>
                    <w:right w:val="single" w:color="auto" w:sz="6" w:space="0"/>
                  </w:tcBorders>
                  <w:vAlign w:val="center"/>
                </w:tcPr>
                <w:p w14:paraId="447FD818">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4B6B11EA">
                  <w:pPr>
                    <w:pStyle w:val="50"/>
                    <w:spacing w:beforeLines="0" w:line="240" w:lineRule="auto"/>
                    <w:rPr>
                      <w:rFonts w:ascii="Times New Roman" w:hAnsi="Times New Roman"/>
                      <w:color w:val="000000"/>
                      <w:kern w:val="0"/>
                      <w:szCs w:val="21"/>
                    </w:rPr>
                  </w:pPr>
                  <w:r>
                    <w:rPr>
                      <w:rFonts w:ascii="Times New Roman" w:hAnsi="Times New Roman"/>
                      <w:color w:val="000000"/>
                      <w:kern w:val="0"/>
                      <w:szCs w:val="21"/>
                    </w:rPr>
                    <w:t>60-65</w:t>
                  </w:r>
                </w:p>
              </w:tc>
              <w:tc>
                <w:tcPr>
                  <w:tcW w:w="733" w:type="dxa"/>
                  <w:vMerge w:val="continue"/>
                  <w:tcBorders>
                    <w:left w:val="single" w:color="auto" w:sz="6" w:space="0"/>
                    <w:right w:val="single" w:color="auto" w:sz="6" w:space="0"/>
                  </w:tcBorders>
                  <w:vAlign w:val="center"/>
                </w:tcPr>
                <w:p w14:paraId="3BE81208">
                  <w:pPr>
                    <w:widowControl/>
                    <w:adjustRightInd w:val="0"/>
                    <w:snapToGrid w:val="0"/>
                    <w:jc w:val="center"/>
                    <w:rPr>
                      <w:bCs/>
                      <w:color w:val="000000"/>
                      <w:szCs w:val="21"/>
                    </w:rPr>
                  </w:pPr>
                </w:p>
              </w:tc>
              <w:tc>
                <w:tcPr>
                  <w:tcW w:w="644" w:type="dxa"/>
                  <w:tcBorders>
                    <w:top w:val="single" w:color="auto" w:sz="6" w:space="0"/>
                    <w:left w:val="single" w:color="auto" w:sz="6" w:space="0"/>
                    <w:bottom w:val="single" w:color="auto" w:sz="6" w:space="0"/>
                    <w:right w:val="single" w:color="auto" w:sz="6" w:space="0"/>
                  </w:tcBorders>
                  <w:vAlign w:val="center"/>
                </w:tcPr>
                <w:p w14:paraId="33B13925">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181E06A4">
                  <w:pPr>
                    <w:pStyle w:val="50"/>
                    <w:spacing w:beforeLines="0" w:line="240" w:lineRule="auto"/>
                    <w:rPr>
                      <w:rFonts w:ascii="Times New Roman" w:hAnsi="Times New Roman"/>
                      <w:bCs/>
                      <w:color w:val="000000"/>
                      <w:szCs w:val="21"/>
                    </w:rPr>
                  </w:pPr>
                  <w:r>
                    <w:rPr>
                      <w:rFonts w:ascii="Times New Roman" w:hAnsi="Times New Roman"/>
                      <w:bCs/>
                      <w:color w:val="000000"/>
                      <w:szCs w:val="21"/>
                    </w:rPr>
                    <w:t>50-55</w:t>
                  </w:r>
                </w:p>
              </w:tc>
              <w:tc>
                <w:tcPr>
                  <w:tcW w:w="402" w:type="dxa"/>
                  <w:tcBorders>
                    <w:top w:val="single" w:color="auto" w:sz="6" w:space="0"/>
                    <w:left w:val="single" w:color="auto" w:sz="6" w:space="0"/>
                    <w:bottom w:val="single" w:color="auto" w:sz="6" w:space="0"/>
                    <w:right w:val="single" w:color="auto" w:sz="12" w:space="0"/>
                  </w:tcBorders>
                  <w:vAlign w:val="center"/>
                </w:tcPr>
                <w:p w14:paraId="62D95674">
                  <w:pPr>
                    <w:pStyle w:val="50"/>
                    <w:spacing w:beforeLines="0" w:line="240" w:lineRule="auto"/>
                    <w:rPr>
                      <w:rFonts w:ascii="Times New Roman" w:hAnsi="Times New Roman"/>
                      <w:bCs/>
                      <w:color w:val="000000"/>
                      <w:szCs w:val="21"/>
                    </w:rPr>
                  </w:pPr>
                  <w:r>
                    <w:rPr>
                      <w:rFonts w:ascii="Times New Roman" w:hAnsi="Times New Roman"/>
                      <w:bCs/>
                      <w:color w:val="000000"/>
                      <w:szCs w:val="21"/>
                    </w:rPr>
                    <w:t>1</w:t>
                  </w:r>
                </w:p>
              </w:tc>
            </w:tr>
            <w:tr w14:paraId="17769C5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dxa"/>
                  <w:tcBorders>
                    <w:top w:val="single" w:color="auto" w:sz="6" w:space="0"/>
                    <w:left w:val="single" w:color="auto" w:sz="12" w:space="0"/>
                    <w:bottom w:val="single" w:color="auto" w:sz="6" w:space="0"/>
                    <w:right w:val="single" w:color="auto" w:sz="6" w:space="0"/>
                  </w:tcBorders>
                  <w:vAlign w:val="center"/>
                </w:tcPr>
                <w:p w14:paraId="51C495AC">
                  <w:pPr>
                    <w:widowControl/>
                    <w:adjustRightInd w:val="0"/>
                    <w:snapToGrid w:val="0"/>
                    <w:jc w:val="center"/>
                    <w:rPr>
                      <w:bCs/>
                      <w:color w:val="000000"/>
                      <w:szCs w:val="21"/>
                    </w:rPr>
                  </w:pPr>
                  <w:r>
                    <w:rPr>
                      <w:bCs/>
                      <w:color w:val="000000"/>
                      <w:szCs w:val="21"/>
                    </w:rPr>
                    <w:t>46</w:t>
                  </w:r>
                </w:p>
              </w:tc>
              <w:tc>
                <w:tcPr>
                  <w:tcW w:w="431" w:type="dxa"/>
                  <w:vMerge w:val="continue"/>
                  <w:tcBorders>
                    <w:left w:val="single" w:color="auto" w:sz="6" w:space="0"/>
                    <w:right w:val="single" w:color="auto" w:sz="6" w:space="0"/>
                  </w:tcBorders>
                  <w:vAlign w:val="center"/>
                </w:tcPr>
                <w:p w14:paraId="55792949">
                  <w:pPr>
                    <w:jc w:val="center"/>
                    <w:rPr>
                      <w:color w:val="000000"/>
                      <w:szCs w:val="21"/>
                    </w:rPr>
                  </w:pPr>
                </w:p>
              </w:tc>
              <w:tc>
                <w:tcPr>
                  <w:tcW w:w="707" w:type="dxa"/>
                  <w:tcBorders>
                    <w:top w:val="single" w:color="auto" w:sz="6" w:space="0"/>
                    <w:left w:val="single" w:color="auto" w:sz="6" w:space="0"/>
                    <w:bottom w:val="single" w:color="auto" w:sz="6" w:space="0"/>
                    <w:right w:val="single" w:color="auto" w:sz="6" w:space="0"/>
                  </w:tcBorders>
                  <w:vAlign w:val="center"/>
                </w:tcPr>
                <w:p w14:paraId="641E01D2">
                  <w:pPr>
                    <w:jc w:val="center"/>
                    <w:rPr>
                      <w:color w:val="000000"/>
                      <w:szCs w:val="21"/>
                    </w:rPr>
                  </w:pPr>
                  <w:r>
                    <w:rPr>
                      <w:color w:val="000000"/>
                      <w:szCs w:val="21"/>
                    </w:rPr>
                    <w:t>金检机</w:t>
                  </w:r>
                </w:p>
              </w:tc>
              <w:tc>
                <w:tcPr>
                  <w:tcW w:w="480" w:type="dxa"/>
                  <w:tcBorders>
                    <w:top w:val="single" w:color="auto" w:sz="6" w:space="0"/>
                    <w:left w:val="single" w:color="auto" w:sz="6" w:space="0"/>
                    <w:bottom w:val="single" w:color="auto" w:sz="6" w:space="0"/>
                    <w:right w:val="single" w:color="auto" w:sz="6" w:space="0"/>
                  </w:tcBorders>
                  <w:vAlign w:val="center"/>
                </w:tcPr>
                <w:p w14:paraId="2F49B00E">
                  <w:pPr>
                    <w:jc w:val="center"/>
                    <w:rPr>
                      <w:color w:val="000000"/>
                      <w:szCs w:val="21"/>
                    </w:rPr>
                  </w:pPr>
                  <w:r>
                    <w:rPr>
                      <w:color w:val="000000"/>
                      <w:szCs w:val="21"/>
                    </w:rPr>
                    <w:t>1</w:t>
                  </w:r>
                </w:p>
              </w:tc>
              <w:tc>
                <w:tcPr>
                  <w:tcW w:w="760" w:type="dxa"/>
                  <w:tcBorders>
                    <w:top w:val="single" w:color="auto" w:sz="6" w:space="0"/>
                    <w:left w:val="single" w:color="auto" w:sz="6" w:space="0"/>
                    <w:bottom w:val="single" w:color="auto" w:sz="6" w:space="0"/>
                    <w:right w:val="single" w:color="auto" w:sz="6" w:space="0"/>
                  </w:tcBorders>
                  <w:vAlign w:val="center"/>
                </w:tcPr>
                <w:p w14:paraId="51AB7F2D">
                  <w:pPr>
                    <w:adjustRightInd w:val="0"/>
                    <w:snapToGrid w:val="0"/>
                    <w:jc w:val="center"/>
                    <w:rPr>
                      <w:color w:val="000000"/>
                      <w:szCs w:val="21"/>
                    </w:rPr>
                  </w:pPr>
                  <w:r>
                    <w:rPr>
                      <w:color w:val="000000"/>
                      <w:szCs w:val="21"/>
                    </w:rPr>
                    <w:t>60-70</w:t>
                  </w:r>
                </w:p>
              </w:tc>
              <w:tc>
                <w:tcPr>
                  <w:tcW w:w="520" w:type="dxa"/>
                  <w:vMerge w:val="continue"/>
                  <w:tcBorders>
                    <w:left w:val="single" w:color="auto" w:sz="6" w:space="0"/>
                    <w:right w:val="single" w:color="auto" w:sz="6" w:space="0"/>
                  </w:tcBorders>
                  <w:vAlign w:val="center"/>
                </w:tcPr>
                <w:p w14:paraId="080EFFD8">
                  <w:pPr>
                    <w:widowControl/>
                    <w:adjustRightInd w:val="0"/>
                    <w:snapToGrid w:val="0"/>
                    <w:jc w:val="center"/>
                    <w:rPr>
                      <w:color w:val="000000"/>
                      <w:szCs w:val="21"/>
                    </w:rPr>
                  </w:pPr>
                </w:p>
              </w:tc>
              <w:tc>
                <w:tcPr>
                  <w:tcW w:w="586" w:type="dxa"/>
                  <w:tcBorders>
                    <w:top w:val="single" w:color="auto" w:sz="6" w:space="0"/>
                    <w:left w:val="single" w:color="auto" w:sz="6" w:space="0"/>
                    <w:bottom w:val="single" w:color="auto" w:sz="6" w:space="0"/>
                    <w:right w:val="single" w:color="auto" w:sz="6" w:space="0"/>
                  </w:tcBorders>
                  <w:vAlign w:val="center"/>
                </w:tcPr>
                <w:p w14:paraId="5F5E26FB">
                  <w:pPr>
                    <w:pStyle w:val="50"/>
                    <w:spacing w:beforeLines="0" w:line="240" w:lineRule="auto"/>
                    <w:rPr>
                      <w:rFonts w:ascii="Times New Roman" w:hAnsi="Times New Roman"/>
                      <w:bCs/>
                      <w:color w:val="000000"/>
                      <w:szCs w:val="21"/>
                    </w:rPr>
                  </w:pPr>
                  <w:r>
                    <w:rPr>
                      <w:rFonts w:ascii="Times New Roman" w:hAnsi="Times New Roman"/>
                      <w:bCs/>
                      <w:color w:val="000000"/>
                      <w:szCs w:val="21"/>
                    </w:rPr>
                    <w:t>112.44</w:t>
                  </w:r>
                </w:p>
              </w:tc>
              <w:tc>
                <w:tcPr>
                  <w:tcW w:w="534" w:type="dxa"/>
                  <w:tcBorders>
                    <w:top w:val="single" w:color="auto" w:sz="6" w:space="0"/>
                    <w:left w:val="single" w:color="auto" w:sz="6" w:space="0"/>
                    <w:bottom w:val="single" w:color="auto" w:sz="6" w:space="0"/>
                    <w:right w:val="single" w:color="auto" w:sz="6" w:space="0"/>
                  </w:tcBorders>
                  <w:vAlign w:val="center"/>
                </w:tcPr>
                <w:p w14:paraId="0F06EE4C">
                  <w:pPr>
                    <w:pStyle w:val="50"/>
                    <w:spacing w:beforeLines="0" w:line="240" w:lineRule="auto"/>
                    <w:rPr>
                      <w:rFonts w:ascii="Times New Roman" w:hAnsi="Times New Roman"/>
                      <w:bCs/>
                      <w:color w:val="000000"/>
                      <w:szCs w:val="21"/>
                    </w:rPr>
                  </w:pPr>
                  <w:r>
                    <w:rPr>
                      <w:rFonts w:ascii="Times New Roman" w:hAnsi="Times New Roman"/>
                      <w:bCs/>
                      <w:color w:val="000000"/>
                      <w:szCs w:val="21"/>
                    </w:rPr>
                    <w:t>-125.11</w:t>
                  </w:r>
                </w:p>
              </w:tc>
              <w:tc>
                <w:tcPr>
                  <w:tcW w:w="533" w:type="dxa"/>
                  <w:tcBorders>
                    <w:top w:val="single" w:color="auto" w:sz="6" w:space="0"/>
                    <w:left w:val="single" w:color="auto" w:sz="6" w:space="0"/>
                    <w:bottom w:val="single" w:color="auto" w:sz="6" w:space="0"/>
                    <w:right w:val="single" w:color="auto" w:sz="6" w:space="0"/>
                  </w:tcBorders>
                  <w:vAlign w:val="center"/>
                </w:tcPr>
                <w:p w14:paraId="7965446D">
                  <w:pPr>
                    <w:jc w:val="center"/>
                    <w:rPr>
                      <w:szCs w:val="21"/>
                    </w:rPr>
                  </w:pPr>
                  <w:r>
                    <w:rPr>
                      <w:rFonts w:hint="eastAsia"/>
                      <w:bCs/>
                      <w:color w:val="000000"/>
                      <w:szCs w:val="21"/>
                    </w:rPr>
                    <w:t>7.5</w:t>
                  </w:r>
                </w:p>
              </w:tc>
              <w:tc>
                <w:tcPr>
                  <w:tcW w:w="517" w:type="dxa"/>
                  <w:tcBorders>
                    <w:top w:val="single" w:color="auto" w:sz="6" w:space="0"/>
                    <w:left w:val="single" w:color="auto" w:sz="6" w:space="0"/>
                    <w:bottom w:val="single" w:color="auto" w:sz="6" w:space="0"/>
                    <w:right w:val="single" w:color="auto" w:sz="6" w:space="0"/>
                  </w:tcBorders>
                  <w:vAlign w:val="center"/>
                </w:tcPr>
                <w:p w14:paraId="41589697">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69B3930B">
                  <w:pPr>
                    <w:pStyle w:val="50"/>
                    <w:spacing w:beforeLines="0" w:line="240" w:lineRule="auto"/>
                    <w:rPr>
                      <w:rFonts w:ascii="Times New Roman" w:hAnsi="Times New Roman"/>
                      <w:color w:val="000000"/>
                      <w:kern w:val="0"/>
                      <w:szCs w:val="21"/>
                    </w:rPr>
                  </w:pPr>
                  <w:r>
                    <w:rPr>
                      <w:rFonts w:ascii="Times New Roman" w:hAnsi="Times New Roman"/>
                      <w:color w:val="000000"/>
                      <w:kern w:val="0"/>
                      <w:szCs w:val="21"/>
                    </w:rPr>
                    <w:t>45-55</w:t>
                  </w:r>
                </w:p>
              </w:tc>
              <w:tc>
                <w:tcPr>
                  <w:tcW w:w="733" w:type="dxa"/>
                  <w:vMerge w:val="continue"/>
                  <w:tcBorders>
                    <w:left w:val="single" w:color="auto" w:sz="6" w:space="0"/>
                    <w:right w:val="single" w:color="auto" w:sz="6" w:space="0"/>
                  </w:tcBorders>
                  <w:vAlign w:val="center"/>
                </w:tcPr>
                <w:p w14:paraId="68A36C48">
                  <w:pPr>
                    <w:widowControl/>
                    <w:adjustRightInd w:val="0"/>
                    <w:snapToGrid w:val="0"/>
                    <w:jc w:val="center"/>
                    <w:rPr>
                      <w:bCs/>
                      <w:color w:val="000000"/>
                      <w:szCs w:val="21"/>
                    </w:rPr>
                  </w:pPr>
                </w:p>
              </w:tc>
              <w:tc>
                <w:tcPr>
                  <w:tcW w:w="644" w:type="dxa"/>
                  <w:tcBorders>
                    <w:top w:val="single" w:color="auto" w:sz="6" w:space="0"/>
                    <w:left w:val="single" w:color="auto" w:sz="6" w:space="0"/>
                    <w:bottom w:val="single" w:color="auto" w:sz="6" w:space="0"/>
                    <w:right w:val="single" w:color="auto" w:sz="6" w:space="0"/>
                  </w:tcBorders>
                  <w:vAlign w:val="center"/>
                </w:tcPr>
                <w:p w14:paraId="52A7821D">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74F11D53">
                  <w:pPr>
                    <w:pStyle w:val="50"/>
                    <w:spacing w:beforeLines="0" w:line="240" w:lineRule="auto"/>
                    <w:rPr>
                      <w:rFonts w:ascii="Times New Roman" w:hAnsi="Times New Roman"/>
                      <w:bCs/>
                      <w:color w:val="000000"/>
                      <w:szCs w:val="21"/>
                    </w:rPr>
                  </w:pPr>
                  <w:r>
                    <w:rPr>
                      <w:rFonts w:ascii="Times New Roman" w:hAnsi="Times New Roman"/>
                      <w:bCs/>
                      <w:color w:val="000000"/>
                      <w:szCs w:val="21"/>
                    </w:rPr>
                    <w:t>40-45</w:t>
                  </w:r>
                </w:p>
              </w:tc>
              <w:tc>
                <w:tcPr>
                  <w:tcW w:w="402" w:type="dxa"/>
                  <w:tcBorders>
                    <w:top w:val="single" w:color="auto" w:sz="6" w:space="0"/>
                    <w:left w:val="single" w:color="auto" w:sz="6" w:space="0"/>
                    <w:bottom w:val="single" w:color="auto" w:sz="6" w:space="0"/>
                    <w:right w:val="single" w:color="auto" w:sz="12" w:space="0"/>
                  </w:tcBorders>
                  <w:vAlign w:val="center"/>
                </w:tcPr>
                <w:p w14:paraId="3EFCDAB5">
                  <w:pPr>
                    <w:pStyle w:val="50"/>
                    <w:spacing w:beforeLines="0" w:line="240" w:lineRule="auto"/>
                    <w:rPr>
                      <w:rFonts w:ascii="Times New Roman" w:hAnsi="Times New Roman"/>
                      <w:bCs/>
                      <w:color w:val="000000"/>
                      <w:szCs w:val="21"/>
                    </w:rPr>
                  </w:pPr>
                  <w:r>
                    <w:rPr>
                      <w:rFonts w:ascii="Times New Roman" w:hAnsi="Times New Roman"/>
                      <w:bCs/>
                      <w:color w:val="000000"/>
                      <w:szCs w:val="21"/>
                    </w:rPr>
                    <w:t>1</w:t>
                  </w:r>
                </w:p>
              </w:tc>
            </w:tr>
            <w:tr w14:paraId="0ECEF55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dxa"/>
                  <w:tcBorders>
                    <w:top w:val="single" w:color="auto" w:sz="6" w:space="0"/>
                    <w:left w:val="single" w:color="auto" w:sz="12" w:space="0"/>
                    <w:bottom w:val="single" w:color="auto" w:sz="6" w:space="0"/>
                    <w:right w:val="single" w:color="auto" w:sz="6" w:space="0"/>
                  </w:tcBorders>
                  <w:vAlign w:val="center"/>
                </w:tcPr>
                <w:p w14:paraId="54CF04C5">
                  <w:pPr>
                    <w:widowControl/>
                    <w:adjustRightInd w:val="0"/>
                    <w:snapToGrid w:val="0"/>
                    <w:jc w:val="center"/>
                    <w:rPr>
                      <w:bCs/>
                      <w:color w:val="000000"/>
                      <w:szCs w:val="21"/>
                    </w:rPr>
                  </w:pPr>
                  <w:r>
                    <w:rPr>
                      <w:bCs/>
                      <w:color w:val="000000"/>
                      <w:szCs w:val="21"/>
                    </w:rPr>
                    <w:t>47</w:t>
                  </w:r>
                </w:p>
              </w:tc>
              <w:tc>
                <w:tcPr>
                  <w:tcW w:w="431" w:type="dxa"/>
                  <w:vMerge w:val="continue"/>
                  <w:tcBorders>
                    <w:left w:val="single" w:color="auto" w:sz="6" w:space="0"/>
                    <w:right w:val="single" w:color="auto" w:sz="6" w:space="0"/>
                  </w:tcBorders>
                  <w:vAlign w:val="center"/>
                </w:tcPr>
                <w:p w14:paraId="22DFA6E1">
                  <w:pPr>
                    <w:jc w:val="center"/>
                    <w:rPr>
                      <w:color w:val="000000"/>
                      <w:szCs w:val="21"/>
                    </w:rPr>
                  </w:pPr>
                </w:p>
              </w:tc>
              <w:tc>
                <w:tcPr>
                  <w:tcW w:w="707" w:type="dxa"/>
                  <w:tcBorders>
                    <w:top w:val="single" w:color="auto" w:sz="6" w:space="0"/>
                    <w:left w:val="single" w:color="auto" w:sz="6" w:space="0"/>
                    <w:bottom w:val="single" w:color="auto" w:sz="6" w:space="0"/>
                    <w:right w:val="single" w:color="auto" w:sz="6" w:space="0"/>
                  </w:tcBorders>
                  <w:vAlign w:val="center"/>
                </w:tcPr>
                <w:p w14:paraId="639AF14D">
                  <w:pPr>
                    <w:jc w:val="center"/>
                    <w:rPr>
                      <w:color w:val="000000"/>
                      <w:szCs w:val="21"/>
                    </w:rPr>
                  </w:pPr>
                  <w:r>
                    <w:rPr>
                      <w:color w:val="000000"/>
                      <w:szCs w:val="21"/>
                    </w:rPr>
                    <w:t>压缩空气机+储气罐+干燥机</w:t>
                  </w:r>
                </w:p>
              </w:tc>
              <w:tc>
                <w:tcPr>
                  <w:tcW w:w="480" w:type="dxa"/>
                  <w:tcBorders>
                    <w:top w:val="single" w:color="auto" w:sz="6" w:space="0"/>
                    <w:left w:val="single" w:color="auto" w:sz="6" w:space="0"/>
                    <w:bottom w:val="single" w:color="auto" w:sz="6" w:space="0"/>
                    <w:right w:val="single" w:color="auto" w:sz="6" w:space="0"/>
                  </w:tcBorders>
                  <w:vAlign w:val="center"/>
                </w:tcPr>
                <w:p w14:paraId="1E11A4DF">
                  <w:pPr>
                    <w:jc w:val="center"/>
                    <w:rPr>
                      <w:color w:val="000000"/>
                      <w:szCs w:val="21"/>
                    </w:rPr>
                  </w:pPr>
                  <w:r>
                    <w:rPr>
                      <w:color w:val="000000"/>
                      <w:szCs w:val="21"/>
                    </w:rPr>
                    <w:t>1</w:t>
                  </w:r>
                </w:p>
              </w:tc>
              <w:tc>
                <w:tcPr>
                  <w:tcW w:w="760" w:type="dxa"/>
                  <w:tcBorders>
                    <w:top w:val="single" w:color="auto" w:sz="6" w:space="0"/>
                    <w:left w:val="single" w:color="auto" w:sz="6" w:space="0"/>
                    <w:bottom w:val="single" w:color="auto" w:sz="6" w:space="0"/>
                    <w:right w:val="single" w:color="auto" w:sz="6" w:space="0"/>
                  </w:tcBorders>
                  <w:vAlign w:val="center"/>
                </w:tcPr>
                <w:p w14:paraId="0DD614E6">
                  <w:pPr>
                    <w:adjustRightInd w:val="0"/>
                    <w:snapToGrid w:val="0"/>
                    <w:jc w:val="center"/>
                    <w:rPr>
                      <w:color w:val="000000"/>
                      <w:szCs w:val="21"/>
                    </w:rPr>
                  </w:pPr>
                  <w:r>
                    <w:rPr>
                      <w:color w:val="000000"/>
                      <w:szCs w:val="21"/>
                    </w:rPr>
                    <w:t>65-75</w:t>
                  </w:r>
                </w:p>
              </w:tc>
              <w:tc>
                <w:tcPr>
                  <w:tcW w:w="520" w:type="dxa"/>
                  <w:vMerge w:val="continue"/>
                  <w:tcBorders>
                    <w:left w:val="single" w:color="auto" w:sz="6" w:space="0"/>
                    <w:right w:val="single" w:color="auto" w:sz="6" w:space="0"/>
                  </w:tcBorders>
                  <w:vAlign w:val="center"/>
                </w:tcPr>
                <w:p w14:paraId="102865DB">
                  <w:pPr>
                    <w:widowControl/>
                    <w:adjustRightInd w:val="0"/>
                    <w:snapToGrid w:val="0"/>
                    <w:jc w:val="center"/>
                    <w:rPr>
                      <w:color w:val="000000"/>
                      <w:szCs w:val="21"/>
                    </w:rPr>
                  </w:pPr>
                </w:p>
              </w:tc>
              <w:tc>
                <w:tcPr>
                  <w:tcW w:w="586" w:type="dxa"/>
                  <w:tcBorders>
                    <w:top w:val="single" w:color="auto" w:sz="6" w:space="0"/>
                    <w:left w:val="single" w:color="auto" w:sz="6" w:space="0"/>
                    <w:bottom w:val="single" w:color="auto" w:sz="6" w:space="0"/>
                    <w:right w:val="single" w:color="auto" w:sz="6" w:space="0"/>
                  </w:tcBorders>
                  <w:vAlign w:val="center"/>
                </w:tcPr>
                <w:p w14:paraId="14AEA117">
                  <w:pPr>
                    <w:pStyle w:val="50"/>
                    <w:spacing w:beforeLines="0" w:line="240" w:lineRule="auto"/>
                    <w:rPr>
                      <w:rFonts w:ascii="Times New Roman" w:hAnsi="Times New Roman"/>
                      <w:bCs/>
                      <w:color w:val="000000"/>
                      <w:szCs w:val="21"/>
                    </w:rPr>
                  </w:pPr>
                  <w:r>
                    <w:rPr>
                      <w:rFonts w:ascii="Times New Roman" w:hAnsi="Times New Roman"/>
                      <w:bCs/>
                      <w:color w:val="000000"/>
                      <w:szCs w:val="21"/>
                    </w:rPr>
                    <w:t>155.21</w:t>
                  </w:r>
                </w:p>
              </w:tc>
              <w:tc>
                <w:tcPr>
                  <w:tcW w:w="534" w:type="dxa"/>
                  <w:tcBorders>
                    <w:top w:val="single" w:color="auto" w:sz="6" w:space="0"/>
                    <w:left w:val="single" w:color="auto" w:sz="6" w:space="0"/>
                    <w:bottom w:val="single" w:color="auto" w:sz="6" w:space="0"/>
                    <w:right w:val="single" w:color="auto" w:sz="6" w:space="0"/>
                  </w:tcBorders>
                  <w:vAlign w:val="center"/>
                </w:tcPr>
                <w:p w14:paraId="4E51C34E">
                  <w:pPr>
                    <w:pStyle w:val="50"/>
                    <w:spacing w:beforeLines="0" w:line="240" w:lineRule="auto"/>
                    <w:rPr>
                      <w:rFonts w:ascii="Times New Roman" w:hAnsi="Times New Roman"/>
                      <w:bCs/>
                      <w:color w:val="000000"/>
                      <w:szCs w:val="21"/>
                    </w:rPr>
                  </w:pPr>
                  <w:r>
                    <w:rPr>
                      <w:rFonts w:ascii="Times New Roman" w:hAnsi="Times New Roman"/>
                      <w:bCs/>
                      <w:color w:val="000000"/>
                      <w:szCs w:val="21"/>
                    </w:rPr>
                    <w:t>-130.51</w:t>
                  </w:r>
                </w:p>
              </w:tc>
              <w:tc>
                <w:tcPr>
                  <w:tcW w:w="533" w:type="dxa"/>
                  <w:tcBorders>
                    <w:top w:val="single" w:color="auto" w:sz="6" w:space="0"/>
                    <w:left w:val="single" w:color="auto" w:sz="6" w:space="0"/>
                    <w:bottom w:val="single" w:color="auto" w:sz="6" w:space="0"/>
                    <w:right w:val="single" w:color="auto" w:sz="6" w:space="0"/>
                  </w:tcBorders>
                  <w:vAlign w:val="center"/>
                </w:tcPr>
                <w:p w14:paraId="488684DC">
                  <w:pPr>
                    <w:jc w:val="center"/>
                    <w:rPr>
                      <w:szCs w:val="21"/>
                    </w:rPr>
                  </w:pPr>
                  <w:r>
                    <w:rPr>
                      <w:rFonts w:hint="eastAsia"/>
                      <w:bCs/>
                      <w:color w:val="000000"/>
                      <w:szCs w:val="21"/>
                    </w:rPr>
                    <w:t>7.5</w:t>
                  </w:r>
                </w:p>
              </w:tc>
              <w:tc>
                <w:tcPr>
                  <w:tcW w:w="517" w:type="dxa"/>
                  <w:tcBorders>
                    <w:top w:val="single" w:color="auto" w:sz="6" w:space="0"/>
                    <w:left w:val="single" w:color="auto" w:sz="6" w:space="0"/>
                    <w:bottom w:val="single" w:color="auto" w:sz="6" w:space="0"/>
                    <w:right w:val="single" w:color="auto" w:sz="6" w:space="0"/>
                  </w:tcBorders>
                  <w:vAlign w:val="center"/>
                </w:tcPr>
                <w:p w14:paraId="4EE003BE">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657D4780">
                  <w:pPr>
                    <w:jc w:val="center"/>
                    <w:rPr>
                      <w:color w:val="000000"/>
                      <w:kern w:val="0"/>
                      <w:szCs w:val="21"/>
                    </w:rPr>
                  </w:pPr>
                  <w:r>
                    <w:rPr>
                      <w:color w:val="000000"/>
                      <w:kern w:val="0"/>
                      <w:szCs w:val="21"/>
                    </w:rPr>
                    <w:t>50-60</w:t>
                  </w:r>
                </w:p>
              </w:tc>
              <w:tc>
                <w:tcPr>
                  <w:tcW w:w="733" w:type="dxa"/>
                  <w:vMerge w:val="continue"/>
                  <w:tcBorders>
                    <w:left w:val="single" w:color="auto" w:sz="6" w:space="0"/>
                    <w:right w:val="single" w:color="auto" w:sz="6" w:space="0"/>
                  </w:tcBorders>
                  <w:vAlign w:val="center"/>
                </w:tcPr>
                <w:p w14:paraId="77F5C058">
                  <w:pPr>
                    <w:widowControl/>
                    <w:adjustRightInd w:val="0"/>
                    <w:snapToGrid w:val="0"/>
                    <w:jc w:val="center"/>
                    <w:rPr>
                      <w:bCs/>
                      <w:color w:val="000000"/>
                      <w:szCs w:val="21"/>
                    </w:rPr>
                  </w:pPr>
                </w:p>
              </w:tc>
              <w:tc>
                <w:tcPr>
                  <w:tcW w:w="644" w:type="dxa"/>
                  <w:tcBorders>
                    <w:top w:val="single" w:color="auto" w:sz="6" w:space="0"/>
                    <w:left w:val="single" w:color="auto" w:sz="6" w:space="0"/>
                    <w:bottom w:val="single" w:color="auto" w:sz="6" w:space="0"/>
                    <w:right w:val="single" w:color="auto" w:sz="6" w:space="0"/>
                  </w:tcBorders>
                  <w:vAlign w:val="center"/>
                </w:tcPr>
                <w:p w14:paraId="0FA116DA">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07069AD7">
                  <w:pPr>
                    <w:jc w:val="center"/>
                    <w:rPr>
                      <w:bCs/>
                      <w:color w:val="000000"/>
                      <w:szCs w:val="21"/>
                    </w:rPr>
                  </w:pPr>
                  <w:r>
                    <w:rPr>
                      <w:bCs/>
                      <w:color w:val="000000"/>
                      <w:szCs w:val="21"/>
                    </w:rPr>
                    <w:t>45-55</w:t>
                  </w:r>
                </w:p>
              </w:tc>
              <w:tc>
                <w:tcPr>
                  <w:tcW w:w="402" w:type="dxa"/>
                  <w:tcBorders>
                    <w:top w:val="single" w:color="auto" w:sz="6" w:space="0"/>
                    <w:left w:val="single" w:color="auto" w:sz="6" w:space="0"/>
                    <w:bottom w:val="single" w:color="auto" w:sz="6" w:space="0"/>
                    <w:right w:val="single" w:color="auto" w:sz="12" w:space="0"/>
                  </w:tcBorders>
                  <w:vAlign w:val="center"/>
                </w:tcPr>
                <w:p w14:paraId="03BE98E3">
                  <w:pPr>
                    <w:pStyle w:val="50"/>
                    <w:spacing w:beforeLines="0" w:line="240" w:lineRule="auto"/>
                    <w:rPr>
                      <w:rFonts w:ascii="Times New Roman" w:hAnsi="Times New Roman"/>
                      <w:bCs/>
                      <w:color w:val="000000"/>
                      <w:szCs w:val="21"/>
                    </w:rPr>
                  </w:pPr>
                  <w:r>
                    <w:rPr>
                      <w:rFonts w:ascii="Times New Roman" w:hAnsi="Times New Roman"/>
                      <w:bCs/>
                      <w:color w:val="000000"/>
                      <w:szCs w:val="21"/>
                    </w:rPr>
                    <w:t>1</w:t>
                  </w:r>
                </w:p>
              </w:tc>
            </w:tr>
            <w:tr w14:paraId="44F6A31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dxa"/>
                  <w:tcBorders>
                    <w:top w:val="single" w:color="auto" w:sz="6" w:space="0"/>
                    <w:left w:val="single" w:color="auto" w:sz="12" w:space="0"/>
                    <w:bottom w:val="single" w:color="auto" w:sz="6" w:space="0"/>
                    <w:right w:val="single" w:color="auto" w:sz="6" w:space="0"/>
                  </w:tcBorders>
                  <w:vAlign w:val="center"/>
                </w:tcPr>
                <w:p w14:paraId="4CA49141">
                  <w:pPr>
                    <w:widowControl/>
                    <w:adjustRightInd w:val="0"/>
                    <w:snapToGrid w:val="0"/>
                    <w:jc w:val="center"/>
                    <w:rPr>
                      <w:bCs/>
                      <w:color w:val="000000"/>
                      <w:szCs w:val="21"/>
                    </w:rPr>
                  </w:pPr>
                  <w:r>
                    <w:rPr>
                      <w:bCs/>
                      <w:color w:val="000000"/>
                      <w:szCs w:val="21"/>
                    </w:rPr>
                    <w:t>48</w:t>
                  </w:r>
                </w:p>
              </w:tc>
              <w:tc>
                <w:tcPr>
                  <w:tcW w:w="431" w:type="dxa"/>
                  <w:vMerge w:val="continue"/>
                  <w:tcBorders>
                    <w:left w:val="single" w:color="auto" w:sz="6" w:space="0"/>
                    <w:right w:val="single" w:color="auto" w:sz="6" w:space="0"/>
                  </w:tcBorders>
                  <w:vAlign w:val="center"/>
                </w:tcPr>
                <w:p w14:paraId="5C9D3644">
                  <w:pPr>
                    <w:jc w:val="center"/>
                    <w:rPr>
                      <w:color w:val="000000"/>
                      <w:szCs w:val="21"/>
                    </w:rPr>
                  </w:pPr>
                </w:p>
              </w:tc>
              <w:tc>
                <w:tcPr>
                  <w:tcW w:w="707" w:type="dxa"/>
                  <w:tcBorders>
                    <w:top w:val="single" w:color="auto" w:sz="6" w:space="0"/>
                    <w:left w:val="single" w:color="auto" w:sz="6" w:space="0"/>
                    <w:bottom w:val="single" w:color="auto" w:sz="6" w:space="0"/>
                    <w:right w:val="single" w:color="auto" w:sz="6" w:space="0"/>
                  </w:tcBorders>
                  <w:vAlign w:val="center"/>
                </w:tcPr>
                <w:p w14:paraId="0BFD2C38">
                  <w:pPr>
                    <w:jc w:val="center"/>
                    <w:rPr>
                      <w:color w:val="000000"/>
                      <w:szCs w:val="21"/>
                    </w:rPr>
                  </w:pPr>
                  <w:r>
                    <w:rPr>
                      <w:color w:val="000000"/>
                      <w:szCs w:val="21"/>
                    </w:rPr>
                    <w:t>调味料灌装机</w:t>
                  </w:r>
                </w:p>
              </w:tc>
              <w:tc>
                <w:tcPr>
                  <w:tcW w:w="480" w:type="dxa"/>
                  <w:tcBorders>
                    <w:top w:val="single" w:color="auto" w:sz="6" w:space="0"/>
                    <w:left w:val="single" w:color="auto" w:sz="6" w:space="0"/>
                    <w:bottom w:val="single" w:color="auto" w:sz="6" w:space="0"/>
                    <w:right w:val="single" w:color="auto" w:sz="6" w:space="0"/>
                  </w:tcBorders>
                  <w:vAlign w:val="center"/>
                </w:tcPr>
                <w:p w14:paraId="47C17479">
                  <w:pPr>
                    <w:jc w:val="center"/>
                    <w:rPr>
                      <w:color w:val="000000"/>
                      <w:szCs w:val="21"/>
                    </w:rPr>
                  </w:pPr>
                  <w:r>
                    <w:rPr>
                      <w:color w:val="000000"/>
                      <w:szCs w:val="21"/>
                    </w:rPr>
                    <w:t>1</w:t>
                  </w:r>
                </w:p>
              </w:tc>
              <w:tc>
                <w:tcPr>
                  <w:tcW w:w="760" w:type="dxa"/>
                  <w:tcBorders>
                    <w:top w:val="single" w:color="auto" w:sz="6" w:space="0"/>
                    <w:left w:val="single" w:color="auto" w:sz="6" w:space="0"/>
                    <w:bottom w:val="single" w:color="auto" w:sz="6" w:space="0"/>
                    <w:right w:val="single" w:color="auto" w:sz="6" w:space="0"/>
                  </w:tcBorders>
                  <w:vAlign w:val="center"/>
                </w:tcPr>
                <w:p w14:paraId="27803805">
                  <w:pPr>
                    <w:adjustRightInd w:val="0"/>
                    <w:snapToGrid w:val="0"/>
                    <w:jc w:val="center"/>
                    <w:rPr>
                      <w:color w:val="000000"/>
                      <w:szCs w:val="21"/>
                    </w:rPr>
                  </w:pPr>
                  <w:r>
                    <w:rPr>
                      <w:color w:val="000000"/>
                      <w:szCs w:val="21"/>
                    </w:rPr>
                    <w:t>65-75</w:t>
                  </w:r>
                </w:p>
              </w:tc>
              <w:tc>
                <w:tcPr>
                  <w:tcW w:w="520" w:type="dxa"/>
                  <w:vMerge w:val="continue"/>
                  <w:tcBorders>
                    <w:left w:val="single" w:color="auto" w:sz="6" w:space="0"/>
                    <w:right w:val="single" w:color="auto" w:sz="6" w:space="0"/>
                  </w:tcBorders>
                  <w:vAlign w:val="center"/>
                </w:tcPr>
                <w:p w14:paraId="53C8C9CF">
                  <w:pPr>
                    <w:widowControl/>
                    <w:adjustRightInd w:val="0"/>
                    <w:snapToGrid w:val="0"/>
                    <w:jc w:val="center"/>
                    <w:rPr>
                      <w:color w:val="000000"/>
                      <w:szCs w:val="21"/>
                    </w:rPr>
                  </w:pPr>
                </w:p>
              </w:tc>
              <w:tc>
                <w:tcPr>
                  <w:tcW w:w="586" w:type="dxa"/>
                  <w:tcBorders>
                    <w:top w:val="single" w:color="auto" w:sz="6" w:space="0"/>
                    <w:left w:val="single" w:color="auto" w:sz="6" w:space="0"/>
                    <w:bottom w:val="single" w:color="auto" w:sz="6" w:space="0"/>
                    <w:right w:val="single" w:color="auto" w:sz="6" w:space="0"/>
                  </w:tcBorders>
                  <w:vAlign w:val="center"/>
                </w:tcPr>
                <w:p w14:paraId="71D8017F">
                  <w:pPr>
                    <w:pStyle w:val="50"/>
                    <w:spacing w:beforeLines="0" w:line="240" w:lineRule="auto"/>
                    <w:rPr>
                      <w:rFonts w:ascii="Times New Roman" w:hAnsi="Times New Roman"/>
                      <w:bCs/>
                      <w:color w:val="000000"/>
                      <w:szCs w:val="21"/>
                    </w:rPr>
                  </w:pPr>
                  <w:r>
                    <w:rPr>
                      <w:rFonts w:ascii="Times New Roman" w:hAnsi="Times New Roman"/>
                      <w:bCs/>
                      <w:color w:val="000000"/>
                      <w:szCs w:val="21"/>
                    </w:rPr>
                    <w:t>167.54</w:t>
                  </w:r>
                </w:p>
              </w:tc>
              <w:tc>
                <w:tcPr>
                  <w:tcW w:w="534" w:type="dxa"/>
                  <w:tcBorders>
                    <w:top w:val="single" w:color="auto" w:sz="6" w:space="0"/>
                    <w:left w:val="single" w:color="auto" w:sz="6" w:space="0"/>
                    <w:bottom w:val="single" w:color="auto" w:sz="6" w:space="0"/>
                    <w:right w:val="single" w:color="auto" w:sz="6" w:space="0"/>
                  </w:tcBorders>
                  <w:vAlign w:val="center"/>
                </w:tcPr>
                <w:p w14:paraId="79A68F63">
                  <w:pPr>
                    <w:pStyle w:val="50"/>
                    <w:spacing w:beforeLines="0" w:line="240" w:lineRule="auto"/>
                    <w:rPr>
                      <w:rFonts w:ascii="Times New Roman" w:hAnsi="Times New Roman"/>
                      <w:bCs/>
                      <w:color w:val="000000"/>
                      <w:szCs w:val="21"/>
                    </w:rPr>
                  </w:pPr>
                  <w:r>
                    <w:rPr>
                      <w:rFonts w:ascii="Times New Roman" w:hAnsi="Times New Roman"/>
                      <w:bCs/>
                      <w:color w:val="000000"/>
                      <w:szCs w:val="21"/>
                    </w:rPr>
                    <w:t>-127.21</w:t>
                  </w:r>
                </w:p>
              </w:tc>
              <w:tc>
                <w:tcPr>
                  <w:tcW w:w="533" w:type="dxa"/>
                  <w:tcBorders>
                    <w:top w:val="single" w:color="auto" w:sz="6" w:space="0"/>
                    <w:left w:val="single" w:color="auto" w:sz="6" w:space="0"/>
                    <w:bottom w:val="single" w:color="auto" w:sz="6" w:space="0"/>
                    <w:right w:val="single" w:color="auto" w:sz="6" w:space="0"/>
                  </w:tcBorders>
                  <w:vAlign w:val="center"/>
                </w:tcPr>
                <w:p w14:paraId="312B8D26">
                  <w:pPr>
                    <w:jc w:val="center"/>
                    <w:rPr>
                      <w:szCs w:val="21"/>
                    </w:rPr>
                  </w:pPr>
                  <w:r>
                    <w:rPr>
                      <w:rFonts w:hint="eastAsia"/>
                      <w:bCs/>
                      <w:color w:val="000000"/>
                      <w:szCs w:val="21"/>
                    </w:rPr>
                    <w:t>7.5</w:t>
                  </w:r>
                </w:p>
              </w:tc>
              <w:tc>
                <w:tcPr>
                  <w:tcW w:w="517" w:type="dxa"/>
                  <w:tcBorders>
                    <w:top w:val="single" w:color="auto" w:sz="6" w:space="0"/>
                    <w:left w:val="single" w:color="auto" w:sz="6" w:space="0"/>
                    <w:bottom w:val="single" w:color="auto" w:sz="6" w:space="0"/>
                    <w:right w:val="single" w:color="auto" w:sz="6" w:space="0"/>
                  </w:tcBorders>
                  <w:vAlign w:val="center"/>
                </w:tcPr>
                <w:p w14:paraId="192F2102">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2EC648E5">
                  <w:pPr>
                    <w:jc w:val="center"/>
                    <w:rPr>
                      <w:color w:val="000000"/>
                      <w:kern w:val="0"/>
                      <w:szCs w:val="21"/>
                    </w:rPr>
                  </w:pPr>
                  <w:r>
                    <w:rPr>
                      <w:color w:val="000000"/>
                      <w:kern w:val="0"/>
                      <w:szCs w:val="21"/>
                    </w:rPr>
                    <w:t>50-60</w:t>
                  </w:r>
                </w:p>
              </w:tc>
              <w:tc>
                <w:tcPr>
                  <w:tcW w:w="733" w:type="dxa"/>
                  <w:vMerge w:val="continue"/>
                  <w:tcBorders>
                    <w:left w:val="single" w:color="auto" w:sz="6" w:space="0"/>
                    <w:right w:val="single" w:color="auto" w:sz="6" w:space="0"/>
                  </w:tcBorders>
                  <w:vAlign w:val="center"/>
                </w:tcPr>
                <w:p w14:paraId="073C42AD">
                  <w:pPr>
                    <w:widowControl/>
                    <w:adjustRightInd w:val="0"/>
                    <w:snapToGrid w:val="0"/>
                    <w:jc w:val="center"/>
                    <w:rPr>
                      <w:bCs/>
                      <w:color w:val="000000"/>
                      <w:szCs w:val="21"/>
                    </w:rPr>
                  </w:pPr>
                </w:p>
              </w:tc>
              <w:tc>
                <w:tcPr>
                  <w:tcW w:w="644" w:type="dxa"/>
                  <w:tcBorders>
                    <w:top w:val="single" w:color="auto" w:sz="6" w:space="0"/>
                    <w:left w:val="single" w:color="auto" w:sz="6" w:space="0"/>
                    <w:bottom w:val="single" w:color="auto" w:sz="6" w:space="0"/>
                    <w:right w:val="single" w:color="auto" w:sz="6" w:space="0"/>
                  </w:tcBorders>
                  <w:vAlign w:val="center"/>
                </w:tcPr>
                <w:p w14:paraId="7373EEFA">
                  <w:pPr>
                    <w:pStyle w:val="50"/>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6" w:space="0"/>
                    <w:right w:val="single" w:color="auto" w:sz="6" w:space="0"/>
                  </w:tcBorders>
                  <w:vAlign w:val="center"/>
                </w:tcPr>
                <w:p w14:paraId="58D4F9CC">
                  <w:pPr>
                    <w:jc w:val="center"/>
                    <w:rPr>
                      <w:bCs/>
                      <w:color w:val="000000"/>
                      <w:szCs w:val="21"/>
                    </w:rPr>
                  </w:pPr>
                  <w:r>
                    <w:rPr>
                      <w:bCs/>
                      <w:color w:val="000000"/>
                      <w:szCs w:val="21"/>
                    </w:rPr>
                    <w:t>45-55</w:t>
                  </w:r>
                </w:p>
              </w:tc>
              <w:tc>
                <w:tcPr>
                  <w:tcW w:w="402" w:type="dxa"/>
                  <w:tcBorders>
                    <w:top w:val="single" w:color="auto" w:sz="6" w:space="0"/>
                    <w:left w:val="single" w:color="auto" w:sz="6" w:space="0"/>
                    <w:bottom w:val="single" w:color="auto" w:sz="6" w:space="0"/>
                    <w:right w:val="single" w:color="auto" w:sz="12" w:space="0"/>
                  </w:tcBorders>
                  <w:vAlign w:val="center"/>
                </w:tcPr>
                <w:p w14:paraId="17C38763">
                  <w:pPr>
                    <w:pStyle w:val="50"/>
                    <w:spacing w:beforeLines="0" w:line="240" w:lineRule="auto"/>
                    <w:rPr>
                      <w:rFonts w:ascii="Times New Roman" w:hAnsi="Times New Roman"/>
                      <w:bCs/>
                      <w:color w:val="000000"/>
                      <w:szCs w:val="21"/>
                    </w:rPr>
                  </w:pPr>
                  <w:r>
                    <w:rPr>
                      <w:rFonts w:ascii="Times New Roman" w:hAnsi="Times New Roman"/>
                      <w:bCs/>
                      <w:color w:val="000000"/>
                      <w:szCs w:val="21"/>
                    </w:rPr>
                    <w:t>1</w:t>
                  </w:r>
                </w:p>
              </w:tc>
            </w:tr>
            <w:tr w14:paraId="674B00F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dxa"/>
                  <w:tcBorders>
                    <w:top w:val="single" w:color="auto" w:sz="6" w:space="0"/>
                    <w:left w:val="single" w:color="auto" w:sz="12" w:space="0"/>
                    <w:bottom w:val="single" w:color="auto" w:sz="12" w:space="0"/>
                    <w:right w:val="single" w:color="auto" w:sz="6" w:space="0"/>
                  </w:tcBorders>
                  <w:vAlign w:val="center"/>
                </w:tcPr>
                <w:p w14:paraId="72E5C287">
                  <w:pPr>
                    <w:widowControl/>
                    <w:adjustRightInd w:val="0"/>
                    <w:snapToGrid w:val="0"/>
                    <w:jc w:val="center"/>
                    <w:rPr>
                      <w:bCs/>
                      <w:color w:val="000000"/>
                      <w:szCs w:val="21"/>
                    </w:rPr>
                  </w:pPr>
                  <w:r>
                    <w:rPr>
                      <w:bCs/>
                      <w:color w:val="000000"/>
                      <w:szCs w:val="21"/>
                    </w:rPr>
                    <w:t>49</w:t>
                  </w:r>
                </w:p>
              </w:tc>
              <w:tc>
                <w:tcPr>
                  <w:tcW w:w="431" w:type="dxa"/>
                  <w:vMerge w:val="continue"/>
                  <w:tcBorders>
                    <w:left w:val="single" w:color="auto" w:sz="6" w:space="0"/>
                    <w:bottom w:val="single" w:color="auto" w:sz="12" w:space="0"/>
                    <w:right w:val="single" w:color="auto" w:sz="6" w:space="0"/>
                  </w:tcBorders>
                  <w:vAlign w:val="center"/>
                </w:tcPr>
                <w:p w14:paraId="68FE2E03">
                  <w:pPr>
                    <w:jc w:val="center"/>
                    <w:rPr>
                      <w:color w:val="000000"/>
                      <w:szCs w:val="21"/>
                    </w:rPr>
                  </w:pPr>
                </w:p>
              </w:tc>
              <w:tc>
                <w:tcPr>
                  <w:tcW w:w="707" w:type="dxa"/>
                  <w:tcBorders>
                    <w:top w:val="single" w:color="auto" w:sz="6" w:space="0"/>
                    <w:left w:val="single" w:color="auto" w:sz="6" w:space="0"/>
                    <w:bottom w:val="single" w:color="auto" w:sz="12" w:space="0"/>
                    <w:right w:val="single" w:color="auto" w:sz="6" w:space="0"/>
                  </w:tcBorders>
                  <w:vAlign w:val="center"/>
                </w:tcPr>
                <w:p w14:paraId="55391F82">
                  <w:pPr>
                    <w:jc w:val="center"/>
                    <w:rPr>
                      <w:color w:val="000000"/>
                      <w:szCs w:val="21"/>
                    </w:rPr>
                  </w:pPr>
                  <w:r>
                    <w:rPr>
                      <w:color w:val="000000"/>
                      <w:szCs w:val="21"/>
                    </w:rPr>
                    <w:t>生物质气化锅炉</w:t>
                  </w:r>
                </w:p>
              </w:tc>
              <w:tc>
                <w:tcPr>
                  <w:tcW w:w="480" w:type="dxa"/>
                  <w:tcBorders>
                    <w:top w:val="single" w:color="auto" w:sz="6" w:space="0"/>
                    <w:left w:val="single" w:color="auto" w:sz="6" w:space="0"/>
                    <w:bottom w:val="single" w:color="auto" w:sz="12" w:space="0"/>
                    <w:right w:val="single" w:color="auto" w:sz="6" w:space="0"/>
                  </w:tcBorders>
                  <w:vAlign w:val="center"/>
                </w:tcPr>
                <w:p w14:paraId="51B95974">
                  <w:pPr>
                    <w:jc w:val="center"/>
                    <w:rPr>
                      <w:color w:val="000000"/>
                      <w:szCs w:val="21"/>
                    </w:rPr>
                  </w:pPr>
                  <w:r>
                    <w:rPr>
                      <w:color w:val="000000"/>
                      <w:szCs w:val="21"/>
                    </w:rPr>
                    <w:t>1</w:t>
                  </w:r>
                </w:p>
              </w:tc>
              <w:tc>
                <w:tcPr>
                  <w:tcW w:w="760" w:type="dxa"/>
                  <w:tcBorders>
                    <w:top w:val="single" w:color="auto" w:sz="6" w:space="0"/>
                    <w:left w:val="single" w:color="auto" w:sz="6" w:space="0"/>
                    <w:bottom w:val="single" w:color="auto" w:sz="12" w:space="0"/>
                    <w:right w:val="single" w:color="auto" w:sz="6" w:space="0"/>
                  </w:tcBorders>
                  <w:vAlign w:val="center"/>
                </w:tcPr>
                <w:p w14:paraId="50118A3C">
                  <w:pPr>
                    <w:adjustRightInd w:val="0"/>
                    <w:snapToGrid w:val="0"/>
                    <w:jc w:val="center"/>
                    <w:rPr>
                      <w:color w:val="000000"/>
                      <w:szCs w:val="21"/>
                    </w:rPr>
                  </w:pPr>
                  <w:r>
                    <w:rPr>
                      <w:color w:val="000000"/>
                      <w:szCs w:val="21"/>
                    </w:rPr>
                    <w:t>80-90</w:t>
                  </w:r>
                </w:p>
              </w:tc>
              <w:tc>
                <w:tcPr>
                  <w:tcW w:w="520" w:type="dxa"/>
                  <w:vMerge w:val="continue"/>
                  <w:tcBorders>
                    <w:left w:val="single" w:color="auto" w:sz="6" w:space="0"/>
                    <w:bottom w:val="single" w:color="auto" w:sz="12" w:space="0"/>
                    <w:right w:val="single" w:color="auto" w:sz="6" w:space="0"/>
                  </w:tcBorders>
                  <w:vAlign w:val="center"/>
                </w:tcPr>
                <w:p w14:paraId="157573BB">
                  <w:pPr>
                    <w:widowControl/>
                    <w:adjustRightInd w:val="0"/>
                    <w:snapToGrid w:val="0"/>
                    <w:jc w:val="center"/>
                    <w:rPr>
                      <w:color w:val="000000"/>
                      <w:szCs w:val="21"/>
                    </w:rPr>
                  </w:pPr>
                </w:p>
              </w:tc>
              <w:tc>
                <w:tcPr>
                  <w:tcW w:w="586" w:type="dxa"/>
                  <w:tcBorders>
                    <w:top w:val="single" w:color="auto" w:sz="6" w:space="0"/>
                    <w:left w:val="single" w:color="auto" w:sz="6" w:space="0"/>
                    <w:bottom w:val="single" w:color="auto" w:sz="12" w:space="0"/>
                    <w:right w:val="single" w:color="auto" w:sz="6" w:space="0"/>
                  </w:tcBorders>
                  <w:vAlign w:val="center"/>
                </w:tcPr>
                <w:p w14:paraId="6D4FC093">
                  <w:pPr>
                    <w:pStyle w:val="50"/>
                    <w:spacing w:beforeLines="0" w:line="240" w:lineRule="auto"/>
                    <w:rPr>
                      <w:rFonts w:ascii="Times New Roman" w:hAnsi="Times New Roman"/>
                      <w:bCs/>
                      <w:color w:val="000000"/>
                      <w:szCs w:val="21"/>
                    </w:rPr>
                  </w:pPr>
                  <w:r>
                    <w:rPr>
                      <w:rFonts w:ascii="Times New Roman" w:hAnsi="Times New Roman"/>
                      <w:bCs/>
                      <w:color w:val="000000"/>
                      <w:szCs w:val="21"/>
                    </w:rPr>
                    <w:t>135.44</w:t>
                  </w:r>
                </w:p>
              </w:tc>
              <w:tc>
                <w:tcPr>
                  <w:tcW w:w="534" w:type="dxa"/>
                  <w:tcBorders>
                    <w:top w:val="single" w:color="auto" w:sz="6" w:space="0"/>
                    <w:left w:val="single" w:color="auto" w:sz="6" w:space="0"/>
                    <w:bottom w:val="single" w:color="auto" w:sz="12" w:space="0"/>
                    <w:right w:val="single" w:color="auto" w:sz="6" w:space="0"/>
                  </w:tcBorders>
                  <w:vAlign w:val="center"/>
                </w:tcPr>
                <w:p w14:paraId="7C2DF957">
                  <w:pPr>
                    <w:pStyle w:val="50"/>
                    <w:spacing w:beforeLines="0" w:line="240" w:lineRule="auto"/>
                    <w:rPr>
                      <w:rFonts w:ascii="Times New Roman" w:hAnsi="Times New Roman"/>
                      <w:bCs/>
                      <w:color w:val="000000"/>
                      <w:szCs w:val="21"/>
                    </w:rPr>
                  </w:pPr>
                  <w:r>
                    <w:rPr>
                      <w:rFonts w:ascii="Times New Roman" w:hAnsi="Times New Roman"/>
                      <w:bCs/>
                      <w:color w:val="000000"/>
                      <w:szCs w:val="21"/>
                    </w:rPr>
                    <w:t>-9885</w:t>
                  </w:r>
                </w:p>
              </w:tc>
              <w:tc>
                <w:tcPr>
                  <w:tcW w:w="533" w:type="dxa"/>
                  <w:tcBorders>
                    <w:top w:val="single" w:color="auto" w:sz="6" w:space="0"/>
                    <w:left w:val="single" w:color="auto" w:sz="6" w:space="0"/>
                    <w:bottom w:val="single" w:color="auto" w:sz="12" w:space="0"/>
                    <w:right w:val="single" w:color="auto" w:sz="6" w:space="0"/>
                  </w:tcBorders>
                  <w:vAlign w:val="center"/>
                </w:tcPr>
                <w:p w14:paraId="258747D0">
                  <w:pPr>
                    <w:jc w:val="center"/>
                    <w:rPr>
                      <w:bCs/>
                      <w:color w:val="000000"/>
                      <w:szCs w:val="21"/>
                    </w:rPr>
                  </w:pPr>
                  <w:r>
                    <w:rPr>
                      <w:bCs/>
                      <w:color w:val="000000"/>
                      <w:szCs w:val="21"/>
                    </w:rPr>
                    <w:t>1.5</w:t>
                  </w:r>
                </w:p>
              </w:tc>
              <w:tc>
                <w:tcPr>
                  <w:tcW w:w="517" w:type="dxa"/>
                  <w:tcBorders>
                    <w:top w:val="single" w:color="auto" w:sz="6" w:space="0"/>
                    <w:left w:val="single" w:color="auto" w:sz="6" w:space="0"/>
                    <w:bottom w:val="single" w:color="auto" w:sz="12" w:space="0"/>
                    <w:right w:val="single" w:color="auto" w:sz="6" w:space="0"/>
                  </w:tcBorders>
                  <w:vAlign w:val="center"/>
                </w:tcPr>
                <w:p w14:paraId="316E5D37">
                  <w:pPr>
                    <w:pStyle w:val="50"/>
                    <w:adjustRightInd/>
                    <w:snapToGrid/>
                    <w:spacing w:beforeLines="0" w:line="240" w:lineRule="auto"/>
                    <w:rPr>
                      <w:rFonts w:ascii="Times New Roman" w:hAnsi="Times New Roman"/>
                      <w:bCs/>
                      <w:color w:val="000000"/>
                      <w:szCs w:val="21"/>
                    </w:rPr>
                  </w:pPr>
                  <w:r>
                    <w:rPr>
                      <w:rFonts w:ascii="Times New Roman" w:hAnsi="Times New Roman"/>
                      <w:bCs/>
                      <w:color w:val="000000"/>
                      <w:szCs w:val="21"/>
                    </w:rPr>
                    <w:t>5</w:t>
                  </w:r>
                </w:p>
              </w:tc>
              <w:tc>
                <w:tcPr>
                  <w:tcW w:w="644" w:type="dxa"/>
                  <w:tcBorders>
                    <w:top w:val="single" w:color="auto" w:sz="6" w:space="0"/>
                    <w:left w:val="single" w:color="auto" w:sz="6" w:space="0"/>
                    <w:bottom w:val="single" w:color="auto" w:sz="12" w:space="0"/>
                    <w:right w:val="single" w:color="auto" w:sz="6" w:space="0"/>
                  </w:tcBorders>
                  <w:vAlign w:val="center"/>
                </w:tcPr>
                <w:p w14:paraId="18602573">
                  <w:pPr>
                    <w:jc w:val="center"/>
                    <w:rPr>
                      <w:color w:val="000000"/>
                      <w:kern w:val="0"/>
                      <w:szCs w:val="21"/>
                    </w:rPr>
                  </w:pPr>
                  <w:r>
                    <w:rPr>
                      <w:color w:val="000000"/>
                      <w:kern w:val="0"/>
                      <w:szCs w:val="21"/>
                      <w:lang w:bidi="en-US"/>
                    </w:rPr>
                    <w:t>50-60</w:t>
                  </w:r>
                </w:p>
              </w:tc>
              <w:tc>
                <w:tcPr>
                  <w:tcW w:w="733" w:type="dxa"/>
                  <w:vMerge w:val="continue"/>
                  <w:tcBorders>
                    <w:left w:val="single" w:color="auto" w:sz="6" w:space="0"/>
                    <w:bottom w:val="single" w:color="auto" w:sz="12" w:space="0"/>
                    <w:right w:val="single" w:color="auto" w:sz="6" w:space="0"/>
                  </w:tcBorders>
                  <w:vAlign w:val="center"/>
                </w:tcPr>
                <w:p w14:paraId="3A7E3D9D">
                  <w:pPr>
                    <w:widowControl/>
                    <w:adjustRightInd w:val="0"/>
                    <w:snapToGrid w:val="0"/>
                    <w:jc w:val="center"/>
                    <w:rPr>
                      <w:bCs/>
                      <w:color w:val="000000"/>
                      <w:szCs w:val="21"/>
                    </w:rPr>
                  </w:pPr>
                </w:p>
              </w:tc>
              <w:tc>
                <w:tcPr>
                  <w:tcW w:w="644" w:type="dxa"/>
                  <w:tcBorders>
                    <w:top w:val="single" w:color="auto" w:sz="6" w:space="0"/>
                    <w:left w:val="single" w:color="auto" w:sz="6" w:space="0"/>
                    <w:bottom w:val="single" w:color="auto" w:sz="12" w:space="0"/>
                    <w:right w:val="single" w:color="auto" w:sz="6" w:space="0"/>
                  </w:tcBorders>
                  <w:vAlign w:val="center"/>
                </w:tcPr>
                <w:p w14:paraId="3EC98AD2">
                  <w:pPr>
                    <w:pStyle w:val="50"/>
                    <w:adjustRightInd/>
                    <w:snapToGrid/>
                    <w:spacing w:beforeLines="0" w:line="240" w:lineRule="auto"/>
                    <w:rPr>
                      <w:rFonts w:ascii="Times New Roman" w:hAnsi="Times New Roman"/>
                      <w:bCs/>
                      <w:color w:val="000000"/>
                      <w:szCs w:val="21"/>
                    </w:rPr>
                  </w:pPr>
                  <w:r>
                    <w:rPr>
                      <w:rFonts w:ascii="Times New Roman" w:hAnsi="Times New Roman"/>
                      <w:bCs/>
                      <w:color w:val="000000"/>
                      <w:szCs w:val="21"/>
                    </w:rPr>
                    <w:t>10</w:t>
                  </w:r>
                </w:p>
              </w:tc>
              <w:tc>
                <w:tcPr>
                  <w:tcW w:w="644" w:type="dxa"/>
                  <w:tcBorders>
                    <w:top w:val="single" w:color="auto" w:sz="6" w:space="0"/>
                    <w:left w:val="single" w:color="auto" w:sz="6" w:space="0"/>
                    <w:bottom w:val="single" w:color="auto" w:sz="12" w:space="0"/>
                    <w:right w:val="single" w:color="auto" w:sz="6" w:space="0"/>
                  </w:tcBorders>
                  <w:vAlign w:val="center"/>
                </w:tcPr>
                <w:p w14:paraId="4390948A">
                  <w:pPr>
                    <w:pStyle w:val="50"/>
                    <w:adjustRightInd/>
                    <w:snapToGrid/>
                    <w:spacing w:beforeLines="0" w:line="240" w:lineRule="auto"/>
                    <w:rPr>
                      <w:rFonts w:ascii="Times New Roman" w:hAnsi="Times New Roman"/>
                      <w:bCs/>
                      <w:color w:val="000000"/>
                      <w:szCs w:val="21"/>
                    </w:rPr>
                  </w:pPr>
                  <w:r>
                    <w:rPr>
                      <w:rFonts w:ascii="Times New Roman" w:hAnsi="Times New Roman"/>
                      <w:bCs/>
                      <w:color w:val="000000"/>
                      <w:szCs w:val="21"/>
                    </w:rPr>
                    <w:t>50-55</w:t>
                  </w:r>
                </w:p>
              </w:tc>
              <w:tc>
                <w:tcPr>
                  <w:tcW w:w="402" w:type="dxa"/>
                  <w:tcBorders>
                    <w:top w:val="single" w:color="auto" w:sz="6" w:space="0"/>
                    <w:left w:val="single" w:color="auto" w:sz="6" w:space="0"/>
                    <w:bottom w:val="single" w:color="auto" w:sz="12" w:space="0"/>
                    <w:right w:val="single" w:color="auto" w:sz="12" w:space="0"/>
                  </w:tcBorders>
                  <w:vAlign w:val="center"/>
                </w:tcPr>
                <w:p w14:paraId="2000E34D">
                  <w:pPr>
                    <w:pStyle w:val="50"/>
                    <w:adjustRightInd/>
                    <w:snapToGrid/>
                    <w:spacing w:beforeLines="0" w:line="240" w:lineRule="auto"/>
                    <w:rPr>
                      <w:rFonts w:ascii="Times New Roman" w:hAnsi="Times New Roman"/>
                      <w:bCs/>
                      <w:color w:val="000000"/>
                      <w:szCs w:val="21"/>
                    </w:rPr>
                  </w:pPr>
                  <w:r>
                    <w:rPr>
                      <w:rFonts w:ascii="Times New Roman" w:hAnsi="Times New Roman"/>
                      <w:bCs/>
                      <w:color w:val="000000"/>
                      <w:szCs w:val="21"/>
                    </w:rPr>
                    <w:t>1</w:t>
                  </w:r>
                </w:p>
              </w:tc>
            </w:tr>
          </w:tbl>
          <w:p w14:paraId="3BD8E42B">
            <w:pPr>
              <w:adjustRightInd w:val="0"/>
              <w:snapToGrid w:val="0"/>
              <w:spacing w:line="360" w:lineRule="auto"/>
              <w:ind w:firstLine="482" w:firstLineChars="200"/>
              <w:rPr>
                <w:b/>
                <w:color w:val="000000"/>
                <w:sz w:val="24"/>
                <w:szCs w:val="24"/>
              </w:rPr>
            </w:pPr>
            <w:r>
              <w:rPr>
                <w:b/>
                <w:color w:val="000000"/>
                <w:sz w:val="24"/>
                <w:szCs w:val="24"/>
              </w:rPr>
              <w:t>预测分析</w:t>
            </w:r>
          </w:p>
          <w:p w14:paraId="7BAA8A79">
            <w:pPr>
              <w:adjustRightInd w:val="0"/>
              <w:snapToGrid w:val="0"/>
              <w:spacing w:line="360" w:lineRule="auto"/>
              <w:ind w:firstLine="480" w:firstLineChars="200"/>
              <w:rPr>
                <w:bCs/>
                <w:color w:val="000000"/>
                <w:sz w:val="24"/>
                <w:szCs w:val="24"/>
              </w:rPr>
            </w:pPr>
            <w:r>
              <w:rPr>
                <w:bCs/>
                <w:color w:val="000000"/>
                <w:sz w:val="24"/>
                <w:szCs w:val="24"/>
              </w:rPr>
              <w:t>（1）预测内容</w:t>
            </w:r>
          </w:p>
          <w:p w14:paraId="60C9AF2E">
            <w:pPr>
              <w:adjustRightInd w:val="0"/>
              <w:snapToGrid w:val="0"/>
              <w:spacing w:line="360" w:lineRule="auto"/>
              <w:ind w:firstLine="480" w:firstLineChars="200"/>
              <w:rPr>
                <w:bCs/>
                <w:color w:val="000000"/>
                <w:sz w:val="24"/>
                <w:szCs w:val="24"/>
              </w:rPr>
            </w:pPr>
            <w:r>
              <w:rPr>
                <w:bCs/>
                <w:color w:val="000000"/>
                <w:sz w:val="24"/>
                <w:szCs w:val="24"/>
              </w:rPr>
              <w:t>预测分析厂界达标情况。</w:t>
            </w:r>
          </w:p>
          <w:p w14:paraId="3E66AA80">
            <w:pPr>
              <w:adjustRightInd w:val="0"/>
              <w:snapToGrid w:val="0"/>
              <w:spacing w:line="360" w:lineRule="auto"/>
              <w:ind w:firstLine="480" w:firstLineChars="200"/>
              <w:rPr>
                <w:bCs/>
                <w:color w:val="000000"/>
                <w:sz w:val="24"/>
                <w:szCs w:val="24"/>
              </w:rPr>
            </w:pPr>
            <w:r>
              <w:rPr>
                <w:bCs/>
                <w:color w:val="000000"/>
                <w:sz w:val="24"/>
                <w:szCs w:val="24"/>
              </w:rPr>
              <w:t>（2）预测模式</w:t>
            </w:r>
          </w:p>
          <w:p w14:paraId="0D94C949">
            <w:pPr>
              <w:adjustRightInd w:val="0"/>
              <w:snapToGrid w:val="0"/>
              <w:spacing w:line="360" w:lineRule="auto"/>
              <w:ind w:firstLine="480" w:firstLineChars="200"/>
              <w:rPr>
                <w:bCs/>
                <w:color w:val="000000"/>
                <w:sz w:val="24"/>
                <w:szCs w:val="24"/>
              </w:rPr>
            </w:pPr>
            <w:r>
              <w:rPr>
                <w:bCs/>
                <w:color w:val="000000"/>
                <w:sz w:val="24"/>
                <w:szCs w:val="24"/>
              </w:rPr>
              <w:t>根据《环境影响评价技术导则  声环境》（HJ2.4-2021），本次评价采用下述噪声预测模式：</w:t>
            </w:r>
          </w:p>
          <w:p w14:paraId="312075C4">
            <w:pPr>
              <w:adjustRightInd w:val="0"/>
              <w:snapToGrid w:val="0"/>
              <w:spacing w:line="360" w:lineRule="auto"/>
              <w:ind w:firstLine="480" w:firstLineChars="200"/>
              <w:rPr>
                <w:bCs/>
                <w:color w:val="000000"/>
                <w:sz w:val="24"/>
                <w:szCs w:val="24"/>
              </w:rPr>
            </w:pPr>
            <w:r>
              <w:rPr>
                <w:rFonts w:hint="eastAsia"/>
                <w:bCs/>
                <w:color w:val="000000"/>
                <w:sz w:val="24"/>
                <w:szCs w:val="24"/>
              </w:rPr>
              <w:t>①</w:t>
            </w:r>
            <w:r>
              <w:rPr>
                <w:bCs/>
                <w:color w:val="000000"/>
                <w:sz w:val="24"/>
                <w:szCs w:val="24"/>
              </w:rPr>
              <w:t>室外声源在预测点产生的声级计算模型</w:t>
            </w:r>
          </w:p>
          <w:p w14:paraId="2823F250">
            <w:pPr>
              <w:adjustRightInd w:val="0"/>
              <w:snapToGrid w:val="0"/>
              <w:spacing w:line="360" w:lineRule="auto"/>
              <w:ind w:firstLine="480" w:firstLineChars="200"/>
              <w:rPr>
                <w:bCs/>
                <w:color w:val="000000"/>
                <w:sz w:val="24"/>
                <w:szCs w:val="24"/>
              </w:rPr>
            </w:pPr>
            <w:r>
              <w:rPr>
                <w:bCs/>
                <w:color w:val="000000"/>
                <w:sz w:val="24"/>
                <w:szCs w:val="24"/>
              </w:rPr>
              <w:t>本项目室外声源在预测点产生的声级计算模型主要采用附录A中户外声传播衰减公式：</w:t>
            </w:r>
          </w:p>
          <w:p w14:paraId="7A1DEDBE">
            <w:pPr>
              <w:adjustRightInd w:val="0"/>
              <w:snapToGrid w:val="0"/>
              <w:spacing w:line="360" w:lineRule="auto"/>
              <w:ind w:firstLine="480" w:firstLineChars="200"/>
              <w:rPr>
                <w:bCs/>
                <w:i/>
                <w:color w:val="000000"/>
                <w:sz w:val="24"/>
                <w:szCs w:val="24"/>
              </w:rPr>
            </w:pPr>
            <m:oMathPara>
              <m:oMath>
                <m:sSub>
                  <m:sSubPr>
                    <m:ctrlPr>
                      <w:rPr>
                        <w:rFonts w:ascii="Cambria Math" w:hAnsi="Cambria Math"/>
                        <w:i/>
                        <w:color w:val="000000"/>
                        <w:sz w:val="24"/>
                        <w:szCs w:val="24"/>
                      </w:rPr>
                    </m:ctrlPr>
                  </m:sSubPr>
                  <m:e>
                    <m:r>
                      <m:rPr>
                        <m:nor/>
                      </m:rPr>
                      <w:rPr>
                        <w:rFonts w:ascii="Cambria Math" w:hAnsi="Cambria Math"/>
                        <w:i/>
                        <w:color w:val="000000"/>
                        <w:sz w:val="24"/>
                        <w:szCs w:val="24"/>
                      </w:rPr>
                      <m:t>L</m:t>
                    </m:r>
                    <m:ctrlPr>
                      <w:rPr>
                        <w:rFonts w:ascii="Cambria Math" w:hAnsi="Cambria Math"/>
                        <w:i/>
                        <w:color w:val="000000"/>
                        <w:sz w:val="24"/>
                        <w:szCs w:val="24"/>
                      </w:rPr>
                    </m:ctrlPr>
                  </m:e>
                  <m:sub>
                    <m:r>
                      <m:rPr>
                        <m:nor/>
                      </m:rPr>
                      <w:rPr>
                        <w:rFonts w:ascii="Cambria Math" w:hAnsi="Cambria Math"/>
                        <w:i/>
                        <w:color w:val="000000"/>
                        <w:sz w:val="24"/>
                        <w:szCs w:val="24"/>
                      </w:rPr>
                      <m:t>p</m:t>
                    </m:r>
                    <m:ctrlPr>
                      <w:rPr>
                        <w:rFonts w:ascii="Cambria Math" w:hAnsi="Cambria Math"/>
                        <w:i/>
                        <w:color w:val="000000"/>
                        <w:sz w:val="24"/>
                        <w:szCs w:val="24"/>
                      </w:rPr>
                    </m:ctrlPr>
                  </m:sub>
                </m:sSub>
                <m:d>
                  <m:dPr>
                    <m:begChr m:val="（"/>
                    <m:endChr m:val="）"/>
                    <m:ctrlPr>
                      <w:rPr>
                        <w:rFonts w:ascii="Cambria Math" w:hAnsi="Cambria Math"/>
                        <w:i/>
                        <w:color w:val="000000"/>
                        <w:sz w:val="24"/>
                        <w:szCs w:val="24"/>
                      </w:rPr>
                    </m:ctrlPr>
                  </m:dPr>
                  <m:e>
                    <m:r>
                      <m:rPr>
                        <m:nor/>
                      </m:rPr>
                      <w:rPr>
                        <w:rFonts w:ascii="Cambria Math" w:hAnsi="Cambria Math"/>
                        <w:i/>
                        <w:color w:val="000000"/>
                        <w:sz w:val="24"/>
                        <w:szCs w:val="24"/>
                      </w:rPr>
                      <m:t>r</m:t>
                    </m:r>
                    <m:ctrlPr>
                      <w:rPr>
                        <w:rFonts w:ascii="Cambria Math" w:hAnsi="Cambria Math"/>
                        <w:i/>
                        <w:color w:val="000000"/>
                        <w:sz w:val="24"/>
                        <w:szCs w:val="24"/>
                      </w:rPr>
                    </m:ctrlPr>
                  </m:e>
                </m:d>
                <m:r>
                  <m:rPr>
                    <m:nor/>
                  </m:rPr>
                  <w:rPr>
                    <w:rFonts w:ascii="Cambria Math" w:hAnsi="Cambria Math"/>
                    <w:i/>
                    <w:color w:val="000000"/>
                    <w:sz w:val="24"/>
                    <w:szCs w:val="24"/>
                  </w:rPr>
                  <m:t>=</m:t>
                </m:r>
                <m:sSub>
                  <m:sSubPr>
                    <m:ctrlPr>
                      <w:rPr>
                        <w:rFonts w:ascii="Cambria Math" w:hAnsi="Cambria Math"/>
                        <w:i/>
                        <w:color w:val="000000"/>
                        <w:sz w:val="24"/>
                        <w:szCs w:val="24"/>
                      </w:rPr>
                    </m:ctrlPr>
                  </m:sSubPr>
                  <m:e>
                    <m:r>
                      <m:rPr>
                        <m:nor/>
                      </m:rPr>
                      <w:rPr>
                        <w:rFonts w:ascii="Cambria Math" w:hAnsi="Cambria Math"/>
                        <w:i/>
                        <w:color w:val="000000"/>
                        <w:sz w:val="24"/>
                        <w:szCs w:val="24"/>
                      </w:rPr>
                      <m:t>L</m:t>
                    </m:r>
                    <m:ctrlPr>
                      <w:rPr>
                        <w:rFonts w:ascii="Cambria Math" w:hAnsi="Cambria Math"/>
                        <w:i/>
                        <w:color w:val="000000"/>
                        <w:sz w:val="24"/>
                        <w:szCs w:val="24"/>
                      </w:rPr>
                    </m:ctrlPr>
                  </m:e>
                  <m:sub>
                    <m:r>
                      <m:rPr>
                        <m:nor/>
                      </m:rPr>
                      <w:rPr>
                        <w:rFonts w:ascii="Cambria Math" w:hAnsi="Cambria Math"/>
                        <w:i/>
                        <w:color w:val="000000"/>
                        <w:sz w:val="24"/>
                        <w:szCs w:val="24"/>
                      </w:rPr>
                      <m:t>W</m:t>
                    </m:r>
                    <m:ctrlPr>
                      <w:rPr>
                        <w:rFonts w:ascii="Cambria Math" w:hAnsi="Cambria Math"/>
                        <w:i/>
                        <w:color w:val="000000"/>
                        <w:sz w:val="24"/>
                        <w:szCs w:val="24"/>
                      </w:rPr>
                    </m:ctrlPr>
                  </m:sub>
                </m:sSub>
                <m:r>
                  <m:rPr>
                    <m:nor/>
                  </m:rPr>
                  <w:rPr>
                    <w:rFonts w:ascii="Cambria Math" w:hAnsi="Cambria Math"/>
                    <w:i/>
                    <w:color w:val="000000"/>
                    <w:sz w:val="24"/>
                    <w:szCs w:val="24"/>
                  </w:rPr>
                  <m:t>+</m:t>
                </m:r>
                <m:sSub>
                  <m:sSubPr>
                    <m:ctrlPr>
                      <w:rPr>
                        <w:rFonts w:ascii="Cambria Math" w:hAnsi="Cambria Math"/>
                        <w:i/>
                        <w:color w:val="000000"/>
                        <w:sz w:val="24"/>
                        <w:szCs w:val="24"/>
                      </w:rPr>
                    </m:ctrlPr>
                  </m:sSubPr>
                  <m:e>
                    <m:r>
                      <m:rPr>
                        <m:nor/>
                      </m:rPr>
                      <w:rPr>
                        <w:rFonts w:ascii="Cambria Math" w:hAnsi="Cambria Math"/>
                        <w:i/>
                        <w:color w:val="000000"/>
                        <w:sz w:val="24"/>
                        <w:szCs w:val="24"/>
                      </w:rPr>
                      <m:t>D</m:t>
                    </m:r>
                    <m:ctrlPr>
                      <w:rPr>
                        <w:rFonts w:ascii="Cambria Math" w:hAnsi="Cambria Math"/>
                        <w:i/>
                        <w:color w:val="000000"/>
                        <w:sz w:val="24"/>
                        <w:szCs w:val="24"/>
                      </w:rPr>
                    </m:ctrlPr>
                  </m:e>
                  <m:sub>
                    <m:r>
                      <m:rPr>
                        <m:nor/>
                      </m:rPr>
                      <w:rPr>
                        <w:rFonts w:ascii="Cambria Math" w:hAnsi="Cambria Math"/>
                        <w:i/>
                        <w:color w:val="000000"/>
                        <w:sz w:val="24"/>
                        <w:szCs w:val="24"/>
                      </w:rPr>
                      <m:t>C</m:t>
                    </m:r>
                    <m:ctrlPr>
                      <w:rPr>
                        <w:rFonts w:ascii="Cambria Math" w:hAnsi="Cambria Math"/>
                        <w:i/>
                        <w:color w:val="000000"/>
                        <w:sz w:val="24"/>
                        <w:szCs w:val="24"/>
                      </w:rPr>
                    </m:ctrlPr>
                  </m:sub>
                </m:sSub>
                <m:r>
                  <m:rPr>
                    <m:nor/>
                  </m:rPr>
                  <w:rPr>
                    <w:rFonts w:ascii="Cambria Math" w:hAnsi="Cambria Math"/>
                    <w:i/>
                    <w:color w:val="000000"/>
                    <w:sz w:val="24"/>
                    <w:szCs w:val="24"/>
                  </w:rPr>
                  <m:t>-（</m:t>
                </m:r>
                <m:sSub>
                  <m:sSubPr>
                    <m:ctrlPr>
                      <w:rPr>
                        <w:rFonts w:ascii="Cambria Math" w:hAnsi="Cambria Math"/>
                        <w:i/>
                        <w:color w:val="000000"/>
                        <w:sz w:val="24"/>
                        <w:szCs w:val="24"/>
                      </w:rPr>
                    </m:ctrlPr>
                  </m:sSubPr>
                  <m:e>
                    <m:r>
                      <m:rPr>
                        <m:nor/>
                      </m:rPr>
                      <w:rPr>
                        <w:rFonts w:ascii="Cambria Math" w:hAnsi="Cambria Math"/>
                        <w:i/>
                        <w:color w:val="000000"/>
                        <w:sz w:val="24"/>
                        <w:szCs w:val="24"/>
                      </w:rPr>
                      <m:t>A</m:t>
                    </m:r>
                    <m:ctrlPr>
                      <w:rPr>
                        <w:rFonts w:ascii="Cambria Math" w:hAnsi="Cambria Math"/>
                        <w:i/>
                        <w:color w:val="000000"/>
                        <w:sz w:val="24"/>
                        <w:szCs w:val="24"/>
                      </w:rPr>
                    </m:ctrlPr>
                  </m:e>
                  <m:sub>
                    <m:r>
                      <m:rPr>
                        <m:nor/>
                      </m:rPr>
                      <w:rPr>
                        <w:rFonts w:ascii="Cambria Math" w:hAnsi="Cambria Math"/>
                        <w:i/>
                        <w:color w:val="000000"/>
                        <w:sz w:val="24"/>
                        <w:szCs w:val="24"/>
                      </w:rPr>
                      <m:t>div</m:t>
                    </m:r>
                    <m:ctrlPr>
                      <w:rPr>
                        <w:rFonts w:ascii="Cambria Math" w:hAnsi="Cambria Math"/>
                        <w:i/>
                        <w:color w:val="000000"/>
                        <w:sz w:val="24"/>
                        <w:szCs w:val="24"/>
                      </w:rPr>
                    </m:ctrlPr>
                  </m:sub>
                </m:sSub>
                <m:r>
                  <m:rPr>
                    <m:nor/>
                  </m:rPr>
                  <w:rPr>
                    <w:rFonts w:ascii="Cambria Math" w:hAnsi="Cambria Math"/>
                    <w:i/>
                    <w:color w:val="000000"/>
                    <w:sz w:val="24"/>
                    <w:szCs w:val="24"/>
                  </w:rPr>
                  <m:t>+</m:t>
                </m:r>
                <m:sSub>
                  <m:sSubPr>
                    <m:ctrlPr>
                      <w:rPr>
                        <w:rFonts w:ascii="Cambria Math" w:hAnsi="Cambria Math"/>
                        <w:i/>
                        <w:color w:val="000000"/>
                        <w:sz w:val="24"/>
                        <w:szCs w:val="24"/>
                      </w:rPr>
                    </m:ctrlPr>
                  </m:sSubPr>
                  <m:e>
                    <m:r>
                      <m:rPr>
                        <m:nor/>
                      </m:rPr>
                      <w:rPr>
                        <w:rFonts w:ascii="Cambria Math" w:hAnsi="Cambria Math"/>
                        <w:i/>
                        <w:color w:val="000000"/>
                        <w:sz w:val="24"/>
                        <w:szCs w:val="24"/>
                      </w:rPr>
                      <m:t>A</m:t>
                    </m:r>
                    <m:ctrlPr>
                      <w:rPr>
                        <w:rFonts w:ascii="Cambria Math" w:hAnsi="Cambria Math"/>
                        <w:i/>
                        <w:color w:val="000000"/>
                        <w:sz w:val="24"/>
                        <w:szCs w:val="24"/>
                      </w:rPr>
                    </m:ctrlPr>
                  </m:e>
                  <m:sub>
                    <m:r>
                      <m:rPr>
                        <m:nor/>
                      </m:rPr>
                      <w:rPr>
                        <w:rFonts w:ascii="Cambria Math" w:hAnsi="Cambria Math"/>
                        <w:i/>
                        <w:color w:val="000000"/>
                        <w:sz w:val="24"/>
                        <w:szCs w:val="24"/>
                      </w:rPr>
                      <m:t>atm</m:t>
                    </m:r>
                    <m:ctrlPr>
                      <w:rPr>
                        <w:rFonts w:ascii="Cambria Math" w:hAnsi="Cambria Math"/>
                        <w:i/>
                        <w:color w:val="000000"/>
                        <w:sz w:val="24"/>
                        <w:szCs w:val="24"/>
                      </w:rPr>
                    </m:ctrlPr>
                  </m:sub>
                </m:sSub>
                <m:r>
                  <m:rPr>
                    <m:nor/>
                  </m:rPr>
                  <w:rPr>
                    <w:rFonts w:ascii="Cambria Math" w:hAnsi="Cambria Math"/>
                    <w:i/>
                    <w:color w:val="000000"/>
                    <w:sz w:val="24"/>
                    <w:szCs w:val="24"/>
                  </w:rPr>
                  <m:t>+</m:t>
                </m:r>
                <m:sSub>
                  <m:sSubPr>
                    <m:ctrlPr>
                      <w:rPr>
                        <w:rFonts w:ascii="Cambria Math" w:hAnsi="Cambria Math"/>
                        <w:i/>
                        <w:color w:val="000000"/>
                        <w:sz w:val="24"/>
                        <w:szCs w:val="24"/>
                      </w:rPr>
                    </m:ctrlPr>
                  </m:sSubPr>
                  <m:e>
                    <m:r>
                      <m:rPr>
                        <m:nor/>
                      </m:rPr>
                      <w:rPr>
                        <w:rFonts w:ascii="Cambria Math" w:hAnsi="Cambria Math"/>
                        <w:i/>
                        <w:color w:val="000000"/>
                        <w:sz w:val="24"/>
                        <w:szCs w:val="24"/>
                      </w:rPr>
                      <m:t>A</m:t>
                    </m:r>
                    <m:ctrlPr>
                      <w:rPr>
                        <w:rFonts w:ascii="Cambria Math" w:hAnsi="Cambria Math"/>
                        <w:i/>
                        <w:color w:val="000000"/>
                        <w:sz w:val="24"/>
                        <w:szCs w:val="24"/>
                      </w:rPr>
                    </m:ctrlPr>
                  </m:e>
                  <m:sub>
                    <m:r>
                      <m:rPr>
                        <m:nor/>
                      </m:rPr>
                      <w:rPr>
                        <w:rFonts w:ascii="Cambria Math" w:hAnsi="Cambria Math"/>
                        <w:i/>
                        <w:color w:val="000000"/>
                        <w:sz w:val="24"/>
                        <w:szCs w:val="24"/>
                      </w:rPr>
                      <m:t>gr</m:t>
                    </m:r>
                    <m:ctrlPr>
                      <w:rPr>
                        <w:rFonts w:ascii="Cambria Math" w:hAnsi="Cambria Math"/>
                        <w:i/>
                        <w:color w:val="000000"/>
                        <w:sz w:val="24"/>
                        <w:szCs w:val="24"/>
                      </w:rPr>
                    </m:ctrlPr>
                  </m:sub>
                </m:sSub>
                <m:r>
                  <m:rPr>
                    <m:nor/>
                  </m:rPr>
                  <w:rPr>
                    <w:rFonts w:ascii="Cambria Math" w:hAnsi="Cambria Math"/>
                    <w:i/>
                    <w:color w:val="000000"/>
                    <w:sz w:val="24"/>
                    <w:szCs w:val="24"/>
                  </w:rPr>
                  <m:t>+</m:t>
                </m:r>
                <m:sSub>
                  <m:sSubPr>
                    <m:ctrlPr>
                      <w:rPr>
                        <w:rFonts w:ascii="Cambria Math" w:hAnsi="Cambria Math"/>
                        <w:i/>
                        <w:color w:val="000000"/>
                        <w:sz w:val="24"/>
                        <w:szCs w:val="24"/>
                      </w:rPr>
                    </m:ctrlPr>
                  </m:sSubPr>
                  <m:e>
                    <m:r>
                      <m:rPr>
                        <m:nor/>
                      </m:rPr>
                      <w:rPr>
                        <w:rFonts w:ascii="Cambria Math" w:hAnsi="Cambria Math"/>
                        <w:i/>
                        <w:color w:val="000000"/>
                        <w:sz w:val="24"/>
                        <w:szCs w:val="24"/>
                      </w:rPr>
                      <m:t>A</m:t>
                    </m:r>
                    <m:ctrlPr>
                      <w:rPr>
                        <w:rFonts w:ascii="Cambria Math" w:hAnsi="Cambria Math"/>
                        <w:i/>
                        <w:color w:val="000000"/>
                        <w:sz w:val="24"/>
                        <w:szCs w:val="24"/>
                      </w:rPr>
                    </m:ctrlPr>
                  </m:e>
                  <m:sub>
                    <m:r>
                      <m:rPr>
                        <m:nor/>
                      </m:rPr>
                      <w:rPr>
                        <w:rFonts w:ascii="Cambria Math" w:hAnsi="Cambria Math"/>
                        <w:i/>
                        <w:color w:val="000000"/>
                        <w:sz w:val="24"/>
                        <w:szCs w:val="24"/>
                      </w:rPr>
                      <m:t>bar</m:t>
                    </m:r>
                    <m:ctrlPr>
                      <w:rPr>
                        <w:rFonts w:ascii="Cambria Math" w:hAnsi="Cambria Math"/>
                        <w:i/>
                        <w:color w:val="000000"/>
                        <w:sz w:val="24"/>
                        <w:szCs w:val="24"/>
                      </w:rPr>
                    </m:ctrlPr>
                  </m:sub>
                </m:sSub>
                <m:r>
                  <m:rPr>
                    <m:nor/>
                  </m:rPr>
                  <w:rPr>
                    <w:rFonts w:ascii="Cambria Math" w:hAnsi="Cambria Math"/>
                    <w:i/>
                    <w:color w:val="000000"/>
                    <w:sz w:val="24"/>
                    <w:szCs w:val="24"/>
                  </w:rPr>
                  <m:t>+</m:t>
                </m:r>
                <m:sSub>
                  <m:sSubPr>
                    <m:ctrlPr>
                      <w:rPr>
                        <w:rFonts w:ascii="Cambria Math" w:hAnsi="Cambria Math"/>
                        <w:i/>
                        <w:color w:val="000000"/>
                        <w:sz w:val="24"/>
                        <w:szCs w:val="24"/>
                      </w:rPr>
                    </m:ctrlPr>
                  </m:sSubPr>
                  <m:e>
                    <m:r>
                      <m:rPr>
                        <m:nor/>
                      </m:rPr>
                      <w:rPr>
                        <w:rFonts w:ascii="Cambria Math" w:hAnsi="Cambria Math"/>
                        <w:i/>
                        <w:color w:val="000000"/>
                        <w:sz w:val="24"/>
                        <w:szCs w:val="24"/>
                      </w:rPr>
                      <m:t>A</m:t>
                    </m:r>
                    <m:ctrlPr>
                      <w:rPr>
                        <w:rFonts w:ascii="Cambria Math" w:hAnsi="Cambria Math"/>
                        <w:i/>
                        <w:color w:val="000000"/>
                        <w:sz w:val="24"/>
                        <w:szCs w:val="24"/>
                      </w:rPr>
                    </m:ctrlPr>
                  </m:e>
                  <m:sub>
                    <m:r>
                      <m:rPr>
                        <m:nor/>
                      </m:rPr>
                      <w:rPr>
                        <w:rFonts w:ascii="Cambria Math" w:hAnsi="Cambria Math"/>
                        <w:i/>
                        <w:color w:val="000000"/>
                        <w:sz w:val="24"/>
                        <w:szCs w:val="24"/>
                      </w:rPr>
                      <m:t>misc</m:t>
                    </m:r>
                    <m:ctrlPr>
                      <w:rPr>
                        <w:rFonts w:ascii="Cambria Math" w:hAnsi="Cambria Math"/>
                        <w:i/>
                        <w:color w:val="000000"/>
                        <w:sz w:val="24"/>
                        <w:szCs w:val="24"/>
                      </w:rPr>
                    </m:ctrlPr>
                  </m:sub>
                </m:sSub>
                <m:r>
                  <m:rPr>
                    <m:nor/>
                  </m:rPr>
                  <w:rPr>
                    <w:rFonts w:ascii="Cambria Math" w:hAnsi="Cambria Math"/>
                    <w:i/>
                    <w:color w:val="000000"/>
                    <w:sz w:val="24"/>
                    <w:szCs w:val="24"/>
                  </w:rPr>
                  <m:t>）</m:t>
                </m:r>
              </m:oMath>
            </m:oMathPara>
          </w:p>
          <w:p w14:paraId="2BEBA2E2">
            <w:pPr>
              <w:adjustRightInd w:val="0"/>
              <w:snapToGrid w:val="0"/>
              <w:spacing w:line="360" w:lineRule="auto"/>
              <w:ind w:firstLine="480" w:firstLineChars="200"/>
              <w:rPr>
                <w:bCs/>
                <w:i/>
                <w:color w:val="000000"/>
                <w:sz w:val="24"/>
                <w:szCs w:val="24"/>
              </w:rPr>
            </w:pPr>
            <m:oMathPara>
              <m:oMath>
                <m:sSub>
                  <m:sSubPr>
                    <m:ctrlPr>
                      <w:rPr>
                        <w:rFonts w:ascii="Cambria Math" w:hAnsi="Cambria Math"/>
                        <w:i/>
                        <w:color w:val="000000"/>
                        <w:sz w:val="24"/>
                        <w:szCs w:val="24"/>
                      </w:rPr>
                    </m:ctrlPr>
                  </m:sSubPr>
                  <m:e>
                    <m:r>
                      <m:rPr>
                        <m:nor/>
                      </m:rPr>
                      <w:rPr>
                        <w:rFonts w:ascii="Cambria Math" w:hAnsi="Cambria Math"/>
                        <w:i/>
                        <w:color w:val="000000"/>
                        <w:sz w:val="24"/>
                        <w:szCs w:val="24"/>
                      </w:rPr>
                      <m:t>L</m:t>
                    </m:r>
                    <m:ctrlPr>
                      <w:rPr>
                        <w:rFonts w:ascii="Cambria Math" w:hAnsi="Cambria Math"/>
                        <w:i/>
                        <w:color w:val="000000"/>
                        <w:sz w:val="24"/>
                        <w:szCs w:val="24"/>
                      </w:rPr>
                    </m:ctrlPr>
                  </m:e>
                  <m:sub>
                    <m:r>
                      <m:rPr>
                        <m:nor/>
                      </m:rPr>
                      <w:rPr>
                        <w:rFonts w:ascii="Cambria Math" w:hAnsi="Cambria Math"/>
                        <w:i/>
                        <w:color w:val="000000"/>
                        <w:sz w:val="24"/>
                        <w:szCs w:val="24"/>
                      </w:rPr>
                      <m:t>p</m:t>
                    </m:r>
                    <m:ctrlPr>
                      <w:rPr>
                        <w:rFonts w:ascii="Cambria Math" w:hAnsi="Cambria Math"/>
                        <w:i/>
                        <w:color w:val="000000"/>
                        <w:sz w:val="24"/>
                        <w:szCs w:val="24"/>
                      </w:rPr>
                    </m:ctrlPr>
                  </m:sub>
                </m:sSub>
                <m:d>
                  <m:dPr>
                    <m:begChr m:val="（"/>
                    <m:endChr m:val="）"/>
                    <m:ctrlPr>
                      <w:rPr>
                        <w:rFonts w:ascii="Cambria Math" w:hAnsi="Cambria Math"/>
                        <w:i/>
                        <w:color w:val="000000"/>
                        <w:sz w:val="24"/>
                        <w:szCs w:val="24"/>
                      </w:rPr>
                    </m:ctrlPr>
                  </m:dPr>
                  <m:e>
                    <m:r>
                      <m:rPr>
                        <m:nor/>
                      </m:rPr>
                      <w:rPr>
                        <w:rFonts w:ascii="Cambria Math" w:hAnsi="Cambria Math"/>
                        <w:i/>
                        <w:color w:val="000000"/>
                        <w:sz w:val="24"/>
                        <w:szCs w:val="24"/>
                      </w:rPr>
                      <m:t>r</m:t>
                    </m:r>
                    <m:ctrlPr>
                      <w:rPr>
                        <w:rFonts w:ascii="Cambria Math" w:hAnsi="Cambria Math"/>
                        <w:i/>
                        <w:color w:val="000000"/>
                        <w:sz w:val="24"/>
                        <w:szCs w:val="24"/>
                      </w:rPr>
                    </m:ctrlPr>
                  </m:e>
                </m:d>
                <m:r>
                  <m:rPr>
                    <m:nor/>
                  </m:rPr>
                  <w:rPr>
                    <w:rFonts w:ascii="Cambria Math" w:hAnsi="Cambria Math"/>
                    <w:i/>
                    <w:color w:val="000000"/>
                    <w:sz w:val="24"/>
                    <w:szCs w:val="24"/>
                  </w:rPr>
                  <m:t>=</m:t>
                </m:r>
                <m:sSub>
                  <m:sSubPr>
                    <m:ctrlPr>
                      <w:rPr>
                        <w:rFonts w:ascii="Cambria Math" w:hAnsi="Cambria Math"/>
                        <w:i/>
                        <w:color w:val="000000"/>
                        <w:sz w:val="24"/>
                        <w:szCs w:val="24"/>
                      </w:rPr>
                    </m:ctrlPr>
                  </m:sSubPr>
                  <m:e>
                    <m:r>
                      <m:rPr>
                        <m:nor/>
                      </m:rPr>
                      <w:rPr>
                        <w:rFonts w:ascii="Cambria Math" w:hAnsi="Cambria Math"/>
                        <w:i/>
                        <w:color w:val="000000"/>
                        <w:sz w:val="24"/>
                        <w:szCs w:val="24"/>
                      </w:rPr>
                      <m:t>L</m:t>
                    </m:r>
                    <m:ctrlPr>
                      <w:rPr>
                        <w:rFonts w:ascii="Cambria Math" w:hAnsi="Cambria Math"/>
                        <w:i/>
                        <w:color w:val="000000"/>
                        <w:sz w:val="24"/>
                        <w:szCs w:val="24"/>
                      </w:rPr>
                    </m:ctrlPr>
                  </m:e>
                  <m:sub>
                    <m:r>
                      <m:rPr>
                        <m:nor/>
                      </m:rPr>
                      <w:rPr>
                        <w:rFonts w:ascii="Cambria Math" w:hAnsi="Cambria Math"/>
                        <w:i/>
                        <w:color w:val="000000"/>
                        <w:sz w:val="24"/>
                        <w:szCs w:val="24"/>
                      </w:rPr>
                      <m:t>p</m:t>
                    </m:r>
                    <m:ctrlPr>
                      <w:rPr>
                        <w:rFonts w:ascii="Cambria Math" w:hAnsi="Cambria Math"/>
                        <w:i/>
                        <w:color w:val="000000"/>
                        <w:sz w:val="24"/>
                        <w:szCs w:val="24"/>
                      </w:rPr>
                    </m:ctrlPr>
                  </m:sub>
                </m:sSub>
                <m:d>
                  <m:dPr>
                    <m:begChr m:val="（"/>
                    <m:endChr m:val="）"/>
                    <m:ctrlPr>
                      <w:rPr>
                        <w:rFonts w:ascii="Cambria Math" w:hAnsi="Cambria Math"/>
                        <w:i/>
                        <w:color w:val="000000"/>
                        <w:sz w:val="24"/>
                        <w:szCs w:val="24"/>
                      </w:rPr>
                    </m:ctrlPr>
                  </m:dPr>
                  <m:e>
                    <m:sSub>
                      <m:sSubPr>
                        <m:ctrlPr>
                          <w:rPr>
                            <w:rFonts w:ascii="Cambria Math" w:hAnsi="Cambria Math"/>
                            <w:i/>
                            <w:color w:val="000000"/>
                            <w:sz w:val="24"/>
                            <w:szCs w:val="24"/>
                          </w:rPr>
                        </m:ctrlPr>
                      </m:sSubPr>
                      <m:e>
                        <m:r>
                          <m:rPr/>
                          <w:rPr>
                            <w:rFonts w:ascii="Cambria Math" w:hAnsi="Cambria Math"/>
                            <w:color w:val="000000"/>
                            <w:sz w:val="24"/>
                            <w:szCs w:val="24"/>
                          </w:rPr>
                          <m:t>r</m:t>
                        </m:r>
                        <m:ctrlPr>
                          <w:rPr>
                            <w:rFonts w:ascii="Cambria Math" w:hAnsi="Cambria Math"/>
                            <w:i/>
                            <w:color w:val="000000"/>
                            <w:sz w:val="24"/>
                            <w:szCs w:val="24"/>
                          </w:rPr>
                        </m:ctrlPr>
                      </m:e>
                      <m:sub>
                        <m:r>
                          <m:rPr/>
                          <w:rPr>
                            <w:rFonts w:ascii="Cambria Math" w:hAnsi="Cambria Math"/>
                            <w:color w:val="000000"/>
                            <w:sz w:val="24"/>
                            <w:szCs w:val="24"/>
                          </w:rPr>
                          <m:t>0</m:t>
                        </m:r>
                        <m:ctrlPr>
                          <w:rPr>
                            <w:rFonts w:ascii="Cambria Math" w:hAnsi="Cambria Math"/>
                            <w:i/>
                            <w:color w:val="000000"/>
                            <w:sz w:val="24"/>
                            <w:szCs w:val="24"/>
                          </w:rPr>
                        </m:ctrlPr>
                      </m:sub>
                    </m:sSub>
                    <m:ctrlPr>
                      <w:rPr>
                        <w:rFonts w:ascii="Cambria Math" w:hAnsi="Cambria Math"/>
                        <w:i/>
                        <w:color w:val="000000"/>
                        <w:sz w:val="24"/>
                        <w:szCs w:val="24"/>
                      </w:rPr>
                    </m:ctrlPr>
                  </m:e>
                </m:d>
                <m:r>
                  <m:rPr>
                    <m:nor/>
                  </m:rPr>
                  <w:rPr>
                    <w:rFonts w:ascii="Cambria Math" w:hAnsi="Cambria Math"/>
                    <w:i/>
                    <w:color w:val="000000"/>
                    <w:sz w:val="24"/>
                    <w:szCs w:val="24"/>
                  </w:rPr>
                  <m:t>+</m:t>
                </m:r>
                <m:sSub>
                  <m:sSubPr>
                    <m:ctrlPr>
                      <w:rPr>
                        <w:rFonts w:ascii="Cambria Math" w:hAnsi="Cambria Math"/>
                        <w:i/>
                        <w:color w:val="000000"/>
                        <w:sz w:val="24"/>
                        <w:szCs w:val="24"/>
                      </w:rPr>
                    </m:ctrlPr>
                  </m:sSubPr>
                  <m:e>
                    <m:r>
                      <m:rPr>
                        <m:nor/>
                      </m:rPr>
                      <w:rPr>
                        <w:rFonts w:ascii="Cambria Math" w:hAnsi="Cambria Math"/>
                        <w:i/>
                        <w:color w:val="000000"/>
                        <w:sz w:val="24"/>
                        <w:szCs w:val="24"/>
                      </w:rPr>
                      <m:t>D</m:t>
                    </m:r>
                    <m:ctrlPr>
                      <w:rPr>
                        <w:rFonts w:ascii="Cambria Math" w:hAnsi="Cambria Math"/>
                        <w:i/>
                        <w:color w:val="000000"/>
                        <w:sz w:val="24"/>
                        <w:szCs w:val="24"/>
                      </w:rPr>
                    </m:ctrlPr>
                  </m:e>
                  <m:sub>
                    <m:r>
                      <m:rPr>
                        <m:nor/>
                      </m:rPr>
                      <w:rPr>
                        <w:rFonts w:ascii="Cambria Math" w:hAnsi="Cambria Math"/>
                        <w:i/>
                        <w:color w:val="000000"/>
                        <w:sz w:val="24"/>
                        <w:szCs w:val="24"/>
                      </w:rPr>
                      <m:t>C</m:t>
                    </m:r>
                    <m:ctrlPr>
                      <w:rPr>
                        <w:rFonts w:ascii="Cambria Math" w:hAnsi="Cambria Math"/>
                        <w:i/>
                        <w:color w:val="000000"/>
                        <w:sz w:val="24"/>
                        <w:szCs w:val="24"/>
                      </w:rPr>
                    </m:ctrlPr>
                  </m:sub>
                </m:sSub>
                <m:r>
                  <m:rPr>
                    <m:nor/>
                  </m:rPr>
                  <w:rPr>
                    <w:rFonts w:ascii="Cambria Math" w:hAnsi="Cambria Math"/>
                    <w:i/>
                    <w:color w:val="000000"/>
                    <w:sz w:val="24"/>
                    <w:szCs w:val="24"/>
                  </w:rPr>
                  <m:t>-（</m:t>
                </m:r>
                <m:sSub>
                  <m:sSubPr>
                    <m:ctrlPr>
                      <w:rPr>
                        <w:rFonts w:ascii="Cambria Math" w:hAnsi="Cambria Math"/>
                        <w:i/>
                        <w:color w:val="000000"/>
                        <w:sz w:val="24"/>
                        <w:szCs w:val="24"/>
                      </w:rPr>
                    </m:ctrlPr>
                  </m:sSubPr>
                  <m:e>
                    <m:r>
                      <m:rPr>
                        <m:nor/>
                      </m:rPr>
                      <w:rPr>
                        <w:rFonts w:ascii="Cambria Math" w:hAnsi="Cambria Math"/>
                        <w:i/>
                        <w:color w:val="000000"/>
                        <w:sz w:val="24"/>
                        <w:szCs w:val="24"/>
                      </w:rPr>
                      <m:t>A</m:t>
                    </m:r>
                    <m:ctrlPr>
                      <w:rPr>
                        <w:rFonts w:ascii="Cambria Math" w:hAnsi="Cambria Math"/>
                        <w:i/>
                        <w:color w:val="000000"/>
                        <w:sz w:val="24"/>
                        <w:szCs w:val="24"/>
                      </w:rPr>
                    </m:ctrlPr>
                  </m:e>
                  <m:sub>
                    <m:r>
                      <m:rPr>
                        <m:nor/>
                      </m:rPr>
                      <w:rPr>
                        <w:rFonts w:ascii="Cambria Math" w:hAnsi="Cambria Math"/>
                        <w:i/>
                        <w:color w:val="000000"/>
                        <w:sz w:val="24"/>
                        <w:szCs w:val="24"/>
                      </w:rPr>
                      <m:t>div</m:t>
                    </m:r>
                    <m:ctrlPr>
                      <w:rPr>
                        <w:rFonts w:ascii="Cambria Math" w:hAnsi="Cambria Math"/>
                        <w:i/>
                        <w:color w:val="000000"/>
                        <w:sz w:val="24"/>
                        <w:szCs w:val="24"/>
                      </w:rPr>
                    </m:ctrlPr>
                  </m:sub>
                </m:sSub>
                <m:r>
                  <m:rPr>
                    <m:nor/>
                  </m:rPr>
                  <w:rPr>
                    <w:rFonts w:ascii="Cambria Math" w:hAnsi="Cambria Math"/>
                    <w:i/>
                    <w:color w:val="000000"/>
                    <w:sz w:val="24"/>
                    <w:szCs w:val="24"/>
                  </w:rPr>
                  <m:t>+</m:t>
                </m:r>
                <m:sSub>
                  <m:sSubPr>
                    <m:ctrlPr>
                      <w:rPr>
                        <w:rFonts w:ascii="Cambria Math" w:hAnsi="Cambria Math"/>
                        <w:i/>
                        <w:color w:val="000000"/>
                        <w:sz w:val="24"/>
                        <w:szCs w:val="24"/>
                      </w:rPr>
                    </m:ctrlPr>
                  </m:sSubPr>
                  <m:e>
                    <m:r>
                      <m:rPr>
                        <m:nor/>
                      </m:rPr>
                      <w:rPr>
                        <w:rFonts w:ascii="Cambria Math" w:hAnsi="Cambria Math"/>
                        <w:i/>
                        <w:color w:val="000000"/>
                        <w:sz w:val="24"/>
                        <w:szCs w:val="24"/>
                      </w:rPr>
                      <m:t>A</m:t>
                    </m:r>
                    <m:ctrlPr>
                      <w:rPr>
                        <w:rFonts w:ascii="Cambria Math" w:hAnsi="Cambria Math"/>
                        <w:i/>
                        <w:color w:val="000000"/>
                        <w:sz w:val="24"/>
                        <w:szCs w:val="24"/>
                      </w:rPr>
                    </m:ctrlPr>
                  </m:e>
                  <m:sub>
                    <m:r>
                      <m:rPr>
                        <m:nor/>
                      </m:rPr>
                      <w:rPr>
                        <w:rFonts w:ascii="Cambria Math" w:hAnsi="Cambria Math"/>
                        <w:i/>
                        <w:color w:val="000000"/>
                        <w:sz w:val="24"/>
                        <w:szCs w:val="24"/>
                      </w:rPr>
                      <m:t>atm</m:t>
                    </m:r>
                    <m:ctrlPr>
                      <w:rPr>
                        <w:rFonts w:ascii="Cambria Math" w:hAnsi="Cambria Math"/>
                        <w:i/>
                        <w:color w:val="000000"/>
                        <w:sz w:val="24"/>
                        <w:szCs w:val="24"/>
                      </w:rPr>
                    </m:ctrlPr>
                  </m:sub>
                </m:sSub>
                <m:r>
                  <m:rPr>
                    <m:nor/>
                  </m:rPr>
                  <w:rPr>
                    <w:rFonts w:ascii="Cambria Math" w:hAnsi="Cambria Math"/>
                    <w:i/>
                    <w:color w:val="000000"/>
                    <w:sz w:val="24"/>
                    <w:szCs w:val="24"/>
                  </w:rPr>
                  <m:t>+</m:t>
                </m:r>
                <m:sSub>
                  <m:sSubPr>
                    <m:ctrlPr>
                      <w:rPr>
                        <w:rFonts w:ascii="Cambria Math" w:hAnsi="Cambria Math"/>
                        <w:i/>
                        <w:color w:val="000000"/>
                        <w:sz w:val="24"/>
                        <w:szCs w:val="24"/>
                      </w:rPr>
                    </m:ctrlPr>
                  </m:sSubPr>
                  <m:e>
                    <m:r>
                      <m:rPr>
                        <m:nor/>
                      </m:rPr>
                      <w:rPr>
                        <w:rFonts w:ascii="Cambria Math" w:hAnsi="Cambria Math"/>
                        <w:i/>
                        <w:color w:val="000000"/>
                        <w:sz w:val="24"/>
                        <w:szCs w:val="24"/>
                      </w:rPr>
                      <m:t>A</m:t>
                    </m:r>
                    <m:ctrlPr>
                      <w:rPr>
                        <w:rFonts w:ascii="Cambria Math" w:hAnsi="Cambria Math"/>
                        <w:i/>
                        <w:color w:val="000000"/>
                        <w:sz w:val="24"/>
                        <w:szCs w:val="24"/>
                      </w:rPr>
                    </m:ctrlPr>
                  </m:e>
                  <m:sub>
                    <m:r>
                      <m:rPr>
                        <m:nor/>
                      </m:rPr>
                      <w:rPr>
                        <w:rFonts w:ascii="Cambria Math" w:hAnsi="Cambria Math"/>
                        <w:i/>
                        <w:color w:val="000000"/>
                        <w:sz w:val="24"/>
                        <w:szCs w:val="24"/>
                      </w:rPr>
                      <m:t>gr</m:t>
                    </m:r>
                    <m:ctrlPr>
                      <w:rPr>
                        <w:rFonts w:ascii="Cambria Math" w:hAnsi="Cambria Math"/>
                        <w:i/>
                        <w:color w:val="000000"/>
                        <w:sz w:val="24"/>
                        <w:szCs w:val="24"/>
                      </w:rPr>
                    </m:ctrlPr>
                  </m:sub>
                </m:sSub>
                <m:r>
                  <m:rPr>
                    <m:nor/>
                  </m:rPr>
                  <w:rPr>
                    <w:rFonts w:ascii="Cambria Math" w:hAnsi="Cambria Math"/>
                    <w:i/>
                    <w:color w:val="000000"/>
                    <w:sz w:val="24"/>
                    <w:szCs w:val="24"/>
                  </w:rPr>
                  <m:t>+</m:t>
                </m:r>
                <m:sSub>
                  <m:sSubPr>
                    <m:ctrlPr>
                      <w:rPr>
                        <w:rFonts w:ascii="Cambria Math" w:hAnsi="Cambria Math"/>
                        <w:i/>
                        <w:color w:val="000000"/>
                        <w:sz w:val="24"/>
                        <w:szCs w:val="24"/>
                      </w:rPr>
                    </m:ctrlPr>
                  </m:sSubPr>
                  <m:e>
                    <m:r>
                      <m:rPr>
                        <m:nor/>
                      </m:rPr>
                      <w:rPr>
                        <w:rFonts w:ascii="Cambria Math" w:hAnsi="Cambria Math"/>
                        <w:i/>
                        <w:color w:val="000000"/>
                        <w:sz w:val="24"/>
                        <w:szCs w:val="24"/>
                      </w:rPr>
                      <m:t>A</m:t>
                    </m:r>
                    <m:ctrlPr>
                      <w:rPr>
                        <w:rFonts w:ascii="Cambria Math" w:hAnsi="Cambria Math"/>
                        <w:i/>
                        <w:color w:val="000000"/>
                        <w:sz w:val="24"/>
                        <w:szCs w:val="24"/>
                      </w:rPr>
                    </m:ctrlPr>
                  </m:e>
                  <m:sub>
                    <m:r>
                      <m:rPr>
                        <m:nor/>
                      </m:rPr>
                      <w:rPr>
                        <w:rFonts w:ascii="Cambria Math" w:hAnsi="Cambria Math"/>
                        <w:i/>
                        <w:color w:val="000000"/>
                        <w:sz w:val="24"/>
                        <w:szCs w:val="24"/>
                      </w:rPr>
                      <m:t>bar</m:t>
                    </m:r>
                    <m:ctrlPr>
                      <w:rPr>
                        <w:rFonts w:ascii="Cambria Math" w:hAnsi="Cambria Math"/>
                        <w:i/>
                        <w:color w:val="000000"/>
                        <w:sz w:val="24"/>
                        <w:szCs w:val="24"/>
                      </w:rPr>
                    </m:ctrlPr>
                  </m:sub>
                </m:sSub>
                <m:r>
                  <m:rPr>
                    <m:nor/>
                  </m:rPr>
                  <w:rPr>
                    <w:rFonts w:ascii="Cambria Math" w:hAnsi="Cambria Math"/>
                    <w:i/>
                    <w:color w:val="000000"/>
                    <w:sz w:val="24"/>
                    <w:szCs w:val="24"/>
                  </w:rPr>
                  <m:t>+</m:t>
                </m:r>
                <m:sSub>
                  <m:sSubPr>
                    <m:ctrlPr>
                      <w:rPr>
                        <w:rFonts w:ascii="Cambria Math" w:hAnsi="Cambria Math"/>
                        <w:i/>
                        <w:color w:val="000000"/>
                        <w:sz w:val="24"/>
                        <w:szCs w:val="24"/>
                      </w:rPr>
                    </m:ctrlPr>
                  </m:sSubPr>
                  <m:e>
                    <m:r>
                      <m:rPr>
                        <m:nor/>
                      </m:rPr>
                      <w:rPr>
                        <w:rFonts w:ascii="Cambria Math" w:hAnsi="Cambria Math"/>
                        <w:i/>
                        <w:color w:val="000000"/>
                        <w:sz w:val="24"/>
                        <w:szCs w:val="24"/>
                      </w:rPr>
                      <m:t>A</m:t>
                    </m:r>
                    <m:ctrlPr>
                      <w:rPr>
                        <w:rFonts w:ascii="Cambria Math" w:hAnsi="Cambria Math"/>
                        <w:i/>
                        <w:color w:val="000000"/>
                        <w:sz w:val="24"/>
                        <w:szCs w:val="24"/>
                      </w:rPr>
                    </m:ctrlPr>
                  </m:e>
                  <m:sub>
                    <m:r>
                      <m:rPr>
                        <m:nor/>
                      </m:rPr>
                      <w:rPr>
                        <w:rFonts w:ascii="Cambria Math" w:hAnsi="Cambria Math"/>
                        <w:i/>
                        <w:color w:val="000000"/>
                        <w:sz w:val="24"/>
                        <w:szCs w:val="24"/>
                      </w:rPr>
                      <m:t>misc</m:t>
                    </m:r>
                    <m:ctrlPr>
                      <w:rPr>
                        <w:rFonts w:ascii="Cambria Math" w:hAnsi="Cambria Math"/>
                        <w:i/>
                        <w:color w:val="000000"/>
                        <w:sz w:val="24"/>
                        <w:szCs w:val="24"/>
                      </w:rPr>
                    </m:ctrlPr>
                  </m:sub>
                </m:sSub>
                <m:r>
                  <m:rPr>
                    <m:nor/>
                  </m:rPr>
                  <w:rPr>
                    <w:rFonts w:ascii="Cambria Math" w:hAnsi="Cambria Math"/>
                    <w:i/>
                    <w:color w:val="000000"/>
                    <w:sz w:val="24"/>
                    <w:szCs w:val="24"/>
                  </w:rPr>
                  <m:t>）</m:t>
                </m:r>
              </m:oMath>
            </m:oMathPara>
          </w:p>
          <w:p w14:paraId="534C9E44">
            <w:pPr>
              <w:adjustRightInd w:val="0"/>
              <w:snapToGrid w:val="0"/>
              <w:spacing w:line="360" w:lineRule="auto"/>
              <w:ind w:firstLine="480" w:firstLineChars="200"/>
              <w:rPr>
                <w:bCs/>
                <w:color w:val="000000"/>
                <w:sz w:val="24"/>
                <w:szCs w:val="24"/>
              </w:rPr>
            </w:pPr>
            <w:r>
              <w:rPr>
                <w:rFonts w:hint="eastAsia"/>
                <w:bCs/>
                <w:color w:val="000000"/>
                <w:sz w:val="24"/>
                <w:szCs w:val="24"/>
              </w:rPr>
              <w:t>②</w:t>
            </w:r>
            <w:r>
              <w:rPr>
                <w:bCs/>
                <w:color w:val="000000"/>
                <w:sz w:val="24"/>
                <w:szCs w:val="24"/>
              </w:rPr>
              <w:t>室内声源等效室外声源声功率级计算方法</w:t>
            </w:r>
          </w:p>
          <w:p w14:paraId="2F501697">
            <w:pPr>
              <w:adjustRightInd w:val="0"/>
              <w:snapToGrid w:val="0"/>
              <w:spacing w:line="360" w:lineRule="auto"/>
              <w:ind w:firstLine="480" w:firstLineChars="200"/>
              <w:rPr>
                <w:bCs/>
                <w:color w:val="000000"/>
                <w:sz w:val="24"/>
                <w:szCs w:val="24"/>
              </w:rPr>
            </w:pPr>
            <w:r>
              <w:rPr>
                <w:bCs/>
                <w:color w:val="000000"/>
                <w:sz w:val="24"/>
                <w:szCs w:val="24"/>
              </w:rPr>
              <w:t>本项目位于室内的声源，室内声源采用等效室外声源声功率级法进行计算。室外的倍频带声压级参考附录B中B.1公式近似求出：</w:t>
            </w:r>
          </w:p>
          <w:p w14:paraId="50268329">
            <w:pPr>
              <w:adjustRightInd w:val="0"/>
              <w:snapToGrid w:val="0"/>
              <w:spacing w:line="360" w:lineRule="auto"/>
              <w:ind w:firstLine="480" w:firstLineChars="200"/>
              <w:rPr>
                <w:bCs/>
                <w:color w:val="000000"/>
                <w:sz w:val="24"/>
                <w:szCs w:val="24"/>
              </w:rPr>
            </w:pPr>
            <m:oMathPara>
              <m:oMath>
                <m:sSub>
                  <m:sSubPr>
                    <m:ctrlPr>
                      <w:rPr>
                        <w:rFonts w:ascii="Cambria Math" w:hAnsi="Cambria Math"/>
                        <w:i/>
                        <w:color w:val="000000"/>
                        <w:sz w:val="24"/>
                        <w:szCs w:val="24"/>
                      </w:rPr>
                    </m:ctrlPr>
                  </m:sSubPr>
                  <m:e>
                    <m:r>
                      <m:rPr>
                        <m:nor/>
                      </m:rPr>
                      <w:rPr>
                        <w:rFonts w:ascii="Cambria Math" w:hAnsi="Cambria Math"/>
                        <w:i/>
                        <w:color w:val="000000"/>
                        <w:sz w:val="24"/>
                        <w:szCs w:val="24"/>
                      </w:rPr>
                      <m:t>L</m:t>
                    </m:r>
                    <m:ctrlPr>
                      <w:rPr>
                        <w:rFonts w:ascii="Cambria Math" w:hAnsi="Cambria Math"/>
                        <w:i/>
                        <w:color w:val="000000"/>
                        <w:sz w:val="24"/>
                        <w:szCs w:val="24"/>
                      </w:rPr>
                    </m:ctrlPr>
                  </m:e>
                  <m:sub>
                    <m:r>
                      <m:rPr>
                        <m:nor/>
                      </m:rPr>
                      <w:rPr>
                        <w:rFonts w:ascii="Cambria Math" w:hAnsi="Cambria Math"/>
                        <w:i/>
                        <w:color w:val="000000"/>
                        <w:sz w:val="24"/>
                        <w:szCs w:val="24"/>
                      </w:rPr>
                      <m:t>P2</m:t>
                    </m:r>
                    <m:ctrlPr>
                      <w:rPr>
                        <w:rFonts w:ascii="Cambria Math" w:hAnsi="Cambria Math"/>
                        <w:i/>
                        <w:color w:val="000000"/>
                        <w:sz w:val="24"/>
                        <w:szCs w:val="24"/>
                      </w:rPr>
                    </m:ctrlPr>
                  </m:sub>
                </m:sSub>
                <m:r>
                  <m:rPr>
                    <m:nor/>
                  </m:rPr>
                  <w:rPr>
                    <w:rFonts w:ascii="Cambria Math" w:hAnsi="Cambria Math"/>
                    <w:i/>
                    <w:color w:val="000000"/>
                    <w:sz w:val="24"/>
                    <w:szCs w:val="24"/>
                  </w:rPr>
                  <m:t>=</m:t>
                </m:r>
                <m:sSub>
                  <m:sSubPr>
                    <m:ctrlPr>
                      <w:rPr>
                        <w:rFonts w:ascii="Cambria Math" w:hAnsi="Cambria Math"/>
                        <w:i/>
                        <w:color w:val="000000"/>
                        <w:sz w:val="24"/>
                        <w:szCs w:val="24"/>
                      </w:rPr>
                    </m:ctrlPr>
                  </m:sSubPr>
                  <m:e>
                    <m:r>
                      <m:rPr>
                        <m:nor/>
                      </m:rPr>
                      <w:rPr>
                        <w:rFonts w:ascii="Cambria Math" w:hAnsi="Cambria Math"/>
                        <w:i/>
                        <w:color w:val="000000"/>
                        <w:sz w:val="24"/>
                        <w:szCs w:val="24"/>
                      </w:rPr>
                      <m:t>L</m:t>
                    </m:r>
                    <m:ctrlPr>
                      <w:rPr>
                        <w:rFonts w:ascii="Cambria Math" w:hAnsi="Cambria Math"/>
                        <w:i/>
                        <w:color w:val="000000"/>
                        <w:sz w:val="24"/>
                        <w:szCs w:val="24"/>
                      </w:rPr>
                    </m:ctrlPr>
                  </m:e>
                  <m:sub>
                    <m:r>
                      <m:rPr>
                        <m:nor/>
                      </m:rPr>
                      <w:rPr>
                        <w:rFonts w:ascii="Cambria Math" w:hAnsi="Cambria Math"/>
                        <w:i/>
                        <w:color w:val="000000"/>
                        <w:sz w:val="24"/>
                        <w:szCs w:val="24"/>
                      </w:rPr>
                      <m:t>P1</m:t>
                    </m:r>
                    <m:ctrlPr>
                      <w:rPr>
                        <w:rFonts w:ascii="Cambria Math" w:hAnsi="Cambria Math"/>
                        <w:i/>
                        <w:color w:val="000000"/>
                        <w:sz w:val="24"/>
                        <w:szCs w:val="24"/>
                      </w:rPr>
                    </m:ctrlPr>
                  </m:sub>
                </m:sSub>
                <m:r>
                  <m:rPr>
                    <m:nor/>
                  </m:rPr>
                  <w:rPr>
                    <w:rFonts w:ascii="Cambria Math" w:hAnsi="Cambria Math"/>
                    <w:i/>
                    <w:color w:val="000000"/>
                    <w:sz w:val="24"/>
                    <w:szCs w:val="24"/>
                  </w:rPr>
                  <m:t>-（TL+6）</m:t>
                </m:r>
              </m:oMath>
            </m:oMathPara>
          </w:p>
          <w:p w14:paraId="0E080D5D">
            <w:pPr>
              <w:adjustRightInd w:val="0"/>
              <w:snapToGrid w:val="0"/>
              <w:spacing w:line="360" w:lineRule="auto"/>
              <w:ind w:firstLine="480" w:firstLineChars="200"/>
              <w:rPr>
                <w:bCs/>
                <w:color w:val="000000"/>
                <w:sz w:val="24"/>
                <w:szCs w:val="24"/>
              </w:rPr>
            </w:pPr>
            <w:r>
              <w:rPr>
                <w:rFonts w:hint="eastAsia"/>
                <w:bCs/>
                <w:color w:val="000000"/>
                <w:sz w:val="24"/>
                <w:szCs w:val="24"/>
              </w:rPr>
              <w:t>③</w:t>
            </w:r>
            <w:r>
              <w:rPr>
                <w:bCs/>
                <w:color w:val="000000"/>
                <w:sz w:val="24"/>
                <w:szCs w:val="24"/>
              </w:rPr>
              <w:t>衰减项的计算</w:t>
            </w:r>
          </w:p>
          <w:p w14:paraId="7766A625">
            <w:pPr>
              <w:adjustRightInd w:val="0"/>
              <w:snapToGrid w:val="0"/>
              <w:spacing w:line="360" w:lineRule="auto"/>
              <w:ind w:firstLine="480" w:firstLineChars="200"/>
              <w:rPr>
                <w:bCs/>
                <w:color w:val="000000"/>
                <w:sz w:val="24"/>
                <w:szCs w:val="24"/>
              </w:rPr>
            </w:pPr>
            <w:r>
              <w:rPr>
                <w:bCs/>
                <w:color w:val="000000"/>
                <w:sz w:val="24"/>
                <w:szCs w:val="24"/>
              </w:rPr>
              <w:t>本项目衰减项的计算主要考虑点声源的几何发散衰减，公式如下：</w:t>
            </w:r>
          </w:p>
          <w:p w14:paraId="446252B6">
            <w:pPr>
              <w:adjustRightInd w:val="0"/>
              <w:snapToGrid w:val="0"/>
              <w:spacing w:line="360" w:lineRule="auto"/>
              <w:ind w:firstLine="480" w:firstLineChars="200"/>
              <w:rPr>
                <w:bCs/>
                <w:i/>
                <w:color w:val="000000"/>
                <w:sz w:val="24"/>
                <w:szCs w:val="24"/>
              </w:rPr>
            </w:pPr>
            <m:oMathPara>
              <m:oMath>
                <m:sSub>
                  <m:sSubPr>
                    <m:ctrlPr>
                      <w:rPr>
                        <w:rFonts w:ascii="Cambria Math" w:hAnsi="Cambria Math"/>
                        <w:i/>
                        <w:color w:val="000000"/>
                        <w:sz w:val="24"/>
                        <w:szCs w:val="24"/>
                      </w:rPr>
                    </m:ctrlPr>
                  </m:sSubPr>
                  <m:e>
                    <m:r>
                      <m:rPr>
                        <m:nor/>
                      </m:rPr>
                      <w:rPr>
                        <w:rFonts w:ascii="Cambria Math" w:hAnsi="Cambria Math"/>
                        <w:i/>
                        <w:color w:val="000000"/>
                        <w:sz w:val="24"/>
                        <w:szCs w:val="24"/>
                      </w:rPr>
                      <m:t>L</m:t>
                    </m:r>
                    <m:ctrlPr>
                      <w:rPr>
                        <w:rFonts w:ascii="Cambria Math" w:hAnsi="Cambria Math"/>
                        <w:i/>
                        <w:color w:val="000000"/>
                        <w:sz w:val="24"/>
                        <w:szCs w:val="24"/>
                      </w:rPr>
                    </m:ctrlPr>
                  </m:e>
                  <m:sub>
                    <m:r>
                      <m:rPr>
                        <m:nor/>
                      </m:rPr>
                      <w:rPr>
                        <w:rFonts w:ascii="Cambria Math" w:hAnsi="Cambria Math"/>
                        <w:i/>
                        <w:color w:val="000000"/>
                        <w:sz w:val="24"/>
                        <w:szCs w:val="24"/>
                      </w:rPr>
                      <m:t>A</m:t>
                    </m:r>
                    <m:ctrlPr>
                      <w:rPr>
                        <w:rFonts w:ascii="Cambria Math" w:hAnsi="Cambria Math"/>
                        <w:i/>
                        <w:color w:val="000000"/>
                        <w:sz w:val="24"/>
                        <w:szCs w:val="24"/>
                      </w:rPr>
                    </m:ctrlPr>
                  </m:sub>
                </m:sSub>
                <m:d>
                  <m:dPr>
                    <m:begChr m:val="（"/>
                    <m:endChr m:val="）"/>
                    <m:ctrlPr>
                      <w:rPr>
                        <w:rFonts w:ascii="Cambria Math" w:hAnsi="Cambria Math"/>
                        <w:i/>
                        <w:color w:val="000000"/>
                        <w:sz w:val="24"/>
                        <w:szCs w:val="24"/>
                      </w:rPr>
                    </m:ctrlPr>
                  </m:dPr>
                  <m:e>
                    <m:r>
                      <m:rPr>
                        <m:nor/>
                      </m:rPr>
                      <w:rPr>
                        <w:rFonts w:ascii="Cambria Math" w:hAnsi="Cambria Math"/>
                        <w:i/>
                        <w:color w:val="000000"/>
                        <w:sz w:val="24"/>
                        <w:szCs w:val="24"/>
                      </w:rPr>
                      <m:t>r</m:t>
                    </m:r>
                    <m:ctrlPr>
                      <w:rPr>
                        <w:rFonts w:ascii="Cambria Math" w:hAnsi="Cambria Math"/>
                        <w:i/>
                        <w:color w:val="000000"/>
                        <w:sz w:val="24"/>
                        <w:szCs w:val="24"/>
                      </w:rPr>
                    </m:ctrlPr>
                  </m:e>
                </m:d>
                <m:r>
                  <m:rPr>
                    <m:nor/>
                  </m:rPr>
                  <w:rPr>
                    <w:rFonts w:ascii="Cambria Math" w:hAnsi="Cambria Math"/>
                    <w:i/>
                    <w:color w:val="000000"/>
                    <w:sz w:val="24"/>
                    <w:szCs w:val="24"/>
                  </w:rPr>
                  <m:t>=</m:t>
                </m:r>
                <m:sSub>
                  <m:sSubPr>
                    <m:ctrlPr>
                      <w:rPr>
                        <w:rFonts w:ascii="Cambria Math" w:hAnsi="Cambria Math"/>
                        <w:i/>
                        <w:color w:val="000000"/>
                        <w:sz w:val="24"/>
                        <w:szCs w:val="24"/>
                      </w:rPr>
                    </m:ctrlPr>
                  </m:sSubPr>
                  <m:e>
                    <m:r>
                      <m:rPr>
                        <m:nor/>
                      </m:rPr>
                      <w:rPr>
                        <w:rFonts w:ascii="Cambria Math" w:hAnsi="Cambria Math"/>
                        <w:i/>
                        <w:color w:val="000000"/>
                        <w:sz w:val="24"/>
                        <w:szCs w:val="24"/>
                      </w:rPr>
                      <m:t>L</m:t>
                    </m:r>
                    <m:ctrlPr>
                      <w:rPr>
                        <w:rFonts w:ascii="Cambria Math" w:hAnsi="Cambria Math"/>
                        <w:i/>
                        <w:color w:val="000000"/>
                        <w:sz w:val="24"/>
                        <w:szCs w:val="24"/>
                      </w:rPr>
                    </m:ctrlPr>
                  </m:e>
                  <m:sub>
                    <m:r>
                      <m:rPr>
                        <m:nor/>
                      </m:rPr>
                      <w:rPr>
                        <w:rFonts w:ascii="Cambria Math" w:hAnsi="Cambria Math"/>
                        <w:i/>
                        <w:color w:val="000000"/>
                        <w:sz w:val="24"/>
                        <w:szCs w:val="24"/>
                      </w:rPr>
                      <m:t>A</m:t>
                    </m:r>
                    <m:ctrlPr>
                      <w:rPr>
                        <w:rFonts w:ascii="Cambria Math" w:hAnsi="Cambria Math"/>
                        <w:i/>
                        <w:color w:val="000000"/>
                        <w:sz w:val="24"/>
                        <w:szCs w:val="24"/>
                      </w:rPr>
                    </m:ctrlPr>
                  </m:sub>
                </m:sSub>
                <m:d>
                  <m:dPr>
                    <m:begChr m:val="（"/>
                    <m:endChr m:val="）"/>
                    <m:ctrlPr>
                      <w:rPr>
                        <w:rFonts w:ascii="Cambria Math" w:hAnsi="Cambria Math"/>
                        <w:i/>
                        <w:color w:val="000000"/>
                        <w:sz w:val="24"/>
                        <w:szCs w:val="24"/>
                      </w:rPr>
                    </m:ctrlPr>
                  </m:dPr>
                  <m:e>
                    <m:sSub>
                      <m:sSubPr>
                        <m:ctrlPr>
                          <w:rPr>
                            <w:rFonts w:ascii="Cambria Math" w:hAnsi="Cambria Math"/>
                            <w:i/>
                            <w:color w:val="000000"/>
                            <w:sz w:val="24"/>
                            <w:szCs w:val="24"/>
                          </w:rPr>
                        </m:ctrlPr>
                      </m:sSubPr>
                      <m:e>
                        <m:r>
                          <m:rPr>
                            <m:nor/>
                          </m:rPr>
                          <w:rPr>
                            <w:rFonts w:ascii="Cambria Math" w:hAnsi="Cambria Math"/>
                            <w:i/>
                            <w:color w:val="000000"/>
                            <w:sz w:val="24"/>
                            <w:szCs w:val="24"/>
                          </w:rPr>
                          <m:t>r</m:t>
                        </m:r>
                        <m:ctrlPr>
                          <w:rPr>
                            <w:rFonts w:ascii="Cambria Math" w:hAnsi="Cambria Math"/>
                            <w:i/>
                            <w:color w:val="000000"/>
                            <w:sz w:val="24"/>
                            <w:szCs w:val="24"/>
                          </w:rPr>
                        </m:ctrlPr>
                      </m:e>
                      <m:sub>
                        <m:r>
                          <m:rPr>
                            <m:nor/>
                          </m:rPr>
                          <w:rPr>
                            <w:rFonts w:ascii="Cambria Math" w:hAnsi="Cambria Math"/>
                            <w:i/>
                            <w:color w:val="000000"/>
                            <w:sz w:val="24"/>
                            <w:szCs w:val="24"/>
                          </w:rPr>
                          <m:t>0</m:t>
                        </m:r>
                        <m:ctrlPr>
                          <w:rPr>
                            <w:rFonts w:ascii="Cambria Math" w:hAnsi="Cambria Math"/>
                            <w:i/>
                            <w:color w:val="000000"/>
                            <w:sz w:val="24"/>
                            <w:szCs w:val="24"/>
                          </w:rPr>
                        </m:ctrlPr>
                      </m:sub>
                    </m:sSub>
                    <m:ctrlPr>
                      <w:rPr>
                        <w:rFonts w:ascii="Cambria Math" w:hAnsi="Cambria Math"/>
                        <w:i/>
                        <w:color w:val="000000"/>
                        <w:sz w:val="24"/>
                        <w:szCs w:val="24"/>
                      </w:rPr>
                    </m:ctrlPr>
                  </m:e>
                </m:d>
                <m:r>
                  <m:rPr>
                    <m:nor/>
                  </m:rPr>
                  <w:rPr>
                    <w:rFonts w:ascii="Cambria Math" w:hAnsi="Cambria Math"/>
                    <w:i/>
                    <w:color w:val="000000"/>
                    <w:sz w:val="24"/>
                    <w:szCs w:val="24"/>
                  </w:rPr>
                  <m:t>-20lg（</m:t>
                </m:r>
                <m:f>
                  <m:fPr>
                    <m:ctrlPr>
                      <w:rPr>
                        <w:rFonts w:ascii="Cambria Math" w:hAnsi="Cambria Math"/>
                        <w:i/>
                        <w:color w:val="000000"/>
                        <w:sz w:val="24"/>
                        <w:szCs w:val="24"/>
                      </w:rPr>
                    </m:ctrlPr>
                  </m:fPr>
                  <m:num>
                    <m:r>
                      <m:rPr>
                        <m:nor/>
                      </m:rPr>
                      <w:rPr>
                        <w:rFonts w:ascii="Cambria Math" w:hAnsi="Cambria Math"/>
                        <w:i/>
                        <w:color w:val="000000"/>
                        <w:sz w:val="24"/>
                        <w:szCs w:val="24"/>
                      </w:rPr>
                      <m:t>r</m:t>
                    </m:r>
                    <m:ctrlPr>
                      <w:rPr>
                        <w:rFonts w:ascii="Cambria Math" w:hAnsi="Cambria Math"/>
                        <w:i/>
                        <w:color w:val="000000"/>
                        <w:sz w:val="24"/>
                        <w:szCs w:val="24"/>
                      </w:rPr>
                    </m:ctrlPr>
                  </m:num>
                  <m:den>
                    <m:sSub>
                      <m:sSubPr>
                        <m:ctrlPr>
                          <w:rPr>
                            <w:rFonts w:ascii="Cambria Math" w:hAnsi="Cambria Math"/>
                            <w:i/>
                            <w:color w:val="000000"/>
                            <w:sz w:val="24"/>
                            <w:szCs w:val="24"/>
                          </w:rPr>
                        </m:ctrlPr>
                      </m:sSubPr>
                      <m:e>
                        <m:r>
                          <m:rPr>
                            <m:nor/>
                          </m:rPr>
                          <w:rPr>
                            <w:rFonts w:ascii="Cambria Math" w:hAnsi="Cambria Math"/>
                            <w:i/>
                            <w:color w:val="000000"/>
                            <w:sz w:val="24"/>
                            <w:szCs w:val="24"/>
                          </w:rPr>
                          <m:t>r</m:t>
                        </m:r>
                        <m:ctrlPr>
                          <w:rPr>
                            <w:rFonts w:ascii="Cambria Math" w:hAnsi="Cambria Math"/>
                            <w:i/>
                            <w:color w:val="000000"/>
                            <w:sz w:val="24"/>
                            <w:szCs w:val="24"/>
                          </w:rPr>
                        </m:ctrlPr>
                      </m:e>
                      <m:sub>
                        <m:r>
                          <m:rPr>
                            <m:nor/>
                          </m:rPr>
                          <w:rPr>
                            <w:rFonts w:ascii="Cambria Math" w:hAnsi="Cambria Math"/>
                            <w:i/>
                            <w:color w:val="000000"/>
                            <w:sz w:val="24"/>
                            <w:szCs w:val="24"/>
                          </w:rPr>
                          <m:t>0</m:t>
                        </m:r>
                        <m:ctrlPr>
                          <w:rPr>
                            <w:rFonts w:ascii="Cambria Math" w:hAnsi="Cambria Math"/>
                            <w:i/>
                            <w:color w:val="000000"/>
                            <w:sz w:val="24"/>
                            <w:szCs w:val="24"/>
                          </w:rPr>
                        </m:ctrlPr>
                      </m:sub>
                    </m:sSub>
                    <m:ctrlPr>
                      <w:rPr>
                        <w:rFonts w:ascii="Cambria Math" w:hAnsi="Cambria Math"/>
                        <w:i/>
                        <w:color w:val="000000"/>
                        <w:sz w:val="24"/>
                        <w:szCs w:val="24"/>
                      </w:rPr>
                    </m:ctrlPr>
                  </m:den>
                </m:f>
                <m:r>
                  <m:rPr>
                    <m:nor/>
                  </m:rPr>
                  <w:rPr>
                    <w:rFonts w:ascii="Cambria Math" w:hAnsi="Cambria Math"/>
                    <w:i/>
                    <w:color w:val="000000"/>
                    <w:sz w:val="24"/>
                    <w:szCs w:val="24"/>
                  </w:rPr>
                  <m:t>）</m:t>
                </m:r>
              </m:oMath>
            </m:oMathPara>
          </w:p>
          <w:p w14:paraId="3B1B698C">
            <w:pPr>
              <w:adjustRightInd w:val="0"/>
              <w:snapToGrid w:val="0"/>
              <w:spacing w:line="360" w:lineRule="auto"/>
              <w:ind w:firstLine="480" w:firstLineChars="200"/>
              <w:rPr>
                <w:bCs/>
                <w:color w:val="000000"/>
                <w:sz w:val="24"/>
                <w:szCs w:val="24"/>
              </w:rPr>
            </w:pPr>
            <w:r>
              <w:rPr>
                <w:rFonts w:hint="eastAsia"/>
                <w:bCs/>
                <w:color w:val="000000"/>
                <w:sz w:val="24"/>
                <w:szCs w:val="24"/>
              </w:rPr>
              <w:t>④</w:t>
            </w:r>
            <w:r>
              <w:rPr>
                <w:bCs/>
                <w:color w:val="000000"/>
                <w:sz w:val="24"/>
                <w:szCs w:val="24"/>
              </w:rPr>
              <w:t>噪声贡献值计算</w:t>
            </w:r>
          </w:p>
          <w:p w14:paraId="1E9A8D46">
            <w:pPr>
              <w:adjustRightInd w:val="0"/>
              <w:snapToGrid w:val="0"/>
              <w:spacing w:line="360" w:lineRule="auto"/>
              <w:ind w:firstLine="480" w:firstLineChars="200"/>
              <w:rPr>
                <w:bCs/>
                <w:color w:val="000000"/>
                <w:sz w:val="24"/>
                <w:szCs w:val="24"/>
              </w:rPr>
            </w:pPr>
            <w:r>
              <w:rPr>
                <w:bCs/>
                <w:color w:val="000000"/>
                <w:sz w:val="24"/>
                <w:szCs w:val="24"/>
              </w:rPr>
              <w:t>由建设项目自身声源在预测点产生的声级。</w:t>
            </w:r>
          </w:p>
          <w:p w14:paraId="3F40F4FA">
            <w:pPr>
              <w:adjustRightInd w:val="0"/>
              <w:snapToGrid w:val="0"/>
              <w:spacing w:line="360" w:lineRule="auto"/>
              <w:ind w:firstLine="480" w:firstLineChars="200"/>
              <w:rPr>
                <w:bCs/>
                <w:color w:val="000000"/>
                <w:sz w:val="24"/>
                <w:szCs w:val="24"/>
              </w:rPr>
            </w:pPr>
            <w:r>
              <w:rPr>
                <w:bCs/>
                <w:color w:val="000000"/>
                <w:sz w:val="24"/>
                <w:szCs w:val="24"/>
              </w:rPr>
              <w:t>噪声贡献值（L</w:t>
            </w:r>
            <w:r>
              <w:rPr>
                <w:bCs/>
                <w:color w:val="000000"/>
                <w:sz w:val="24"/>
                <w:szCs w:val="24"/>
                <w:vertAlign w:val="subscript"/>
              </w:rPr>
              <w:t>eqg</w:t>
            </w:r>
            <w:r>
              <w:rPr>
                <w:bCs/>
                <w:color w:val="000000"/>
                <w:sz w:val="24"/>
                <w:szCs w:val="24"/>
              </w:rPr>
              <w:t>）计算公式为：</w:t>
            </w:r>
          </w:p>
          <w:p w14:paraId="7CA22253">
            <w:pPr>
              <w:adjustRightInd w:val="0"/>
              <w:snapToGrid w:val="0"/>
              <w:spacing w:line="360" w:lineRule="auto"/>
              <w:ind w:firstLine="480" w:firstLineChars="200"/>
              <w:rPr>
                <w:bCs/>
                <w:i/>
                <w:color w:val="000000"/>
                <w:sz w:val="24"/>
                <w:szCs w:val="24"/>
              </w:rPr>
            </w:pPr>
            <m:oMathPara>
              <m:oMath>
                <m:sSub>
                  <m:sSubPr>
                    <m:ctrlPr>
                      <w:rPr>
                        <w:rFonts w:ascii="Cambria Math" w:hAnsi="Cambria Math"/>
                        <w:i/>
                        <w:color w:val="000000"/>
                        <w:sz w:val="24"/>
                        <w:szCs w:val="24"/>
                      </w:rPr>
                    </m:ctrlPr>
                  </m:sSubPr>
                  <m:e>
                    <m:r>
                      <m:rPr>
                        <m:nor/>
                      </m:rPr>
                      <w:rPr>
                        <w:rFonts w:ascii="Cambria Math" w:hAnsi="Cambria Math"/>
                        <w:i/>
                        <w:color w:val="000000"/>
                        <w:sz w:val="24"/>
                        <w:szCs w:val="24"/>
                      </w:rPr>
                      <m:t>L</m:t>
                    </m:r>
                    <m:ctrlPr>
                      <w:rPr>
                        <w:rFonts w:ascii="Cambria Math" w:hAnsi="Cambria Math"/>
                        <w:i/>
                        <w:color w:val="000000"/>
                        <w:sz w:val="24"/>
                        <w:szCs w:val="24"/>
                      </w:rPr>
                    </m:ctrlPr>
                  </m:e>
                  <m:sub>
                    <m:r>
                      <m:rPr>
                        <m:nor/>
                      </m:rPr>
                      <w:rPr>
                        <w:rFonts w:ascii="Cambria Math" w:hAnsi="Cambria Math"/>
                        <w:i/>
                        <w:color w:val="000000"/>
                        <w:sz w:val="24"/>
                        <w:szCs w:val="24"/>
                      </w:rPr>
                      <m:t>eqg</m:t>
                    </m:r>
                    <m:ctrlPr>
                      <w:rPr>
                        <w:rFonts w:ascii="Cambria Math" w:hAnsi="Cambria Math"/>
                        <w:i/>
                        <w:color w:val="000000"/>
                        <w:sz w:val="24"/>
                        <w:szCs w:val="24"/>
                      </w:rPr>
                    </m:ctrlPr>
                  </m:sub>
                </m:sSub>
                <m:r>
                  <m:rPr>
                    <m:nor/>
                  </m:rPr>
                  <w:rPr>
                    <w:rFonts w:ascii="Cambria Math" w:hAnsi="Cambria Math"/>
                    <w:i/>
                    <w:color w:val="000000"/>
                    <w:sz w:val="24"/>
                    <w:szCs w:val="24"/>
                  </w:rPr>
                  <m:t>=10lg</m:t>
                </m:r>
                <m:d>
                  <m:dPr>
                    <m:begChr m:val="["/>
                    <m:endChr m:val="]"/>
                    <m:ctrlPr>
                      <w:rPr>
                        <w:rFonts w:ascii="Cambria Math" w:hAnsi="Cambria Math"/>
                        <w:i/>
                        <w:color w:val="000000"/>
                        <w:sz w:val="24"/>
                        <w:szCs w:val="24"/>
                      </w:rPr>
                    </m:ctrlPr>
                  </m:dPr>
                  <m:e>
                    <m:f>
                      <m:fPr>
                        <m:ctrlPr>
                          <w:rPr>
                            <w:rFonts w:ascii="Cambria Math" w:hAnsi="Cambria Math"/>
                            <w:i/>
                            <w:color w:val="000000"/>
                            <w:sz w:val="24"/>
                            <w:szCs w:val="24"/>
                          </w:rPr>
                        </m:ctrlPr>
                      </m:fPr>
                      <m:num>
                        <m:r>
                          <m:rPr>
                            <m:nor/>
                          </m:rPr>
                          <w:rPr>
                            <w:rFonts w:ascii="Cambria Math" w:hAnsi="Cambria Math"/>
                            <w:i/>
                            <w:color w:val="000000"/>
                            <w:sz w:val="24"/>
                            <w:szCs w:val="24"/>
                          </w:rPr>
                          <m:t>1</m:t>
                        </m:r>
                        <m:ctrlPr>
                          <w:rPr>
                            <w:rFonts w:ascii="Cambria Math" w:hAnsi="Cambria Math"/>
                            <w:i/>
                            <w:color w:val="000000"/>
                            <w:sz w:val="24"/>
                            <w:szCs w:val="24"/>
                          </w:rPr>
                        </m:ctrlPr>
                      </m:num>
                      <m:den>
                        <m:r>
                          <m:rPr>
                            <m:nor/>
                          </m:rPr>
                          <w:rPr>
                            <w:rFonts w:ascii="Cambria Math" w:hAnsi="Cambria Math"/>
                            <w:i/>
                            <w:color w:val="000000"/>
                            <w:sz w:val="24"/>
                            <w:szCs w:val="24"/>
                          </w:rPr>
                          <m:t>T</m:t>
                        </m:r>
                        <m:ctrlPr>
                          <w:rPr>
                            <w:rFonts w:ascii="Cambria Math" w:hAnsi="Cambria Math"/>
                            <w:i/>
                            <w:color w:val="000000"/>
                            <w:sz w:val="24"/>
                            <w:szCs w:val="24"/>
                          </w:rPr>
                        </m:ctrlPr>
                      </m:den>
                    </m:f>
                    <m:d>
                      <m:dPr>
                        <m:ctrlPr>
                          <w:rPr>
                            <w:rFonts w:ascii="Cambria Math" w:hAnsi="Cambria Math"/>
                            <w:i/>
                            <w:color w:val="000000"/>
                            <w:sz w:val="24"/>
                            <w:szCs w:val="24"/>
                          </w:rPr>
                        </m:ctrlPr>
                      </m:dPr>
                      <m:e>
                        <m:nary>
                          <m:naryPr>
                            <m:chr m:val="∑"/>
                            <m:limLoc m:val="undOvr"/>
                            <m:ctrlPr>
                              <w:rPr>
                                <w:rFonts w:ascii="Cambria Math" w:hAnsi="Cambria Math"/>
                                <w:i/>
                                <w:color w:val="000000"/>
                                <w:sz w:val="24"/>
                                <w:szCs w:val="24"/>
                              </w:rPr>
                            </m:ctrlPr>
                          </m:naryPr>
                          <m:sub>
                            <m:r>
                              <m:rPr>
                                <m:nor/>
                              </m:rPr>
                              <w:rPr>
                                <w:rFonts w:ascii="Cambria Math" w:hAnsi="Cambria Math"/>
                                <w:i/>
                                <w:color w:val="000000"/>
                                <w:sz w:val="24"/>
                                <w:szCs w:val="24"/>
                              </w:rPr>
                              <m:t>i</m:t>
                            </m:r>
                            <m:ctrlPr>
                              <w:rPr>
                                <w:rFonts w:ascii="Cambria Math" w:hAnsi="Cambria Math"/>
                                <w:i/>
                                <w:color w:val="000000"/>
                                <w:sz w:val="24"/>
                                <w:szCs w:val="24"/>
                              </w:rPr>
                            </m:ctrlPr>
                          </m:sub>
                          <m:sup>
                            <m:ctrlPr>
                              <w:rPr>
                                <w:rFonts w:ascii="Cambria Math" w:hAnsi="Cambria Math"/>
                                <w:i/>
                                <w:color w:val="000000"/>
                                <w:sz w:val="24"/>
                                <w:szCs w:val="24"/>
                              </w:rPr>
                            </m:ctrlPr>
                          </m:sup>
                          <m:e>
                            <m:sSub>
                              <m:sSubPr>
                                <m:ctrlPr>
                                  <w:rPr>
                                    <w:rFonts w:ascii="Cambria Math" w:hAnsi="Cambria Math"/>
                                    <w:i/>
                                    <w:color w:val="000000"/>
                                    <w:sz w:val="24"/>
                                    <w:szCs w:val="24"/>
                                  </w:rPr>
                                </m:ctrlPr>
                              </m:sSubPr>
                              <m:e>
                                <m:r>
                                  <m:rPr>
                                    <m:nor/>
                                  </m:rPr>
                                  <w:rPr>
                                    <w:rFonts w:ascii="Cambria Math" w:hAnsi="Cambria Math"/>
                                    <w:i/>
                                    <w:color w:val="000000"/>
                                    <w:sz w:val="24"/>
                                    <w:szCs w:val="24"/>
                                  </w:rPr>
                                  <m:t>t</m:t>
                                </m:r>
                                <m:ctrlPr>
                                  <w:rPr>
                                    <w:rFonts w:ascii="Cambria Math" w:hAnsi="Cambria Math"/>
                                    <w:i/>
                                    <w:color w:val="000000"/>
                                    <w:sz w:val="24"/>
                                    <w:szCs w:val="24"/>
                                  </w:rPr>
                                </m:ctrlPr>
                              </m:e>
                              <m:sub>
                                <m:r>
                                  <m:rPr>
                                    <m:nor/>
                                  </m:rPr>
                                  <w:rPr>
                                    <w:rFonts w:ascii="Cambria Math" w:hAnsi="Cambria Math"/>
                                    <w:i/>
                                    <w:color w:val="000000"/>
                                    <w:sz w:val="24"/>
                                    <w:szCs w:val="24"/>
                                  </w:rPr>
                                  <m:t>i</m:t>
                                </m:r>
                                <m:ctrlPr>
                                  <w:rPr>
                                    <w:rFonts w:ascii="Cambria Math" w:hAnsi="Cambria Math"/>
                                    <w:i/>
                                    <w:color w:val="000000"/>
                                    <w:sz w:val="24"/>
                                    <w:szCs w:val="24"/>
                                  </w:rPr>
                                </m:ctrlPr>
                              </m:sub>
                            </m:sSub>
                            <m:sSup>
                              <m:sSupPr>
                                <m:ctrlPr>
                                  <w:rPr>
                                    <w:rFonts w:ascii="Cambria Math" w:hAnsi="Cambria Math"/>
                                    <w:i/>
                                    <w:color w:val="000000"/>
                                    <w:sz w:val="24"/>
                                    <w:szCs w:val="24"/>
                                  </w:rPr>
                                </m:ctrlPr>
                              </m:sSupPr>
                              <m:e>
                                <m:r>
                                  <m:rPr>
                                    <m:nor/>
                                  </m:rPr>
                                  <w:rPr>
                                    <w:rFonts w:ascii="Cambria Math" w:hAnsi="Cambria Math"/>
                                    <w:i/>
                                    <w:color w:val="000000"/>
                                    <w:sz w:val="24"/>
                                    <w:szCs w:val="24"/>
                                  </w:rPr>
                                  <m:t>10</m:t>
                                </m:r>
                                <m:ctrlPr>
                                  <w:rPr>
                                    <w:rFonts w:ascii="Cambria Math" w:hAnsi="Cambria Math"/>
                                    <w:i/>
                                    <w:color w:val="000000"/>
                                    <w:sz w:val="24"/>
                                    <w:szCs w:val="24"/>
                                  </w:rPr>
                                </m:ctrlPr>
                              </m:e>
                              <m:sup>
                                <m:r>
                                  <m:rPr>
                                    <m:nor/>
                                  </m:rPr>
                                  <w:rPr>
                                    <w:rFonts w:ascii="Cambria Math" w:hAnsi="Cambria Math"/>
                                    <w:i/>
                                    <w:color w:val="000000"/>
                                    <w:sz w:val="24"/>
                                    <w:szCs w:val="24"/>
                                  </w:rPr>
                                  <m:t>0.1</m:t>
                                </m:r>
                                <m:ctrlPr>
                                  <w:rPr>
                                    <w:rFonts w:ascii="Cambria Math" w:hAnsi="Cambria Math"/>
                                    <w:i/>
                                    <w:color w:val="000000"/>
                                    <w:sz w:val="24"/>
                                    <w:szCs w:val="24"/>
                                  </w:rPr>
                                </m:ctrlPr>
                              </m:sup>
                            </m:sSup>
                            <m:sSub>
                              <m:sSubPr>
                                <m:ctrlPr>
                                  <w:rPr>
                                    <w:rFonts w:ascii="Cambria Math" w:hAnsi="Cambria Math"/>
                                    <w:i/>
                                    <w:color w:val="000000"/>
                                    <w:sz w:val="24"/>
                                    <w:szCs w:val="24"/>
                                  </w:rPr>
                                </m:ctrlPr>
                              </m:sSubPr>
                              <m:e>
                                <m:r>
                                  <m:rPr>
                                    <m:nor/>
                                  </m:rPr>
                                  <w:rPr>
                                    <w:rFonts w:ascii="Cambria Math" w:hAnsi="Cambria Math"/>
                                    <w:i/>
                                    <w:color w:val="000000"/>
                                    <w:sz w:val="24"/>
                                    <w:szCs w:val="24"/>
                                  </w:rPr>
                                  <m:t>L</m:t>
                                </m:r>
                                <m:ctrlPr>
                                  <w:rPr>
                                    <w:rFonts w:ascii="Cambria Math" w:hAnsi="Cambria Math"/>
                                    <w:i/>
                                    <w:color w:val="000000"/>
                                    <w:sz w:val="24"/>
                                    <w:szCs w:val="24"/>
                                  </w:rPr>
                                </m:ctrlPr>
                              </m:e>
                              <m:sub>
                                <m:r>
                                  <m:rPr>
                                    <m:nor/>
                                  </m:rPr>
                                  <w:rPr>
                                    <w:rFonts w:ascii="Cambria Math" w:hAnsi="Cambria Math"/>
                                    <w:i/>
                                    <w:color w:val="000000"/>
                                    <w:sz w:val="24"/>
                                    <w:szCs w:val="24"/>
                                  </w:rPr>
                                  <m:t>Ai</m:t>
                                </m:r>
                                <m:ctrlPr>
                                  <w:rPr>
                                    <w:rFonts w:ascii="Cambria Math" w:hAnsi="Cambria Math"/>
                                    <w:i/>
                                    <w:color w:val="000000"/>
                                    <w:sz w:val="24"/>
                                    <w:szCs w:val="24"/>
                                  </w:rPr>
                                </m:ctrlPr>
                              </m:sub>
                            </m:sSub>
                            <m:ctrlPr>
                              <w:rPr>
                                <w:rFonts w:ascii="Cambria Math" w:hAnsi="Cambria Math"/>
                                <w:i/>
                                <w:color w:val="000000"/>
                                <w:sz w:val="24"/>
                                <w:szCs w:val="24"/>
                              </w:rPr>
                            </m:ctrlPr>
                          </m:e>
                        </m:nary>
                        <m:ctrlPr>
                          <w:rPr>
                            <w:rFonts w:ascii="Cambria Math" w:hAnsi="Cambria Math"/>
                            <w:i/>
                            <w:color w:val="000000"/>
                            <w:sz w:val="24"/>
                            <w:szCs w:val="24"/>
                          </w:rPr>
                        </m:ctrlPr>
                      </m:e>
                    </m:d>
                    <m:ctrlPr>
                      <w:rPr>
                        <w:rFonts w:ascii="Cambria Math" w:hAnsi="Cambria Math"/>
                        <w:i/>
                        <w:color w:val="000000"/>
                        <w:sz w:val="24"/>
                        <w:szCs w:val="24"/>
                      </w:rPr>
                    </m:ctrlPr>
                  </m:e>
                </m:d>
              </m:oMath>
            </m:oMathPara>
          </w:p>
          <w:p w14:paraId="635E3A99">
            <w:pPr>
              <w:adjustRightInd w:val="0"/>
              <w:snapToGrid w:val="0"/>
              <w:spacing w:line="360" w:lineRule="auto"/>
              <w:ind w:firstLine="480" w:firstLineChars="200"/>
              <w:rPr>
                <w:bCs/>
                <w:color w:val="000000"/>
                <w:sz w:val="24"/>
                <w:szCs w:val="24"/>
              </w:rPr>
            </w:pPr>
            <w:r>
              <w:rPr>
                <w:rFonts w:hint="eastAsia"/>
                <w:bCs/>
                <w:color w:val="000000"/>
                <w:sz w:val="24"/>
                <w:szCs w:val="24"/>
              </w:rPr>
              <w:t>⑤</w:t>
            </w:r>
            <w:r>
              <w:rPr>
                <w:bCs/>
                <w:color w:val="000000"/>
                <w:sz w:val="24"/>
                <w:szCs w:val="24"/>
              </w:rPr>
              <w:t>噪声预测值计算</w:t>
            </w:r>
          </w:p>
          <w:p w14:paraId="627469E9">
            <w:pPr>
              <w:adjustRightInd w:val="0"/>
              <w:snapToGrid w:val="0"/>
              <w:spacing w:line="360" w:lineRule="auto"/>
              <w:ind w:firstLine="480" w:firstLineChars="200"/>
              <w:rPr>
                <w:bCs/>
                <w:color w:val="000000"/>
                <w:sz w:val="24"/>
                <w:szCs w:val="24"/>
              </w:rPr>
            </w:pPr>
            <w:r>
              <w:rPr>
                <w:bCs/>
                <w:color w:val="000000"/>
                <w:sz w:val="24"/>
                <w:szCs w:val="24"/>
              </w:rPr>
              <w:t>预测点的贡献值和背景值按能量叠加方法计算得到的声级。</w:t>
            </w:r>
          </w:p>
          <w:p w14:paraId="37EB4847">
            <w:pPr>
              <w:adjustRightInd w:val="0"/>
              <w:snapToGrid w:val="0"/>
              <w:spacing w:line="360" w:lineRule="auto"/>
              <w:ind w:firstLine="480" w:firstLineChars="200"/>
              <w:rPr>
                <w:bCs/>
                <w:color w:val="000000"/>
                <w:sz w:val="24"/>
                <w:szCs w:val="24"/>
              </w:rPr>
            </w:pPr>
            <w:r>
              <w:rPr>
                <w:bCs/>
                <w:color w:val="000000"/>
                <w:sz w:val="24"/>
                <w:szCs w:val="24"/>
              </w:rPr>
              <w:t>噪声预测值（L</w:t>
            </w:r>
            <w:r>
              <w:rPr>
                <w:bCs/>
                <w:color w:val="000000"/>
                <w:sz w:val="24"/>
                <w:szCs w:val="24"/>
                <w:vertAlign w:val="subscript"/>
              </w:rPr>
              <w:t>eq</w:t>
            </w:r>
            <w:r>
              <w:rPr>
                <w:bCs/>
                <w:color w:val="000000"/>
                <w:sz w:val="24"/>
                <w:szCs w:val="24"/>
              </w:rPr>
              <w:t>）计算公式为：</w:t>
            </w:r>
          </w:p>
          <w:p w14:paraId="6CAD1E01">
            <w:pPr>
              <w:adjustRightInd w:val="0"/>
              <w:snapToGrid w:val="0"/>
              <w:spacing w:line="360" w:lineRule="auto"/>
              <w:ind w:firstLine="480" w:firstLineChars="200"/>
              <w:rPr>
                <w:bCs/>
                <w:i/>
                <w:color w:val="000000"/>
                <w:sz w:val="24"/>
                <w:szCs w:val="24"/>
              </w:rPr>
            </w:pPr>
            <m:oMathPara>
              <m:oMath>
                <m:sSub>
                  <m:sSubPr>
                    <m:ctrlPr>
                      <w:rPr>
                        <w:rFonts w:ascii="Cambria Math" w:hAnsi="Cambria Math"/>
                        <w:i/>
                        <w:color w:val="000000"/>
                        <w:sz w:val="24"/>
                        <w:szCs w:val="24"/>
                      </w:rPr>
                    </m:ctrlPr>
                  </m:sSubPr>
                  <m:e>
                    <m:r>
                      <m:rPr/>
                      <w:rPr>
                        <w:rFonts w:ascii="Cambria Math" w:hAnsi="Cambria Math"/>
                        <w:color w:val="000000"/>
                        <w:sz w:val="24"/>
                        <w:szCs w:val="24"/>
                      </w:rPr>
                      <m:t>L</m:t>
                    </m:r>
                    <m:ctrlPr>
                      <w:rPr>
                        <w:rFonts w:ascii="Cambria Math" w:hAnsi="Cambria Math"/>
                        <w:i/>
                        <w:color w:val="000000"/>
                        <w:sz w:val="24"/>
                        <w:szCs w:val="24"/>
                      </w:rPr>
                    </m:ctrlPr>
                  </m:e>
                  <m:sub>
                    <m:r>
                      <m:rPr/>
                      <w:rPr>
                        <w:rFonts w:ascii="Cambria Math" w:hAnsi="Cambria Math"/>
                        <w:color w:val="000000"/>
                        <w:sz w:val="24"/>
                        <w:szCs w:val="24"/>
                      </w:rPr>
                      <m:t>eq</m:t>
                    </m:r>
                    <m:ctrlPr>
                      <w:rPr>
                        <w:rFonts w:ascii="Cambria Math" w:hAnsi="Cambria Math"/>
                        <w:i/>
                        <w:color w:val="000000"/>
                        <w:sz w:val="24"/>
                        <w:szCs w:val="24"/>
                      </w:rPr>
                    </m:ctrlPr>
                  </m:sub>
                </m:sSub>
                <m:r>
                  <m:rPr/>
                  <w:rPr>
                    <w:rFonts w:ascii="Cambria Math" w:hAnsi="Cambria Math"/>
                    <w:color w:val="000000"/>
                    <w:sz w:val="24"/>
                    <w:szCs w:val="24"/>
                  </w:rPr>
                  <m:t>=10</m:t>
                </m:r>
                <m:r>
                  <m:rPr>
                    <m:sty m:val="p"/>
                  </m:rPr>
                  <w:rPr>
                    <w:rFonts w:ascii="Cambria Math" w:hAnsi="Cambria Math"/>
                    <w:color w:val="000000"/>
                    <w:sz w:val="24"/>
                    <w:szCs w:val="24"/>
                  </w:rPr>
                  <m:t>lg⁡</m:t>
                </m:r>
                <m:d>
                  <m:dPr>
                    <m:ctrlPr>
                      <w:rPr>
                        <w:rFonts w:ascii="Cambria Math" w:hAnsi="Cambria Math"/>
                        <w:color w:val="000000"/>
                        <w:sz w:val="24"/>
                        <w:szCs w:val="24"/>
                      </w:rPr>
                    </m:ctrlPr>
                  </m:dPr>
                  <m:e>
                    <m:sSup>
                      <m:sSupPr>
                        <m:ctrlPr>
                          <w:rPr>
                            <w:rFonts w:ascii="Cambria Math" w:hAnsi="Cambria Math"/>
                            <w:i/>
                            <w:color w:val="000000"/>
                            <w:sz w:val="24"/>
                            <w:szCs w:val="24"/>
                          </w:rPr>
                        </m:ctrlPr>
                      </m:sSupPr>
                      <m:e>
                        <m:r>
                          <m:rPr/>
                          <w:rPr>
                            <w:rFonts w:ascii="Cambria Math" w:hAnsi="Cambria Math"/>
                            <w:color w:val="000000"/>
                            <w:sz w:val="24"/>
                            <w:szCs w:val="24"/>
                          </w:rPr>
                          <m:t>10</m:t>
                        </m:r>
                        <m:ctrlPr>
                          <w:rPr>
                            <w:rFonts w:ascii="Cambria Math" w:hAnsi="Cambria Math"/>
                            <w:i/>
                            <w:color w:val="000000"/>
                            <w:sz w:val="24"/>
                            <w:szCs w:val="24"/>
                          </w:rPr>
                        </m:ctrlPr>
                      </m:e>
                      <m:sup>
                        <m:r>
                          <m:rPr/>
                          <w:rPr>
                            <w:rFonts w:ascii="Cambria Math" w:hAnsi="Cambria Math"/>
                            <w:color w:val="000000"/>
                            <w:sz w:val="24"/>
                            <w:szCs w:val="24"/>
                          </w:rPr>
                          <m:t>0.1</m:t>
                        </m:r>
                        <m:sSub>
                          <m:sSubPr>
                            <m:ctrlPr>
                              <w:rPr>
                                <w:rFonts w:ascii="Cambria Math" w:hAnsi="Cambria Math"/>
                                <w:i/>
                                <w:color w:val="000000"/>
                                <w:sz w:val="24"/>
                                <w:szCs w:val="24"/>
                              </w:rPr>
                            </m:ctrlPr>
                          </m:sSubPr>
                          <m:e>
                            <m:r>
                              <m:rPr/>
                              <w:rPr>
                                <w:rFonts w:ascii="Cambria Math" w:hAnsi="Cambria Math"/>
                                <w:color w:val="000000"/>
                                <w:sz w:val="24"/>
                                <w:szCs w:val="24"/>
                              </w:rPr>
                              <m:t>L</m:t>
                            </m:r>
                            <m:ctrlPr>
                              <w:rPr>
                                <w:rFonts w:ascii="Cambria Math" w:hAnsi="Cambria Math"/>
                                <w:i/>
                                <w:color w:val="000000"/>
                                <w:sz w:val="24"/>
                                <w:szCs w:val="24"/>
                              </w:rPr>
                            </m:ctrlPr>
                          </m:e>
                          <m:sub>
                            <m:r>
                              <m:rPr/>
                              <w:rPr>
                                <w:rFonts w:ascii="Cambria Math" w:hAnsi="Cambria Math"/>
                                <w:color w:val="000000"/>
                                <w:sz w:val="24"/>
                                <w:szCs w:val="24"/>
                              </w:rPr>
                              <m:t>eqg</m:t>
                            </m:r>
                            <m:ctrlPr>
                              <w:rPr>
                                <w:rFonts w:ascii="Cambria Math" w:hAnsi="Cambria Math"/>
                                <w:i/>
                                <w:color w:val="000000"/>
                                <w:sz w:val="24"/>
                                <w:szCs w:val="24"/>
                              </w:rPr>
                            </m:ctrlPr>
                          </m:sub>
                        </m:sSub>
                        <m:ctrlPr>
                          <w:rPr>
                            <w:rFonts w:ascii="Cambria Math" w:hAnsi="Cambria Math"/>
                            <w:i/>
                            <w:color w:val="000000"/>
                            <w:sz w:val="24"/>
                            <w:szCs w:val="24"/>
                          </w:rPr>
                        </m:ctrlPr>
                      </m:sup>
                    </m:sSup>
                    <m:r>
                      <m:rPr/>
                      <w:rPr>
                        <w:rFonts w:ascii="Cambria Math" w:hAnsi="Cambria Math"/>
                        <w:color w:val="000000"/>
                        <w:sz w:val="24"/>
                        <w:szCs w:val="24"/>
                      </w:rPr>
                      <m:t>+</m:t>
                    </m:r>
                    <m:sSup>
                      <m:sSupPr>
                        <m:ctrlPr>
                          <w:rPr>
                            <w:rFonts w:ascii="Cambria Math" w:hAnsi="Cambria Math"/>
                            <w:i/>
                            <w:color w:val="000000"/>
                            <w:sz w:val="24"/>
                            <w:szCs w:val="24"/>
                          </w:rPr>
                        </m:ctrlPr>
                      </m:sSupPr>
                      <m:e>
                        <m:r>
                          <m:rPr/>
                          <w:rPr>
                            <w:rFonts w:ascii="Cambria Math" w:hAnsi="Cambria Math"/>
                            <w:color w:val="000000"/>
                            <w:sz w:val="24"/>
                            <w:szCs w:val="24"/>
                          </w:rPr>
                          <m:t>10</m:t>
                        </m:r>
                        <m:ctrlPr>
                          <w:rPr>
                            <w:rFonts w:ascii="Cambria Math" w:hAnsi="Cambria Math"/>
                            <w:i/>
                            <w:color w:val="000000"/>
                            <w:sz w:val="24"/>
                            <w:szCs w:val="24"/>
                          </w:rPr>
                        </m:ctrlPr>
                      </m:e>
                      <m:sup>
                        <m:r>
                          <m:rPr/>
                          <w:rPr>
                            <w:rFonts w:ascii="Cambria Math" w:hAnsi="Cambria Math"/>
                            <w:color w:val="000000"/>
                            <w:sz w:val="24"/>
                            <w:szCs w:val="24"/>
                          </w:rPr>
                          <m:t>0.1</m:t>
                        </m:r>
                        <m:sSub>
                          <m:sSubPr>
                            <m:ctrlPr>
                              <w:rPr>
                                <w:rFonts w:ascii="Cambria Math" w:hAnsi="Cambria Math"/>
                                <w:i/>
                                <w:color w:val="000000"/>
                                <w:sz w:val="24"/>
                                <w:szCs w:val="24"/>
                              </w:rPr>
                            </m:ctrlPr>
                          </m:sSubPr>
                          <m:e>
                            <m:r>
                              <m:rPr/>
                              <w:rPr>
                                <w:rFonts w:ascii="Cambria Math" w:hAnsi="Cambria Math"/>
                                <w:color w:val="000000"/>
                                <w:sz w:val="24"/>
                                <w:szCs w:val="24"/>
                              </w:rPr>
                              <m:t>L</m:t>
                            </m:r>
                            <m:ctrlPr>
                              <w:rPr>
                                <w:rFonts w:ascii="Cambria Math" w:hAnsi="Cambria Math"/>
                                <w:i/>
                                <w:color w:val="000000"/>
                                <w:sz w:val="24"/>
                                <w:szCs w:val="24"/>
                              </w:rPr>
                            </m:ctrlPr>
                          </m:e>
                          <m:sub>
                            <m:r>
                              <m:rPr/>
                              <w:rPr>
                                <w:rFonts w:ascii="Cambria Math" w:hAnsi="Cambria Math"/>
                                <w:color w:val="000000"/>
                                <w:sz w:val="24"/>
                                <w:szCs w:val="24"/>
                              </w:rPr>
                              <m:t>eqb</m:t>
                            </m:r>
                            <m:ctrlPr>
                              <w:rPr>
                                <w:rFonts w:ascii="Cambria Math" w:hAnsi="Cambria Math"/>
                                <w:i/>
                                <w:color w:val="000000"/>
                                <w:sz w:val="24"/>
                                <w:szCs w:val="24"/>
                              </w:rPr>
                            </m:ctrlPr>
                          </m:sub>
                        </m:sSub>
                        <m:ctrlPr>
                          <w:rPr>
                            <w:rFonts w:ascii="Cambria Math" w:hAnsi="Cambria Math"/>
                            <w:i/>
                            <w:color w:val="000000"/>
                            <w:sz w:val="24"/>
                            <w:szCs w:val="24"/>
                          </w:rPr>
                        </m:ctrlPr>
                      </m:sup>
                    </m:sSup>
                    <m:ctrlPr>
                      <w:rPr>
                        <w:rFonts w:ascii="Cambria Math" w:hAnsi="Cambria Math"/>
                        <w:color w:val="000000"/>
                        <w:sz w:val="24"/>
                        <w:szCs w:val="24"/>
                      </w:rPr>
                    </m:ctrlPr>
                  </m:e>
                </m:d>
              </m:oMath>
            </m:oMathPara>
          </w:p>
          <w:p w14:paraId="4C73A641">
            <w:pPr>
              <w:adjustRightInd w:val="0"/>
              <w:snapToGrid w:val="0"/>
              <w:spacing w:line="360" w:lineRule="auto"/>
              <w:ind w:firstLine="480" w:firstLineChars="200"/>
              <w:rPr>
                <w:bCs/>
                <w:color w:val="000000"/>
                <w:sz w:val="24"/>
                <w:szCs w:val="24"/>
              </w:rPr>
            </w:pPr>
            <w:r>
              <w:rPr>
                <w:bCs/>
                <w:color w:val="000000"/>
                <w:sz w:val="24"/>
                <w:szCs w:val="24"/>
              </w:rPr>
              <w:t>以上公式符号详见《环境影响评价技术导则  声环境》（HJ2.4-2021）。</w:t>
            </w:r>
          </w:p>
          <w:p w14:paraId="744BAA39">
            <w:pPr>
              <w:adjustRightInd w:val="0"/>
              <w:snapToGrid w:val="0"/>
              <w:spacing w:line="360" w:lineRule="auto"/>
              <w:ind w:firstLine="480" w:firstLineChars="200"/>
              <w:rPr>
                <w:bCs/>
                <w:color w:val="000000"/>
                <w:sz w:val="24"/>
                <w:szCs w:val="24"/>
              </w:rPr>
            </w:pPr>
            <w:r>
              <w:rPr>
                <w:bCs/>
                <w:color w:val="000000"/>
                <w:sz w:val="24"/>
                <w:szCs w:val="24"/>
              </w:rPr>
              <w:t>（3）预测结果及评价</w:t>
            </w:r>
          </w:p>
          <w:p w14:paraId="2B696598">
            <w:pPr>
              <w:adjustRightInd w:val="0"/>
              <w:snapToGrid w:val="0"/>
              <w:spacing w:line="360" w:lineRule="auto"/>
              <w:ind w:firstLine="480" w:firstLineChars="200"/>
              <w:rPr>
                <w:bCs/>
                <w:color w:val="000000"/>
                <w:sz w:val="24"/>
                <w:szCs w:val="24"/>
              </w:rPr>
            </w:pPr>
            <w:r>
              <w:rPr>
                <w:bCs/>
                <w:color w:val="000000"/>
                <w:sz w:val="24"/>
                <w:szCs w:val="24"/>
              </w:rPr>
              <w:t>根据建设项目厂区总平面布置图，按预测模式，考虑隔声降噪措施、距离衰减及厂房屏闭效应等，本项目厂界昼间噪声预测结果及达标情况详见下表，项目夜间不进行生产，不进行预测。</w:t>
            </w:r>
          </w:p>
          <w:p w14:paraId="4BA12AB7">
            <w:pPr>
              <w:tabs>
                <w:tab w:val="left" w:pos="2196"/>
              </w:tabs>
              <w:spacing w:line="360" w:lineRule="auto"/>
              <w:jc w:val="center"/>
              <w:rPr>
                <w:b/>
                <w:color w:val="000000"/>
                <w:sz w:val="24"/>
                <w:szCs w:val="24"/>
              </w:rPr>
            </w:pPr>
            <w:r>
              <w:rPr>
                <w:b/>
                <w:color w:val="000000"/>
                <w:sz w:val="24"/>
                <w:szCs w:val="24"/>
              </w:rPr>
              <w:t>表4-1</w:t>
            </w:r>
            <w:r>
              <w:rPr>
                <w:rFonts w:hint="eastAsia"/>
                <w:b/>
                <w:color w:val="000000"/>
                <w:sz w:val="24"/>
                <w:szCs w:val="24"/>
              </w:rPr>
              <w:t>7</w:t>
            </w:r>
            <w:r>
              <w:rPr>
                <w:b/>
                <w:color w:val="000000"/>
                <w:sz w:val="24"/>
                <w:szCs w:val="24"/>
              </w:rPr>
              <w:t xml:space="preserve">  噪声预测结果一览表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06"/>
              <w:gridCol w:w="2190"/>
              <w:gridCol w:w="2184"/>
              <w:gridCol w:w="1953"/>
              <w:gridCol w:w="1357"/>
            </w:tblGrid>
            <w:tr w14:paraId="6A5253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4" w:type="pct"/>
                  <w:vMerge w:val="restart"/>
                  <w:tcBorders>
                    <w:bottom w:val="single" w:color="auto" w:sz="6" w:space="0"/>
                    <w:right w:val="single" w:color="auto" w:sz="6" w:space="0"/>
                  </w:tcBorders>
                  <w:vAlign w:val="center"/>
                </w:tcPr>
                <w:p w14:paraId="558B2FCE">
                  <w:pPr>
                    <w:widowControl/>
                    <w:adjustRightInd w:val="0"/>
                    <w:jc w:val="center"/>
                    <w:rPr>
                      <w:b/>
                      <w:szCs w:val="21"/>
                    </w:rPr>
                  </w:pPr>
                  <w:r>
                    <w:rPr>
                      <w:b/>
                      <w:szCs w:val="21"/>
                      <w:lang w:bidi="ar"/>
                    </w:rPr>
                    <w:t>序号</w:t>
                  </w:r>
                </w:p>
              </w:tc>
              <w:tc>
                <w:tcPr>
                  <w:tcW w:w="1290" w:type="pct"/>
                  <w:vMerge w:val="restart"/>
                  <w:tcBorders>
                    <w:left w:val="single" w:color="auto" w:sz="6" w:space="0"/>
                    <w:bottom w:val="single" w:color="auto" w:sz="6" w:space="0"/>
                    <w:right w:val="single" w:color="auto" w:sz="6" w:space="0"/>
                  </w:tcBorders>
                  <w:vAlign w:val="center"/>
                </w:tcPr>
                <w:p w14:paraId="5F9613EC">
                  <w:pPr>
                    <w:widowControl/>
                    <w:adjustRightInd w:val="0"/>
                    <w:jc w:val="center"/>
                    <w:rPr>
                      <w:b/>
                      <w:szCs w:val="21"/>
                    </w:rPr>
                  </w:pPr>
                  <w:r>
                    <w:rPr>
                      <w:b/>
                      <w:szCs w:val="21"/>
                      <w:lang w:bidi="ar"/>
                    </w:rPr>
                    <w:t>车间</w:t>
                  </w:r>
                </w:p>
              </w:tc>
              <w:tc>
                <w:tcPr>
                  <w:tcW w:w="1285" w:type="pct"/>
                  <w:vMerge w:val="restart"/>
                  <w:tcBorders>
                    <w:left w:val="single" w:color="auto" w:sz="6" w:space="0"/>
                    <w:bottom w:val="single" w:color="auto" w:sz="6" w:space="0"/>
                    <w:right w:val="single" w:color="auto" w:sz="6" w:space="0"/>
                  </w:tcBorders>
                  <w:tcMar>
                    <w:left w:w="28" w:type="dxa"/>
                    <w:right w:w="28" w:type="dxa"/>
                  </w:tcMar>
                  <w:vAlign w:val="center"/>
                </w:tcPr>
                <w:p w14:paraId="7AF1E821">
                  <w:pPr>
                    <w:widowControl/>
                    <w:adjustRightInd w:val="0"/>
                    <w:jc w:val="center"/>
                    <w:rPr>
                      <w:b/>
                      <w:snapToGrid w:val="0"/>
                      <w:kern w:val="32"/>
                      <w:szCs w:val="21"/>
                    </w:rPr>
                  </w:pPr>
                  <w:r>
                    <w:rPr>
                      <w:b/>
                      <w:szCs w:val="21"/>
                      <w:lang w:bidi="ar"/>
                    </w:rPr>
                    <w:t>预测点</w:t>
                  </w:r>
                </w:p>
              </w:tc>
              <w:tc>
                <w:tcPr>
                  <w:tcW w:w="1150" w:type="pct"/>
                  <w:tcBorders>
                    <w:left w:val="single" w:color="auto" w:sz="6" w:space="0"/>
                    <w:bottom w:val="single" w:color="auto" w:sz="6" w:space="0"/>
                    <w:right w:val="single" w:color="auto" w:sz="6" w:space="0"/>
                  </w:tcBorders>
                  <w:tcMar>
                    <w:left w:w="28" w:type="dxa"/>
                    <w:right w:w="28" w:type="dxa"/>
                  </w:tcMar>
                  <w:vAlign w:val="center"/>
                </w:tcPr>
                <w:p w14:paraId="75EBA0DA">
                  <w:pPr>
                    <w:widowControl/>
                    <w:adjustRightInd w:val="0"/>
                    <w:jc w:val="center"/>
                    <w:rPr>
                      <w:b/>
                      <w:snapToGrid w:val="0"/>
                      <w:kern w:val="32"/>
                      <w:szCs w:val="21"/>
                    </w:rPr>
                  </w:pPr>
                  <w:r>
                    <w:rPr>
                      <w:b/>
                      <w:szCs w:val="21"/>
                      <w:lang w:bidi="ar"/>
                    </w:rPr>
                    <w:t>预测结果dB(A)</w:t>
                  </w:r>
                </w:p>
              </w:tc>
              <w:tc>
                <w:tcPr>
                  <w:tcW w:w="799" w:type="pct"/>
                  <w:vMerge w:val="restart"/>
                  <w:tcBorders>
                    <w:left w:val="single" w:color="auto" w:sz="6" w:space="0"/>
                    <w:bottom w:val="single" w:color="auto" w:sz="6" w:space="0"/>
                  </w:tcBorders>
                  <w:vAlign w:val="center"/>
                </w:tcPr>
                <w:p w14:paraId="1A2BC006">
                  <w:pPr>
                    <w:widowControl/>
                    <w:adjustRightInd w:val="0"/>
                    <w:jc w:val="center"/>
                    <w:rPr>
                      <w:b/>
                      <w:szCs w:val="21"/>
                    </w:rPr>
                  </w:pPr>
                  <w:r>
                    <w:rPr>
                      <w:b/>
                      <w:szCs w:val="21"/>
                      <w:lang w:bidi="ar"/>
                    </w:rPr>
                    <w:t>达标情况</w:t>
                  </w:r>
                </w:p>
              </w:tc>
            </w:tr>
            <w:tr w14:paraId="46A9FB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4" w:type="pct"/>
                  <w:vMerge w:val="continue"/>
                  <w:tcBorders>
                    <w:top w:val="single" w:color="auto" w:sz="12" w:space="0"/>
                    <w:bottom w:val="single" w:color="auto" w:sz="6" w:space="0"/>
                    <w:right w:val="single" w:color="auto" w:sz="6" w:space="0"/>
                  </w:tcBorders>
                  <w:vAlign w:val="center"/>
                </w:tcPr>
                <w:p w14:paraId="0343DD8E">
                  <w:pPr>
                    <w:rPr>
                      <w:sz w:val="20"/>
                      <w:szCs w:val="20"/>
                    </w:rPr>
                  </w:pPr>
                </w:p>
              </w:tc>
              <w:tc>
                <w:tcPr>
                  <w:tcW w:w="1290" w:type="pct"/>
                  <w:vMerge w:val="continue"/>
                  <w:tcBorders>
                    <w:top w:val="single" w:color="auto" w:sz="12" w:space="0"/>
                    <w:left w:val="single" w:color="auto" w:sz="6" w:space="0"/>
                    <w:bottom w:val="single" w:color="auto" w:sz="6" w:space="0"/>
                    <w:right w:val="single" w:color="auto" w:sz="6" w:space="0"/>
                  </w:tcBorders>
                  <w:vAlign w:val="center"/>
                </w:tcPr>
                <w:p w14:paraId="7EB43759">
                  <w:pPr>
                    <w:rPr>
                      <w:sz w:val="20"/>
                      <w:szCs w:val="20"/>
                    </w:rPr>
                  </w:pPr>
                </w:p>
              </w:tc>
              <w:tc>
                <w:tcPr>
                  <w:tcW w:w="1285" w:type="pct"/>
                  <w:vMerge w:val="continue"/>
                  <w:tcBorders>
                    <w:top w:val="single" w:color="auto" w:sz="12" w:space="0"/>
                    <w:left w:val="single" w:color="auto" w:sz="6" w:space="0"/>
                    <w:bottom w:val="single" w:color="auto" w:sz="6" w:space="0"/>
                    <w:right w:val="single" w:color="auto" w:sz="6" w:space="0"/>
                  </w:tcBorders>
                  <w:tcMar>
                    <w:left w:w="28" w:type="dxa"/>
                    <w:right w:w="28" w:type="dxa"/>
                  </w:tcMar>
                  <w:vAlign w:val="center"/>
                </w:tcPr>
                <w:p w14:paraId="6356A845">
                  <w:pPr>
                    <w:rPr>
                      <w:sz w:val="20"/>
                      <w:szCs w:val="20"/>
                    </w:rPr>
                  </w:pPr>
                </w:p>
              </w:tc>
              <w:tc>
                <w:tcPr>
                  <w:tcW w:w="1150"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14:paraId="3B44543C">
                  <w:pPr>
                    <w:widowControl/>
                    <w:adjustRightInd w:val="0"/>
                    <w:jc w:val="center"/>
                    <w:rPr>
                      <w:b/>
                      <w:szCs w:val="21"/>
                    </w:rPr>
                  </w:pPr>
                  <w:r>
                    <w:rPr>
                      <w:b/>
                      <w:szCs w:val="21"/>
                      <w:lang w:bidi="ar"/>
                    </w:rPr>
                    <w:t>昼间</w:t>
                  </w:r>
                </w:p>
              </w:tc>
              <w:tc>
                <w:tcPr>
                  <w:tcW w:w="799" w:type="pct"/>
                  <w:vMerge w:val="continue"/>
                  <w:tcBorders>
                    <w:top w:val="single" w:color="auto" w:sz="12" w:space="0"/>
                    <w:left w:val="single" w:color="auto" w:sz="6" w:space="0"/>
                    <w:bottom w:val="single" w:color="auto" w:sz="6" w:space="0"/>
                  </w:tcBorders>
                  <w:vAlign w:val="center"/>
                </w:tcPr>
                <w:p w14:paraId="14A43626">
                  <w:pPr>
                    <w:rPr>
                      <w:sz w:val="20"/>
                      <w:szCs w:val="20"/>
                    </w:rPr>
                  </w:pPr>
                </w:p>
              </w:tc>
            </w:tr>
            <w:tr w14:paraId="6F272F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4" w:type="pct"/>
                  <w:tcBorders>
                    <w:top w:val="single" w:color="auto" w:sz="6" w:space="0"/>
                    <w:bottom w:val="single" w:color="auto" w:sz="6" w:space="0"/>
                    <w:right w:val="single" w:color="auto" w:sz="6" w:space="0"/>
                  </w:tcBorders>
                  <w:vAlign w:val="center"/>
                </w:tcPr>
                <w:p w14:paraId="267CE9C5">
                  <w:pPr>
                    <w:widowControl/>
                    <w:adjustRightInd w:val="0"/>
                    <w:jc w:val="center"/>
                    <w:rPr>
                      <w:bCs/>
                      <w:snapToGrid w:val="0"/>
                      <w:kern w:val="32"/>
                      <w:szCs w:val="21"/>
                    </w:rPr>
                  </w:pPr>
                  <w:r>
                    <w:rPr>
                      <w:bCs/>
                      <w:snapToGrid w:val="0"/>
                      <w:kern w:val="32"/>
                      <w:szCs w:val="21"/>
                      <w:lang w:bidi="ar"/>
                    </w:rPr>
                    <w:t>1</w:t>
                  </w:r>
                </w:p>
              </w:tc>
              <w:tc>
                <w:tcPr>
                  <w:tcW w:w="1290" w:type="pct"/>
                  <w:vMerge w:val="restart"/>
                  <w:tcBorders>
                    <w:top w:val="single" w:color="auto" w:sz="6" w:space="0"/>
                    <w:left w:val="single" w:color="auto" w:sz="6" w:space="0"/>
                    <w:bottom w:val="single" w:color="auto" w:sz="6" w:space="0"/>
                    <w:right w:val="single" w:color="auto" w:sz="6" w:space="0"/>
                  </w:tcBorders>
                  <w:vAlign w:val="center"/>
                </w:tcPr>
                <w:p w14:paraId="2789196D">
                  <w:pPr>
                    <w:widowControl/>
                    <w:adjustRightInd w:val="0"/>
                    <w:jc w:val="center"/>
                    <w:rPr>
                      <w:bCs/>
                      <w:szCs w:val="21"/>
                    </w:rPr>
                  </w:pPr>
                  <w:r>
                    <w:rPr>
                      <w:bCs/>
                      <w:szCs w:val="21"/>
                      <w:lang w:bidi="ar"/>
                    </w:rPr>
                    <w:t>生产车间</w:t>
                  </w:r>
                </w:p>
              </w:tc>
              <w:tc>
                <w:tcPr>
                  <w:tcW w:w="1285" w:type="pct"/>
                  <w:tcBorders>
                    <w:top w:val="single" w:color="auto" w:sz="6" w:space="0"/>
                    <w:left w:val="single" w:color="auto" w:sz="6" w:space="0"/>
                    <w:bottom w:val="single" w:color="auto" w:sz="6" w:space="0"/>
                    <w:right w:val="single" w:color="auto" w:sz="6" w:space="0"/>
                  </w:tcBorders>
                  <w:vAlign w:val="center"/>
                </w:tcPr>
                <w:p w14:paraId="50A48560">
                  <w:pPr>
                    <w:widowControl/>
                    <w:adjustRightInd w:val="0"/>
                    <w:jc w:val="center"/>
                    <w:rPr>
                      <w:bCs/>
                      <w:snapToGrid w:val="0"/>
                      <w:kern w:val="32"/>
                      <w:szCs w:val="21"/>
                    </w:rPr>
                  </w:pPr>
                  <w:r>
                    <w:rPr>
                      <w:bCs/>
                      <w:szCs w:val="21"/>
                      <w:lang w:bidi="ar"/>
                    </w:rPr>
                    <w:t>厂界东</w:t>
                  </w:r>
                </w:p>
              </w:tc>
              <w:tc>
                <w:tcPr>
                  <w:tcW w:w="1150" w:type="pct"/>
                  <w:tcBorders>
                    <w:top w:val="single" w:color="auto" w:sz="6" w:space="0"/>
                    <w:left w:val="single" w:color="auto" w:sz="6" w:space="0"/>
                    <w:bottom w:val="single" w:color="auto" w:sz="6" w:space="0"/>
                    <w:right w:val="single" w:color="auto" w:sz="6" w:space="0"/>
                  </w:tcBorders>
                  <w:vAlign w:val="center"/>
                </w:tcPr>
                <w:p w14:paraId="0F2C954D">
                  <w:pPr>
                    <w:widowControl/>
                    <w:adjustRightInd w:val="0"/>
                    <w:jc w:val="center"/>
                    <w:rPr>
                      <w:bCs/>
                      <w:snapToGrid w:val="0"/>
                      <w:kern w:val="32"/>
                      <w:szCs w:val="21"/>
                    </w:rPr>
                  </w:pPr>
                  <w:r>
                    <w:rPr>
                      <w:bCs/>
                      <w:snapToGrid w:val="0"/>
                      <w:kern w:val="32"/>
                      <w:szCs w:val="21"/>
                      <w:lang w:bidi="ar"/>
                    </w:rPr>
                    <w:t>50.82</w:t>
                  </w:r>
                </w:p>
              </w:tc>
              <w:tc>
                <w:tcPr>
                  <w:tcW w:w="799" w:type="pct"/>
                  <w:tcBorders>
                    <w:top w:val="single" w:color="auto" w:sz="6" w:space="0"/>
                    <w:left w:val="single" w:color="auto" w:sz="6" w:space="0"/>
                    <w:bottom w:val="single" w:color="auto" w:sz="6" w:space="0"/>
                  </w:tcBorders>
                  <w:vAlign w:val="center"/>
                </w:tcPr>
                <w:p w14:paraId="552C403C">
                  <w:pPr>
                    <w:widowControl/>
                    <w:adjustRightInd w:val="0"/>
                    <w:jc w:val="center"/>
                    <w:rPr>
                      <w:bCs/>
                      <w:snapToGrid w:val="0"/>
                      <w:kern w:val="32"/>
                      <w:szCs w:val="21"/>
                    </w:rPr>
                  </w:pPr>
                  <w:r>
                    <w:rPr>
                      <w:bCs/>
                      <w:snapToGrid w:val="0"/>
                      <w:kern w:val="32"/>
                      <w:szCs w:val="21"/>
                      <w:lang w:bidi="ar"/>
                    </w:rPr>
                    <w:t>达标</w:t>
                  </w:r>
                </w:p>
              </w:tc>
            </w:tr>
            <w:tr w14:paraId="27F852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4" w:type="pct"/>
                  <w:tcBorders>
                    <w:top w:val="single" w:color="auto" w:sz="6" w:space="0"/>
                    <w:bottom w:val="single" w:color="auto" w:sz="6" w:space="0"/>
                    <w:right w:val="single" w:color="auto" w:sz="6" w:space="0"/>
                  </w:tcBorders>
                  <w:vAlign w:val="center"/>
                </w:tcPr>
                <w:p w14:paraId="5233516D">
                  <w:pPr>
                    <w:widowControl/>
                    <w:adjustRightInd w:val="0"/>
                    <w:jc w:val="center"/>
                    <w:rPr>
                      <w:bCs/>
                      <w:snapToGrid w:val="0"/>
                      <w:kern w:val="32"/>
                      <w:szCs w:val="21"/>
                    </w:rPr>
                  </w:pPr>
                  <w:r>
                    <w:rPr>
                      <w:bCs/>
                      <w:snapToGrid w:val="0"/>
                      <w:kern w:val="32"/>
                      <w:szCs w:val="21"/>
                      <w:lang w:bidi="ar"/>
                    </w:rPr>
                    <w:t>2</w:t>
                  </w:r>
                </w:p>
              </w:tc>
              <w:tc>
                <w:tcPr>
                  <w:tcW w:w="1290" w:type="pct"/>
                  <w:vMerge w:val="continue"/>
                  <w:tcBorders>
                    <w:top w:val="single" w:color="auto" w:sz="6" w:space="0"/>
                    <w:left w:val="single" w:color="auto" w:sz="6" w:space="0"/>
                    <w:bottom w:val="single" w:color="auto" w:sz="6" w:space="0"/>
                    <w:right w:val="single" w:color="auto" w:sz="6" w:space="0"/>
                  </w:tcBorders>
                  <w:vAlign w:val="center"/>
                </w:tcPr>
                <w:p w14:paraId="5BB1DBE8">
                  <w:pPr>
                    <w:rPr>
                      <w:sz w:val="20"/>
                      <w:szCs w:val="20"/>
                    </w:rPr>
                  </w:pPr>
                </w:p>
              </w:tc>
              <w:tc>
                <w:tcPr>
                  <w:tcW w:w="1285" w:type="pct"/>
                  <w:tcBorders>
                    <w:top w:val="single" w:color="auto" w:sz="6" w:space="0"/>
                    <w:left w:val="single" w:color="auto" w:sz="6" w:space="0"/>
                    <w:bottom w:val="single" w:color="auto" w:sz="6" w:space="0"/>
                    <w:right w:val="single" w:color="auto" w:sz="6" w:space="0"/>
                  </w:tcBorders>
                  <w:vAlign w:val="center"/>
                </w:tcPr>
                <w:p w14:paraId="28CF70CA">
                  <w:pPr>
                    <w:widowControl/>
                    <w:adjustRightInd w:val="0"/>
                    <w:jc w:val="center"/>
                    <w:rPr>
                      <w:bCs/>
                      <w:snapToGrid w:val="0"/>
                      <w:kern w:val="32"/>
                      <w:szCs w:val="21"/>
                    </w:rPr>
                  </w:pPr>
                  <w:r>
                    <w:rPr>
                      <w:bCs/>
                      <w:szCs w:val="21"/>
                      <w:lang w:bidi="ar"/>
                    </w:rPr>
                    <w:t>厂界南</w:t>
                  </w:r>
                </w:p>
              </w:tc>
              <w:tc>
                <w:tcPr>
                  <w:tcW w:w="1150" w:type="pct"/>
                  <w:tcBorders>
                    <w:top w:val="single" w:color="auto" w:sz="6" w:space="0"/>
                    <w:left w:val="single" w:color="auto" w:sz="6" w:space="0"/>
                    <w:bottom w:val="single" w:color="auto" w:sz="6" w:space="0"/>
                    <w:right w:val="single" w:color="auto" w:sz="6" w:space="0"/>
                  </w:tcBorders>
                  <w:vAlign w:val="center"/>
                </w:tcPr>
                <w:p w14:paraId="2951D123">
                  <w:pPr>
                    <w:widowControl/>
                    <w:adjustRightInd w:val="0"/>
                    <w:jc w:val="center"/>
                    <w:rPr>
                      <w:bCs/>
                      <w:snapToGrid w:val="0"/>
                      <w:kern w:val="32"/>
                      <w:szCs w:val="21"/>
                    </w:rPr>
                  </w:pPr>
                  <w:r>
                    <w:rPr>
                      <w:bCs/>
                      <w:snapToGrid w:val="0"/>
                      <w:kern w:val="32"/>
                      <w:szCs w:val="21"/>
                      <w:lang w:bidi="ar"/>
                    </w:rPr>
                    <w:t>53.94</w:t>
                  </w:r>
                </w:p>
              </w:tc>
              <w:tc>
                <w:tcPr>
                  <w:tcW w:w="799" w:type="pct"/>
                  <w:tcBorders>
                    <w:top w:val="single" w:color="auto" w:sz="6" w:space="0"/>
                    <w:left w:val="single" w:color="auto" w:sz="6" w:space="0"/>
                    <w:bottom w:val="single" w:color="auto" w:sz="6" w:space="0"/>
                  </w:tcBorders>
                  <w:vAlign w:val="center"/>
                </w:tcPr>
                <w:p w14:paraId="25667BBB">
                  <w:pPr>
                    <w:widowControl/>
                    <w:adjustRightInd w:val="0"/>
                    <w:jc w:val="center"/>
                    <w:rPr>
                      <w:bCs/>
                      <w:snapToGrid w:val="0"/>
                      <w:kern w:val="32"/>
                      <w:szCs w:val="21"/>
                    </w:rPr>
                  </w:pPr>
                  <w:r>
                    <w:rPr>
                      <w:bCs/>
                      <w:snapToGrid w:val="0"/>
                      <w:kern w:val="32"/>
                      <w:szCs w:val="21"/>
                      <w:lang w:bidi="ar"/>
                    </w:rPr>
                    <w:t>达标</w:t>
                  </w:r>
                </w:p>
              </w:tc>
            </w:tr>
            <w:tr w14:paraId="086E0B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4" w:type="pct"/>
                  <w:tcBorders>
                    <w:top w:val="single" w:color="auto" w:sz="6" w:space="0"/>
                    <w:bottom w:val="single" w:color="auto" w:sz="6" w:space="0"/>
                    <w:right w:val="single" w:color="auto" w:sz="6" w:space="0"/>
                  </w:tcBorders>
                  <w:vAlign w:val="center"/>
                </w:tcPr>
                <w:p w14:paraId="723B8AD3">
                  <w:pPr>
                    <w:widowControl/>
                    <w:adjustRightInd w:val="0"/>
                    <w:jc w:val="center"/>
                    <w:rPr>
                      <w:bCs/>
                      <w:snapToGrid w:val="0"/>
                      <w:kern w:val="32"/>
                      <w:szCs w:val="21"/>
                    </w:rPr>
                  </w:pPr>
                  <w:r>
                    <w:rPr>
                      <w:bCs/>
                      <w:snapToGrid w:val="0"/>
                      <w:kern w:val="32"/>
                      <w:szCs w:val="21"/>
                      <w:lang w:bidi="ar"/>
                    </w:rPr>
                    <w:t>3</w:t>
                  </w:r>
                </w:p>
              </w:tc>
              <w:tc>
                <w:tcPr>
                  <w:tcW w:w="1290" w:type="pct"/>
                  <w:vMerge w:val="continue"/>
                  <w:tcBorders>
                    <w:top w:val="single" w:color="auto" w:sz="6" w:space="0"/>
                    <w:left w:val="single" w:color="auto" w:sz="6" w:space="0"/>
                    <w:bottom w:val="single" w:color="auto" w:sz="6" w:space="0"/>
                    <w:right w:val="single" w:color="auto" w:sz="6" w:space="0"/>
                  </w:tcBorders>
                  <w:vAlign w:val="center"/>
                </w:tcPr>
                <w:p w14:paraId="03C8ADF6">
                  <w:pPr>
                    <w:rPr>
                      <w:sz w:val="20"/>
                      <w:szCs w:val="20"/>
                    </w:rPr>
                  </w:pPr>
                </w:p>
              </w:tc>
              <w:tc>
                <w:tcPr>
                  <w:tcW w:w="1285" w:type="pct"/>
                  <w:tcBorders>
                    <w:top w:val="single" w:color="auto" w:sz="6" w:space="0"/>
                    <w:left w:val="single" w:color="auto" w:sz="6" w:space="0"/>
                    <w:bottom w:val="single" w:color="auto" w:sz="6" w:space="0"/>
                    <w:right w:val="single" w:color="auto" w:sz="6" w:space="0"/>
                  </w:tcBorders>
                  <w:vAlign w:val="center"/>
                </w:tcPr>
                <w:p w14:paraId="39C7E53C">
                  <w:pPr>
                    <w:widowControl/>
                    <w:adjustRightInd w:val="0"/>
                    <w:jc w:val="center"/>
                    <w:rPr>
                      <w:bCs/>
                      <w:snapToGrid w:val="0"/>
                      <w:kern w:val="32"/>
                      <w:szCs w:val="21"/>
                    </w:rPr>
                  </w:pPr>
                  <w:r>
                    <w:rPr>
                      <w:bCs/>
                      <w:szCs w:val="21"/>
                      <w:lang w:bidi="ar"/>
                    </w:rPr>
                    <w:t>厂界西</w:t>
                  </w:r>
                </w:p>
              </w:tc>
              <w:tc>
                <w:tcPr>
                  <w:tcW w:w="1150" w:type="pct"/>
                  <w:tcBorders>
                    <w:top w:val="single" w:color="auto" w:sz="6" w:space="0"/>
                    <w:left w:val="single" w:color="auto" w:sz="6" w:space="0"/>
                    <w:bottom w:val="single" w:color="auto" w:sz="6" w:space="0"/>
                    <w:right w:val="single" w:color="auto" w:sz="6" w:space="0"/>
                  </w:tcBorders>
                  <w:vAlign w:val="center"/>
                </w:tcPr>
                <w:p w14:paraId="170737BB">
                  <w:pPr>
                    <w:widowControl/>
                    <w:adjustRightInd w:val="0"/>
                    <w:jc w:val="center"/>
                    <w:rPr>
                      <w:bCs/>
                      <w:snapToGrid w:val="0"/>
                      <w:kern w:val="32"/>
                      <w:szCs w:val="21"/>
                    </w:rPr>
                  </w:pPr>
                  <w:r>
                    <w:rPr>
                      <w:bCs/>
                      <w:snapToGrid w:val="0"/>
                      <w:kern w:val="32"/>
                      <w:szCs w:val="21"/>
                      <w:lang w:bidi="ar"/>
                    </w:rPr>
                    <w:t>52.96</w:t>
                  </w:r>
                </w:p>
              </w:tc>
              <w:tc>
                <w:tcPr>
                  <w:tcW w:w="799" w:type="pct"/>
                  <w:tcBorders>
                    <w:top w:val="single" w:color="auto" w:sz="6" w:space="0"/>
                    <w:left w:val="single" w:color="auto" w:sz="6" w:space="0"/>
                    <w:bottom w:val="single" w:color="auto" w:sz="6" w:space="0"/>
                  </w:tcBorders>
                  <w:vAlign w:val="center"/>
                </w:tcPr>
                <w:p w14:paraId="19051843">
                  <w:pPr>
                    <w:widowControl/>
                    <w:adjustRightInd w:val="0"/>
                    <w:jc w:val="center"/>
                    <w:rPr>
                      <w:bCs/>
                      <w:snapToGrid w:val="0"/>
                      <w:kern w:val="32"/>
                      <w:szCs w:val="21"/>
                    </w:rPr>
                  </w:pPr>
                  <w:r>
                    <w:rPr>
                      <w:bCs/>
                      <w:snapToGrid w:val="0"/>
                      <w:kern w:val="32"/>
                      <w:szCs w:val="21"/>
                      <w:lang w:bidi="ar"/>
                    </w:rPr>
                    <w:t>达标</w:t>
                  </w:r>
                </w:p>
              </w:tc>
            </w:tr>
            <w:tr w14:paraId="0B8175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4" w:type="pct"/>
                  <w:tcBorders>
                    <w:top w:val="single" w:color="auto" w:sz="6" w:space="0"/>
                    <w:bottom w:val="single" w:color="auto" w:sz="6" w:space="0"/>
                    <w:right w:val="single" w:color="auto" w:sz="6" w:space="0"/>
                  </w:tcBorders>
                  <w:vAlign w:val="center"/>
                </w:tcPr>
                <w:p w14:paraId="6CB2ED14">
                  <w:pPr>
                    <w:widowControl/>
                    <w:adjustRightInd w:val="0"/>
                    <w:jc w:val="center"/>
                    <w:rPr>
                      <w:bCs/>
                      <w:snapToGrid w:val="0"/>
                      <w:kern w:val="32"/>
                      <w:szCs w:val="21"/>
                    </w:rPr>
                  </w:pPr>
                  <w:r>
                    <w:rPr>
                      <w:bCs/>
                      <w:snapToGrid w:val="0"/>
                      <w:kern w:val="32"/>
                      <w:szCs w:val="21"/>
                      <w:lang w:bidi="ar"/>
                    </w:rPr>
                    <w:t>4</w:t>
                  </w:r>
                </w:p>
              </w:tc>
              <w:tc>
                <w:tcPr>
                  <w:tcW w:w="1290" w:type="pct"/>
                  <w:vMerge w:val="continue"/>
                  <w:tcBorders>
                    <w:top w:val="single" w:color="auto" w:sz="6" w:space="0"/>
                    <w:left w:val="single" w:color="auto" w:sz="6" w:space="0"/>
                    <w:bottom w:val="single" w:color="auto" w:sz="6" w:space="0"/>
                    <w:right w:val="single" w:color="auto" w:sz="6" w:space="0"/>
                  </w:tcBorders>
                  <w:vAlign w:val="center"/>
                </w:tcPr>
                <w:p w14:paraId="7F239D07">
                  <w:pPr>
                    <w:rPr>
                      <w:sz w:val="20"/>
                      <w:szCs w:val="20"/>
                    </w:rPr>
                  </w:pPr>
                </w:p>
              </w:tc>
              <w:tc>
                <w:tcPr>
                  <w:tcW w:w="1285" w:type="pct"/>
                  <w:tcBorders>
                    <w:top w:val="single" w:color="auto" w:sz="6" w:space="0"/>
                    <w:left w:val="single" w:color="auto" w:sz="6" w:space="0"/>
                    <w:bottom w:val="single" w:color="auto" w:sz="6" w:space="0"/>
                    <w:right w:val="single" w:color="auto" w:sz="6" w:space="0"/>
                  </w:tcBorders>
                  <w:vAlign w:val="center"/>
                </w:tcPr>
                <w:p w14:paraId="3C2BD16D">
                  <w:pPr>
                    <w:widowControl/>
                    <w:adjustRightInd w:val="0"/>
                    <w:jc w:val="center"/>
                    <w:rPr>
                      <w:bCs/>
                      <w:snapToGrid w:val="0"/>
                      <w:kern w:val="32"/>
                      <w:szCs w:val="21"/>
                    </w:rPr>
                  </w:pPr>
                  <w:r>
                    <w:rPr>
                      <w:bCs/>
                      <w:szCs w:val="21"/>
                      <w:lang w:bidi="ar"/>
                    </w:rPr>
                    <w:t>厂界北</w:t>
                  </w:r>
                </w:p>
              </w:tc>
              <w:tc>
                <w:tcPr>
                  <w:tcW w:w="1150" w:type="pct"/>
                  <w:tcBorders>
                    <w:top w:val="single" w:color="auto" w:sz="6" w:space="0"/>
                    <w:left w:val="single" w:color="auto" w:sz="6" w:space="0"/>
                    <w:bottom w:val="single" w:color="auto" w:sz="6" w:space="0"/>
                    <w:right w:val="single" w:color="auto" w:sz="6" w:space="0"/>
                  </w:tcBorders>
                  <w:vAlign w:val="center"/>
                </w:tcPr>
                <w:p w14:paraId="0BFAFD56">
                  <w:pPr>
                    <w:widowControl/>
                    <w:adjustRightInd w:val="0"/>
                    <w:jc w:val="center"/>
                    <w:rPr>
                      <w:bCs/>
                      <w:snapToGrid w:val="0"/>
                      <w:kern w:val="32"/>
                      <w:szCs w:val="21"/>
                    </w:rPr>
                  </w:pPr>
                  <w:r>
                    <w:rPr>
                      <w:bCs/>
                      <w:snapToGrid w:val="0"/>
                      <w:kern w:val="32"/>
                      <w:szCs w:val="21"/>
                      <w:lang w:bidi="ar"/>
                    </w:rPr>
                    <w:t>50.42</w:t>
                  </w:r>
                </w:p>
              </w:tc>
              <w:tc>
                <w:tcPr>
                  <w:tcW w:w="799" w:type="pct"/>
                  <w:tcBorders>
                    <w:top w:val="single" w:color="auto" w:sz="6" w:space="0"/>
                    <w:left w:val="single" w:color="auto" w:sz="6" w:space="0"/>
                    <w:bottom w:val="single" w:color="auto" w:sz="6" w:space="0"/>
                  </w:tcBorders>
                  <w:vAlign w:val="center"/>
                </w:tcPr>
                <w:p w14:paraId="4EC3D7FE">
                  <w:pPr>
                    <w:widowControl/>
                    <w:adjustRightInd w:val="0"/>
                    <w:jc w:val="center"/>
                    <w:rPr>
                      <w:bCs/>
                      <w:snapToGrid w:val="0"/>
                      <w:kern w:val="32"/>
                      <w:szCs w:val="21"/>
                    </w:rPr>
                  </w:pPr>
                  <w:r>
                    <w:rPr>
                      <w:bCs/>
                      <w:snapToGrid w:val="0"/>
                      <w:kern w:val="32"/>
                      <w:szCs w:val="21"/>
                      <w:lang w:bidi="ar"/>
                    </w:rPr>
                    <w:t>达标</w:t>
                  </w:r>
                </w:p>
              </w:tc>
            </w:tr>
            <w:tr w14:paraId="08D0F7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50" w:type="pct"/>
                  <w:gridSpan w:val="3"/>
                  <w:tcBorders>
                    <w:top w:val="single" w:color="auto" w:sz="6" w:space="0"/>
                    <w:right w:val="single" w:color="auto" w:sz="6" w:space="0"/>
                  </w:tcBorders>
                  <w:vAlign w:val="center"/>
                </w:tcPr>
                <w:p w14:paraId="5B23CD30">
                  <w:pPr>
                    <w:widowControl/>
                    <w:adjustRightInd w:val="0"/>
                    <w:jc w:val="center"/>
                    <w:rPr>
                      <w:bCs/>
                      <w:szCs w:val="21"/>
                    </w:rPr>
                  </w:pPr>
                  <w:r>
                    <w:rPr>
                      <w:bCs/>
                      <w:snapToGrid w:val="0"/>
                      <w:kern w:val="32"/>
                      <w:szCs w:val="21"/>
                      <w:lang w:bidi="ar"/>
                    </w:rPr>
                    <w:t>标准限值</w:t>
                  </w:r>
                </w:p>
              </w:tc>
              <w:tc>
                <w:tcPr>
                  <w:tcW w:w="1150" w:type="pct"/>
                  <w:tcBorders>
                    <w:top w:val="single" w:color="auto" w:sz="6" w:space="0"/>
                    <w:left w:val="single" w:color="auto" w:sz="6" w:space="0"/>
                    <w:right w:val="single" w:color="auto" w:sz="6" w:space="0"/>
                  </w:tcBorders>
                  <w:vAlign w:val="center"/>
                </w:tcPr>
                <w:p w14:paraId="15B4596B">
                  <w:pPr>
                    <w:widowControl/>
                    <w:adjustRightInd w:val="0"/>
                    <w:jc w:val="center"/>
                    <w:rPr>
                      <w:bCs/>
                      <w:snapToGrid w:val="0"/>
                      <w:kern w:val="32"/>
                      <w:szCs w:val="21"/>
                    </w:rPr>
                  </w:pPr>
                  <w:r>
                    <w:rPr>
                      <w:bCs/>
                      <w:snapToGrid w:val="0"/>
                      <w:kern w:val="32"/>
                      <w:szCs w:val="21"/>
                      <w:lang w:bidi="ar"/>
                    </w:rPr>
                    <w:t>65</w:t>
                  </w:r>
                </w:p>
              </w:tc>
              <w:tc>
                <w:tcPr>
                  <w:tcW w:w="799" w:type="pct"/>
                  <w:tcBorders>
                    <w:top w:val="single" w:color="auto" w:sz="6" w:space="0"/>
                    <w:left w:val="single" w:color="auto" w:sz="6" w:space="0"/>
                  </w:tcBorders>
                  <w:vAlign w:val="center"/>
                </w:tcPr>
                <w:p w14:paraId="10149ECA">
                  <w:pPr>
                    <w:widowControl/>
                    <w:adjustRightInd w:val="0"/>
                    <w:jc w:val="center"/>
                    <w:rPr>
                      <w:bCs/>
                      <w:snapToGrid w:val="0"/>
                      <w:kern w:val="32"/>
                      <w:szCs w:val="21"/>
                    </w:rPr>
                  </w:pPr>
                  <w:r>
                    <w:rPr>
                      <w:bCs/>
                      <w:snapToGrid w:val="0"/>
                      <w:kern w:val="32"/>
                      <w:szCs w:val="21"/>
                      <w:lang w:bidi="ar"/>
                    </w:rPr>
                    <w:t>/</w:t>
                  </w:r>
                </w:p>
              </w:tc>
            </w:tr>
          </w:tbl>
          <w:p w14:paraId="3E8BF3CD">
            <w:pPr>
              <w:adjustRightInd w:val="0"/>
              <w:snapToGrid w:val="0"/>
              <w:spacing w:line="360" w:lineRule="auto"/>
              <w:ind w:firstLine="480" w:firstLineChars="200"/>
              <w:rPr>
                <w:color w:val="000000"/>
                <w:kern w:val="0"/>
                <w:sz w:val="24"/>
                <w:szCs w:val="24"/>
              </w:rPr>
            </w:pPr>
            <w:r>
              <w:rPr>
                <w:bCs/>
                <w:color w:val="000000"/>
                <w:sz w:val="24"/>
                <w:szCs w:val="24"/>
              </w:rPr>
              <w:t>由上表预测结果可知，本项目夜间不生产，生产车间厂界昼间噪声最大贡献值为53.94dB（A）</w:t>
            </w:r>
            <w:r>
              <w:rPr>
                <w:color w:val="000000"/>
                <w:kern w:val="0"/>
                <w:sz w:val="24"/>
                <w:szCs w:val="24"/>
              </w:rPr>
              <w:t>，</w:t>
            </w:r>
            <w:r>
              <w:rPr>
                <w:bCs/>
                <w:color w:val="000000"/>
                <w:sz w:val="24"/>
                <w:szCs w:val="24"/>
              </w:rPr>
              <w:t>满足《工业企业厂界环境噪声排放标准》（GB12348-2008）3类区昼间标准要求</w:t>
            </w:r>
            <w:r>
              <w:rPr>
                <w:color w:val="000000"/>
                <w:kern w:val="0"/>
                <w:sz w:val="24"/>
                <w:szCs w:val="24"/>
              </w:rPr>
              <w:t>。本项目租赁</w:t>
            </w:r>
            <w:r>
              <w:rPr>
                <w:spacing w:val="-6"/>
                <w:sz w:val="24"/>
                <w:szCs w:val="24"/>
              </w:rPr>
              <w:t>安化县东坪镇茶家村茶语路南茶西路北B-02栋标准化厂房</w:t>
            </w:r>
            <w:r>
              <w:rPr>
                <w:color w:val="000000"/>
                <w:kern w:val="0"/>
                <w:sz w:val="24"/>
                <w:szCs w:val="24"/>
              </w:rPr>
              <w:t>进行建设，周围均为工业用地，在运营期间不会出现噪声扰民现象。</w:t>
            </w:r>
          </w:p>
          <w:p w14:paraId="03B55E7C">
            <w:pPr>
              <w:adjustRightInd w:val="0"/>
              <w:snapToGrid w:val="0"/>
              <w:spacing w:line="360" w:lineRule="auto"/>
              <w:ind w:firstLine="480" w:firstLineChars="200"/>
              <w:rPr>
                <w:color w:val="000000"/>
                <w:kern w:val="0"/>
                <w:sz w:val="24"/>
                <w:szCs w:val="24"/>
              </w:rPr>
            </w:pPr>
          </w:p>
          <w:p w14:paraId="6DEE5C61">
            <w:pPr>
              <w:adjustRightInd w:val="0"/>
              <w:snapToGrid w:val="0"/>
              <w:spacing w:line="360" w:lineRule="auto"/>
              <w:ind w:firstLine="480" w:firstLineChars="200"/>
              <w:rPr>
                <w:color w:val="000000"/>
                <w:kern w:val="0"/>
                <w:sz w:val="24"/>
                <w:szCs w:val="24"/>
              </w:rPr>
            </w:pPr>
          </w:p>
          <w:p w14:paraId="511D81DD">
            <w:pPr>
              <w:adjustRightInd w:val="0"/>
              <w:snapToGrid w:val="0"/>
              <w:spacing w:line="360" w:lineRule="auto"/>
              <w:ind w:firstLine="480" w:firstLineChars="200"/>
              <w:rPr>
                <w:color w:val="000000"/>
                <w:kern w:val="0"/>
                <w:sz w:val="24"/>
                <w:szCs w:val="24"/>
              </w:rPr>
            </w:pPr>
          </w:p>
          <w:p w14:paraId="761638AC">
            <w:pPr>
              <w:adjustRightInd w:val="0"/>
              <w:snapToGrid w:val="0"/>
              <w:spacing w:line="360" w:lineRule="auto"/>
              <w:ind w:firstLine="480" w:firstLineChars="200"/>
              <w:rPr>
                <w:color w:val="000000"/>
                <w:kern w:val="0"/>
                <w:sz w:val="24"/>
                <w:szCs w:val="24"/>
              </w:rPr>
            </w:pPr>
          </w:p>
          <w:p w14:paraId="6A4DDD56">
            <w:pPr>
              <w:adjustRightInd w:val="0"/>
              <w:snapToGrid w:val="0"/>
              <w:spacing w:line="360" w:lineRule="auto"/>
              <w:ind w:firstLine="480" w:firstLineChars="200"/>
              <w:rPr>
                <w:color w:val="000000"/>
                <w:kern w:val="0"/>
                <w:sz w:val="24"/>
                <w:szCs w:val="24"/>
              </w:rPr>
            </w:pPr>
          </w:p>
          <w:p w14:paraId="3C6D030C">
            <w:pPr>
              <w:adjustRightInd w:val="0"/>
              <w:snapToGrid w:val="0"/>
              <w:spacing w:line="360" w:lineRule="auto"/>
              <w:ind w:firstLine="480" w:firstLineChars="200"/>
              <w:rPr>
                <w:color w:val="000000"/>
                <w:kern w:val="0"/>
                <w:sz w:val="24"/>
                <w:szCs w:val="24"/>
              </w:rPr>
            </w:pPr>
          </w:p>
          <w:p w14:paraId="217443E5">
            <w:pPr>
              <w:adjustRightInd w:val="0"/>
              <w:snapToGrid w:val="0"/>
              <w:spacing w:line="360" w:lineRule="auto"/>
              <w:ind w:firstLine="480" w:firstLineChars="200"/>
              <w:rPr>
                <w:color w:val="000000"/>
                <w:kern w:val="0"/>
                <w:sz w:val="24"/>
                <w:szCs w:val="24"/>
              </w:rPr>
            </w:pPr>
          </w:p>
          <w:p w14:paraId="12BF86DD">
            <w:pPr>
              <w:adjustRightInd w:val="0"/>
              <w:snapToGrid w:val="0"/>
              <w:spacing w:line="360" w:lineRule="auto"/>
              <w:ind w:firstLine="480" w:firstLineChars="200"/>
              <w:rPr>
                <w:color w:val="000000"/>
                <w:kern w:val="0"/>
                <w:sz w:val="24"/>
                <w:szCs w:val="24"/>
              </w:rPr>
            </w:pPr>
          </w:p>
          <w:p w14:paraId="079662FA">
            <w:pPr>
              <w:tabs>
                <w:tab w:val="left" w:pos="2196"/>
              </w:tabs>
              <w:spacing w:line="360" w:lineRule="auto"/>
              <w:jc w:val="center"/>
              <w:rPr>
                <w:b/>
                <w:color w:val="000000"/>
                <w:sz w:val="24"/>
                <w:szCs w:val="24"/>
              </w:rPr>
            </w:pPr>
            <w:bookmarkStart w:id="35" w:name="_Hlk73088778"/>
            <w:r>
              <w:rPr>
                <w:b/>
                <w:color w:val="000000"/>
                <w:sz w:val="24"/>
                <w:szCs w:val="24"/>
              </w:rPr>
              <w:drawing>
                <wp:inline distT="0" distB="0" distL="114300" distR="114300">
                  <wp:extent cx="4828540" cy="2938780"/>
                  <wp:effectExtent l="0" t="0" r="10160" b="13970"/>
                  <wp:docPr id="24" name="图片 151" descr="a9bf847c75cb70380e0c9d0250a3ef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1" descr="a9bf847c75cb70380e0c9d0250a3ef02"/>
                          <pic:cNvPicPr>
                            <a:picLocks noChangeAspect="1"/>
                          </pic:cNvPicPr>
                        </pic:nvPicPr>
                        <pic:blipFill>
                          <a:blip r:embed="rId24"/>
                          <a:stretch>
                            <a:fillRect/>
                          </a:stretch>
                        </pic:blipFill>
                        <pic:spPr>
                          <a:xfrm>
                            <a:off x="0" y="0"/>
                            <a:ext cx="4828540" cy="2938780"/>
                          </a:xfrm>
                          <a:prstGeom prst="rect">
                            <a:avLst/>
                          </a:prstGeom>
                          <a:noFill/>
                          <a:ln>
                            <a:noFill/>
                          </a:ln>
                        </pic:spPr>
                      </pic:pic>
                    </a:graphicData>
                  </a:graphic>
                </wp:inline>
              </w:drawing>
            </w:r>
          </w:p>
          <w:p w14:paraId="20EB3D55">
            <w:pPr>
              <w:tabs>
                <w:tab w:val="left" w:pos="2196"/>
              </w:tabs>
              <w:spacing w:line="360" w:lineRule="auto"/>
              <w:jc w:val="center"/>
              <w:rPr>
                <w:b/>
                <w:color w:val="000000"/>
                <w:sz w:val="24"/>
                <w:szCs w:val="24"/>
              </w:rPr>
            </w:pPr>
            <w:r>
              <w:rPr>
                <w:b/>
                <w:color w:val="000000"/>
                <w:sz w:val="24"/>
                <w:szCs w:val="24"/>
              </w:rPr>
              <w:t>图4-3  噪声预测结果图</w:t>
            </w:r>
          </w:p>
          <w:bookmarkEnd w:id="35"/>
          <w:p w14:paraId="4AA3FD01">
            <w:pPr>
              <w:adjustRightInd w:val="0"/>
              <w:snapToGrid w:val="0"/>
              <w:spacing w:line="360" w:lineRule="auto"/>
              <w:ind w:firstLine="480" w:firstLineChars="200"/>
              <w:rPr>
                <w:bCs/>
                <w:color w:val="000000"/>
                <w:sz w:val="24"/>
                <w:szCs w:val="24"/>
              </w:rPr>
            </w:pPr>
            <w:r>
              <w:rPr>
                <w:bCs/>
                <w:color w:val="000000"/>
                <w:sz w:val="24"/>
                <w:szCs w:val="24"/>
              </w:rPr>
              <w:t>综上所述，在落实各项噪声污染防治措施的情况下，并进一步要求企业夜间（22:00~6:00）不得进行生产，运输仅在白天运输，运输汽车不得超载、控制车速，进出厂区、经过居民集中点时严禁鸣笛，做到文明行车，减少对运输道路周边敏感点的影响。本项目生产运营过程中对周围声环境影响较小。</w:t>
            </w:r>
          </w:p>
          <w:p w14:paraId="38ABD925">
            <w:pPr>
              <w:spacing w:line="360" w:lineRule="auto"/>
              <w:ind w:firstLine="480" w:firstLineChars="200"/>
              <w:rPr>
                <w:sz w:val="24"/>
              </w:rPr>
            </w:pPr>
            <w:r>
              <w:rPr>
                <w:sz w:val="24"/>
              </w:rPr>
              <w:t>参照《排污单位自行监测技术指南 食品制造》（HJ 1084-2020）及《排污单位自行监测技术指南 总则》（HJ819-2017）对本项目的日常监测要求见下表：</w:t>
            </w:r>
          </w:p>
          <w:p w14:paraId="1779A929">
            <w:pPr>
              <w:tabs>
                <w:tab w:val="left" w:pos="2196"/>
              </w:tabs>
              <w:spacing w:line="360" w:lineRule="auto"/>
              <w:jc w:val="center"/>
              <w:rPr>
                <w:b/>
                <w:color w:val="000000"/>
                <w:sz w:val="24"/>
                <w:szCs w:val="24"/>
              </w:rPr>
            </w:pPr>
            <w:r>
              <w:rPr>
                <w:b/>
                <w:color w:val="000000"/>
                <w:sz w:val="24"/>
                <w:szCs w:val="24"/>
              </w:rPr>
              <w:t>表4-1</w:t>
            </w:r>
            <w:r>
              <w:rPr>
                <w:rFonts w:hint="eastAsia"/>
                <w:b/>
                <w:color w:val="000000"/>
                <w:sz w:val="24"/>
                <w:szCs w:val="24"/>
              </w:rPr>
              <w:t>8</w:t>
            </w:r>
            <w:r>
              <w:rPr>
                <w:b/>
                <w:color w:val="000000"/>
                <w:sz w:val="24"/>
                <w:szCs w:val="24"/>
              </w:rPr>
              <w:t xml:space="preserve">  自行监测信息表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59"/>
              <w:gridCol w:w="3080"/>
              <w:gridCol w:w="2488"/>
              <w:gridCol w:w="2166"/>
            </w:tblGrid>
            <w:tr w14:paraId="392C8E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6" w:type="pct"/>
                  <w:vAlign w:val="center"/>
                </w:tcPr>
                <w:p w14:paraId="250C6A24">
                  <w:pPr>
                    <w:pStyle w:val="70"/>
                    <w:jc w:val="center"/>
                    <w:rPr>
                      <w:b/>
                      <w:color w:val="000000"/>
                      <w:sz w:val="21"/>
                    </w:rPr>
                  </w:pPr>
                  <w:r>
                    <w:rPr>
                      <w:b/>
                      <w:color w:val="000000"/>
                      <w:sz w:val="21"/>
                    </w:rPr>
                    <w:t>序号</w:t>
                  </w:r>
                </w:p>
              </w:tc>
              <w:tc>
                <w:tcPr>
                  <w:tcW w:w="1813" w:type="pct"/>
                  <w:vAlign w:val="center"/>
                </w:tcPr>
                <w:p w14:paraId="381D4198">
                  <w:pPr>
                    <w:pStyle w:val="70"/>
                    <w:jc w:val="center"/>
                    <w:rPr>
                      <w:b/>
                      <w:color w:val="000000"/>
                      <w:sz w:val="21"/>
                    </w:rPr>
                  </w:pPr>
                  <w:r>
                    <w:rPr>
                      <w:b/>
                      <w:color w:val="000000"/>
                      <w:sz w:val="21"/>
                    </w:rPr>
                    <w:t>监测点位</w:t>
                  </w:r>
                </w:p>
              </w:tc>
              <w:tc>
                <w:tcPr>
                  <w:tcW w:w="1465" w:type="pct"/>
                  <w:vAlign w:val="center"/>
                </w:tcPr>
                <w:p w14:paraId="6CBFF391">
                  <w:pPr>
                    <w:pStyle w:val="70"/>
                    <w:jc w:val="center"/>
                    <w:rPr>
                      <w:b/>
                      <w:color w:val="000000"/>
                      <w:sz w:val="21"/>
                    </w:rPr>
                  </w:pPr>
                  <w:r>
                    <w:rPr>
                      <w:b/>
                      <w:color w:val="000000"/>
                      <w:sz w:val="21"/>
                    </w:rPr>
                    <w:t>监测项目</w:t>
                  </w:r>
                </w:p>
              </w:tc>
              <w:tc>
                <w:tcPr>
                  <w:tcW w:w="1275" w:type="pct"/>
                  <w:vAlign w:val="center"/>
                </w:tcPr>
                <w:p w14:paraId="32642DFD">
                  <w:pPr>
                    <w:pStyle w:val="70"/>
                    <w:jc w:val="center"/>
                    <w:rPr>
                      <w:b/>
                      <w:color w:val="000000"/>
                      <w:sz w:val="21"/>
                    </w:rPr>
                  </w:pPr>
                  <w:r>
                    <w:rPr>
                      <w:b/>
                      <w:color w:val="000000"/>
                      <w:sz w:val="21"/>
                    </w:rPr>
                    <w:t>监测频次</w:t>
                  </w:r>
                </w:p>
              </w:tc>
            </w:tr>
            <w:tr w14:paraId="5CA493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6" w:type="pct"/>
                  <w:vAlign w:val="center"/>
                </w:tcPr>
                <w:p w14:paraId="3DD6812C">
                  <w:pPr>
                    <w:pStyle w:val="70"/>
                    <w:jc w:val="center"/>
                    <w:rPr>
                      <w:b/>
                      <w:color w:val="000000"/>
                      <w:sz w:val="21"/>
                    </w:rPr>
                  </w:pPr>
                  <w:r>
                    <w:rPr>
                      <w:color w:val="000000"/>
                      <w:sz w:val="21"/>
                    </w:rPr>
                    <w:t>1</w:t>
                  </w:r>
                </w:p>
              </w:tc>
              <w:tc>
                <w:tcPr>
                  <w:tcW w:w="1813" w:type="pct"/>
                  <w:vAlign w:val="center"/>
                </w:tcPr>
                <w:p w14:paraId="525CF664">
                  <w:pPr>
                    <w:pStyle w:val="70"/>
                    <w:jc w:val="center"/>
                    <w:rPr>
                      <w:b/>
                      <w:color w:val="000000"/>
                      <w:sz w:val="21"/>
                    </w:rPr>
                  </w:pPr>
                  <w:r>
                    <w:rPr>
                      <w:color w:val="000000"/>
                      <w:sz w:val="21"/>
                    </w:rPr>
                    <w:t>厂界四周</w:t>
                  </w:r>
                </w:p>
              </w:tc>
              <w:tc>
                <w:tcPr>
                  <w:tcW w:w="1465" w:type="pct"/>
                  <w:vAlign w:val="center"/>
                </w:tcPr>
                <w:p w14:paraId="3D60C51E">
                  <w:pPr>
                    <w:pStyle w:val="70"/>
                    <w:jc w:val="center"/>
                    <w:rPr>
                      <w:b/>
                      <w:color w:val="000000"/>
                      <w:sz w:val="21"/>
                    </w:rPr>
                  </w:pPr>
                  <w:r>
                    <w:rPr>
                      <w:color w:val="000000"/>
                      <w:sz w:val="21"/>
                    </w:rPr>
                    <w:t>Leq[dB(A)]</w:t>
                  </w:r>
                </w:p>
              </w:tc>
              <w:tc>
                <w:tcPr>
                  <w:tcW w:w="1275" w:type="pct"/>
                  <w:vAlign w:val="center"/>
                </w:tcPr>
                <w:p w14:paraId="32F051C8">
                  <w:pPr>
                    <w:pStyle w:val="70"/>
                    <w:jc w:val="center"/>
                    <w:rPr>
                      <w:b/>
                      <w:color w:val="000000"/>
                      <w:sz w:val="21"/>
                    </w:rPr>
                  </w:pPr>
                  <w:r>
                    <w:rPr>
                      <w:color w:val="000000"/>
                      <w:sz w:val="21"/>
                    </w:rPr>
                    <w:t>1次/季度</w:t>
                  </w:r>
                </w:p>
              </w:tc>
            </w:tr>
          </w:tbl>
          <w:p w14:paraId="13493C69">
            <w:pPr>
              <w:adjustRightInd w:val="0"/>
              <w:snapToGrid w:val="0"/>
              <w:spacing w:line="360" w:lineRule="auto"/>
              <w:rPr>
                <w:b/>
                <w:color w:val="000000"/>
                <w:sz w:val="24"/>
                <w:szCs w:val="24"/>
              </w:rPr>
            </w:pPr>
            <w:r>
              <w:rPr>
                <w:b/>
                <w:color w:val="000000"/>
                <w:sz w:val="24"/>
                <w:szCs w:val="24"/>
              </w:rPr>
              <w:t>4 固体废物</w:t>
            </w:r>
          </w:p>
          <w:p w14:paraId="52AC8FDC">
            <w:pPr>
              <w:spacing w:line="360" w:lineRule="auto"/>
              <w:ind w:firstLine="480" w:firstLineChars="200"/>
              <w:rPr>
                <w:sz w:val="24"/>
                <w:szCs w:val="24"/>
              </w:rPr>
            </w:pPr>
            <w:r>
              <w:rPr>
                <w:sz w:val="24"/>
                <w:szCs w:val="24"/>
              </w:rPr>
              <w:t>根据本项目工艺流程和产排污环节分析内容，运营期固体废物主要是</w:t>
            </w:r>
            <w:r>
              <w:rPr>
                <w:bCs/>
                <w:sz w:val="24"/>
                <w:szCs w:val="24"/>
              </w:rPr>
              <w:t>废离子交换树脂、</w:t>
            </w:r>
            <w:r>
              <w:rPr>
                <w:sz w:val="24"/>
                <w:szCs w:val="24"/>
              </w:rPr>
              <w:t>锅炉炉渣、废边角料和不合格产品、废包装材料、卤渣、</w:t>
            </w:r>
            <w:r>
              <w:rPr>
                <w:rFonts w:hint="eastAsia"/>
                <w:color w:val="000000"/>
                <w:sz w:val="24"/>
                <w:szCs w:val="24"/>
              </w:rPr>
              <w:t>废滤料及废RO膜、</w:t>
            </w:r>
            <w:r>
              <w:rPr>
                <w:sz w:val="24"/>
                <w:szCs w:val="24"/>
              </w:rPr>
              <w:t>生活垃圾等。</w:t>
            </w:r>
          </w:p>
          <w:p w14:paraId="575398CF">
            <w:pPr>
              <w:adjustRightInd w:val="0"/>
              <w:snapToGrid w:val="0"/>
              <w:spacing w:line="336" w:lineRule="auto"/>
              <w:ind w:firstLine="480" w:firstLineChars="200"/>
              <w:rPr>
                <w:bCs/>
                <w:color w:val="000000"/>
                <w:sz w:val="24"/>
                <w:szCs w:val="24"/>
              </w:rPr>
            </w:pPr>
            <w:r>
              <w:rPr>
                <w:color w:val="000000"/>
                <w:sz w:val="24"/>
                <w:szCs w:val="24"/>
              </w:rPr>
              <w:t>S1</w:t>
            </w:r>
            <w:r>
              <w:rPr>
                <w:bCs/>
                <w:color w:val="000000"/>
                <w:sz w:val="24"/>
                <w:szCs w:val="24"/>
              </w:rPr>
              <w:t>废离子交换树脂</w:t>
            </w:r>
          </w:p>
          <w:p w14:paraId="0477B386">
            <w:pPr>
              <w:adjustRightInd w:val="0"/>
              <w:snapToGrid w:val="0"/>
              <w:spacing w:line="336" w:lineRule="auto"/>
              <w:ind w:firstLine="480" w:firstLineChars="200"/>
              <w:rPr>
                <w:bCs/>
                <w:color w:val="000000"/>
                <w:sz w:val="24"/>
                <w:szCs w:val="24"/>
              </w:rPr>
            </w:pPr>
            <w:r>
              <w:rPr>
                <w:bCs/>
                <w:color w:val="000000"/>
                <w:sz w:val="24"/>
                <w:szCs w:val="24"/>
              </w:rPr>
              <w:t>根据建设单位提供资料，锅炉软化水制备过程中离子交换树脂在掺水效果差时方才需要更换，树脂更换周期为4年更换一次，离子交换树脂的更换量为0.5t/a，</w:t>
            </w:r>
            <w:r>
              <w:rPr>
                <w:rFonts w:hint="eastAsia"/>
                <w:bCs/>
                <w:color w:val="000000"/>
                <w:sz w:val="24"/>
                <w:szCs w:val="24"/>
              </w:rPr>
              <w:t>经</w:t>
            </w:r>
            <w:r>
              <w:rPr>
                <w:bCs/>
                <w:color w:val="000000"/>
                <w:sz w:val="24"/>
                <w:szCs w:val="24"/>
              </w:rPr>
              <w:t>净化后</w:t>
            </w:r>
            <w:r>
              <w:rPr>
                <w:rFonts w:hint="eastAsia"/>
                <w:bCs/>
                <w:color w:val="000000"/>
                <w:sz w:val="24"/>
                <w:szCs w:val="24"/>
              </w:rPr>
              <w:t>河</w:t>
            </w:r>
            <w:r>
              <w:rPr>
                <w:bCs/>
                <w:color w:val="000000"/>
                <w:sz w:val="24"/>
                <w:szCs w:val="24"/>
              </w:rPr>
              <w:t>水制备软水过程中产生的废离子交换树脂未被列入《国家危险废物名录》（2025年版），且原水为经处理的河水，不涉及毒性、腐蚀性、反应性、感染性等危险特性，故软水制备产生的废离子交换树脂不属于危险废物，由厂家进行更换回收。</w:t>
            </w:r>
          </w:p>
          <w:p w14:paraId="1410F6A8">
            <w:pPr>
              <w:adjustRightInd w:val="0"/>
              <w:snapToGrid w:val="0"/>
              <w:spacing w:line="336" w:lineRule="auto"/>
              <w:ind w:firstLine="480" w:firstLineChars="200"/>
              <w:rPr>
                <w:color w:val="000000"/>
                <w:sz w:val="24"/>
                <w:szCs w:val="24"/>
              </w:rPr>
            </w:pPr>
            <w:r>
              <w:rPr>
                <w:bCs/>
                <w:color w:val="000000"/>
                <w:sz w:val="24"/>
                <w:szCs w:val="24"/>
              </w:rPr>
              <w:t>S2</w:t>
            </w:r>
            <w:r>
              <w:rPr>
                <w:color w:val="000000"/>
                <w:sz w:val="24"/>
                <w:szCs w:val="24"/>
              </w:rPr>
              <w:t>炉渣</w:t>
            </w:r>
          </w:p>
          <w:p w14:paraId="528ECA51">
            <w:pPr>
              <w:spacing w:line="360" w:lineRule="auto"/>
              <w:ind w:firstLine="480" w:firstLineChars="200"/>
              <w:rPr>
                <w:bCs/>
                <w:color w:val="000000"/>
                <w:sz w:val="24"/>
                <w:szCs w:val="24"/>
              </w:rPr>
            </w:pPr>
            <w:r>
              <w:rPr>
                <w:bCs/>
                <w:color w:val="000000"/>
                <w:sz w:val="24"/>
                <w:szCs w:val="24"/>
              </w:rPr>
              <w:t>生物质气化过程中的产碳率约为7~8%，本项目取最大值8%计，项目生物质气化锅炉原料生物质总计用量为3600t/a，则炭渣产量为288t/a。根据《固体废物分类与代码目录》（2024年版）》，该固废属于一般工业固体废物，废物种类SW03炉渣，废物代码为900-099-S03，其他炉渣。工业生产过程中产生的其他炉渣，包括农林生物质燃烧产生的炉渣等。统一收集后定期外售综合利用。</w:t>
            </w:r>
          </w:p>
          <w:p w14:paraId="4EDD9E06">
            <w:pPr>
              <w:spacing w:line="360" w:lineRule="auto"/>
              <w:ind w:firstLine="480" w:firstLineChars="200"/>
              <w:rPr>
                <w:bCs/>
                <w:sz w:val="24"/>
                <w:szCs w:val="24"/>
              </w:rPr>
            </w:pPr>
            <w:r>
              <w:rPr>
                <w:bCs/>
                <w:sz w:val="24"/>
                <w:szCs w:val="24"/>
              </w:rPr>
              <w:t>S3废边角料和不合格产品</w:t>
            </w:r>
          </w:p>
          <w:p w14:paraId="381328EE">
            <w:pPr>
              <w:pStyle w:val="23"/>
              <w:ind w:firstLine="480"/>
              <w:rPr>
                <w:rFonts w:ascii="Times New Roman" w:hAnsi="Times New Roman"/>
                <w:color w:val="FF0000"/>
                <w:szCs w:val="24"/>
                <w:u w:val="single"/>
              </w:rPr>
            </w:pPr>
            <w:r>
              <w:rPr>
                <w:rFonts w:ascii="Times New Roman" w:hAnsi="Times New Roman"/>
                <w:szCs w:val="24"/>
                <w:u w:val="single"/>
              </w:rPr>
              <w:t>根据建设单位提供资料及以往生产经验可知</w:t>
            </w:r>
            <w:r>
              <w:rPr>
                <w:rFonts w:hint="eastAsia" w:ascii="Times New Roman" w:hAnsi="Times New Roman"/>
                <w:szCs w:val="24"/>
                <w:u w:val="single"/>
              </w:rPr>
              <w:t>废边角料及不合格产品的产生量约为原辅料的1%-2%</w:t>
            </w:r>
            <w:r>
              <w:rPr>
                <w:rFonts w:ascii="Times New Roman" w:hAnsi="Times New Roman"/>
                <w:szCs w:val="24"/>
                <w:u w:val="single"/>
              </w:rPr>
              <w:t>，</w:t>
            </w:r>
            <w:r>
              <w:rPr>
                <w:rFonts w:hint="eastAsia" w:ascii="Times New Roman" w:hAnsi="Times New Roman"/>
                <w:szCs w:val="24"/>
                <w:u w:val="single"/>
              </w:rPr>
              <w:t>本项目按1.5%计，</w:t>
            </w:r>
            <w:r>
              <w:rPr>
                <w:rFonts w:ascii="Times New Roman" w:hAnsi="Times New Roman"/>
                <w:szCs w:val="24"/>
                <w:u w:val="single"/>
              </w:rPr>
              <w:t>主要为原料预处理时会产生的废边角料以及不合格的产品，包括调味料、</w:t>
            </w:r>
            <w:r>
              <w:rPr>
                <w:rFonts w:hint="eastAsia" w:ascii="Times New Roman" w:hAnsi="Times New Roman"/>
                <w:szCs w:val="24"/>
                <w:u w:val="single"/>
              </w:rPr>
              <w:t>肉类卤制加工</w:t>
            </w:r>
            <w:r>
              <w:rPr>
                <w:rFonts w:ascii="Times New Roman" w:hAnsi="Times New Roman"/>
                <w:szCs w:val="24"/>
                <w:u w:val="single"/>
              </w:rPr>
              <w:t>产生的不合格产品等，生产过程中废边角料及质检工序产生的不合格产品，产生量为</w:t>
            </w:r>
            <w:r>
              <w:rPr>
                <w:rFonts w:hint="eastAsia" w:ascii="Times New Roman" w:hAnsi="Times New Roman"/>
                <w:szCs w:val="21"/>
                <w:u w:val="single"/>
              </w:rPr>
              <w:t>385.09</w:t>
            </w:r>
            <w:r>
              <w:rPr>
                <w:rFonts w:ascii="Times New Roman" w:hAnsi="Times New Roman"/>
                <w:szCs w:val="21"/>
                <w:u w:val="single"/>
              </w:rPr>
              <w:t>t/a</w:t>
            </w:r>
            <w:r>
              <w:rPr>
                <w:rFonts w:ascii="Times New Roman" w:hAnsi="Times New Roman"/>
                <w:szCs w:val="24"/>
                <w:u w:val="single"/>
              </w:rPr>
              <w:t>，均为一般固废，不含有毒有害物质，</w:t>
            </w:r>
            <w:r>
              <w:rPr>
                <w:rFonts w:ascii="Times New Roman" w:hAnsi="Times New Roman"/>
                <w:bCs/>
                <w:szCs w:val="24"/>
                <w:u w:val="single"/>
              </w:rPr>
              <w:t>统</w:t>
            </w:r>
            <w:r>
              <w:rPr>
                <w:rFonts w:ascii="Times New Roman" w:hAnsi="Times New Roman"/>
                <w:bCs/>
                <w:color w:val="000000"/>
                <w:szCs w:val="24"/>
                <w:u w:val="single"/>
              </w:rPr>
              <w:t>一收集后</w:t>
            </w:r>
            <w:r>
              <w:rPr>
                <w:rFonts w:hint="eastAsia" w:ascii="Times New Roman" w:hAnsi="Times New Roman"/>
                <w:szCs w:val="24"/>
                <w:u w:val="single"/>
              </w:rPr>
              <w:t>暂存于冻库</w:t>
            </w:r>
            <w:r>
              <w:rPr>
                <w:rFonts w:ascii="Times New Roman" w:hAnsi="Times New Roman"/>
                <w:bCs/>
                <w:color w:val="000000"/>
                <w:szCs w:val="24"/>
                <w:u w:val="single"/>
              </w:rPr>
              <w:t>定期外售综合利用</w:t>
            </w:r>
            <w:r>
              <w:rPr>
                <w:rFonts w:ascii="Times New Roman" w:hAnsi="Times New Roman"/>
                <w:szCs w:val="24"/>
                <w:u w:val="single"/>
              </w:rPr>
              <w:t>。</w:t>
            </w:r>
          </w:p>
          <w:p w14:paraId="3CF3AD0A">
            <w:pPr>
              <w:pStyle w:val="23"/>
              <w:ind w:left="480" w:firstLine="0" w:firstLineChars="0"/>
              <w:jc w:val="left"/>
              <w:rPr>
                <w:rFonts w:ascii="Times New Roman" w:hAnsi="Times New Roman"/>
                <w:color w:val="000000"/>
                <w:szCs w:val="24"/>
              </w:rPr>
            </w:pPr>
            <w:r>
              <w:rPr>
                <w:rFonts w:ascii="Times New Roman" w:hAnsi="Times New Roman"/>
                <w:color w:val="000000"/>
                <w:szCs w:val="24"/>
              </w:rPr>
              <w:t>S4废包装材料</w:t>
            </w:r>
          </w:p>
          <w:p w14:paraId="695A883A">
            <w:pPr>
              <w:pStyle w:val="23"/>
              <w:ind w:firstLine="480"/>
              <w:rPr>
                <w:rFonts w:ascii="Times New Roman" w:hAnsi="Times New Roman"/>
                <w:color w:val="000000"/>
                <w:szCs w:val="24"/>
              </w:rPr>
            </w:pPr>
            <w:r>
              <w:rPr>
                <w:rFonts w:ascii="Times New Roman" w:hAnsi="Times New Roman"/>
                <w:color w:val="000000"/>
                <w:szCs w:val="24"/>
              </w:rPr>
              <w:t>包装过程中产生的废包装材料主要为废塑料、纸盒。类比同类型项目可知，废包装材料产生量约为</w:t>
            </w:r>
            <w:r>
              <w:rPr>
                <w:rFonts w:ascii="Times New Roman" w:hAnsi="Times New Roman"/>
                <w:szCs w:val="24"/>
              </w:rPr>
              <w:t>1t</w:t>
            </w:r>
            <w:r>
              <w:rPr>
                <w:rFonts w:ascii="Times New Roman" w:hAnsi="Times New Roman"/>
                <w:color w:val="000000"/>
                <w:szCs w:val="24"/>
              </w:rPr>
              <w:t>/a，随生活垃圾一起委托环卫部门统</w:t>
            </w:r>
            <w:r>
              <w:rPr>
                <w:rFonts w:ascii="Times New Roman" w:hAnsi="Times New Roman"/>
                <w:b/>
                <w:bCs/>
                <w:color w:val="000000"/>
                <w:szCs w:val="24"/>
              </w:rPr>
              <w:t>一</w:t>
            </w:r>
            <w:r>
              <w:rPr>
                <w:rFonts w:ascii="Times New Roman" w:hAnsi="Times New Roman"/>
                <w:color w:val="000000"/>
                <w:szCs w:val="24"/>
              </w:rPr>
              <w:t>清运。</w:t>
            </w:r>
          </w:p>
          <w:p w14:paraId="28028217">
            <w:pPr>
              <w:spacing w:line="360" w:lineRule="auto"/>
              <w:ind w:firstLine="480" w:firstLineChars="200"/>
              <w:rPr>
                <w:color w:val="000000"/>
                <w:sz w:val="24"/>
                <w:szCs w:val="24"/>
              </w:rPr>
            </w:pPr>
            <w:r>
              <w:rPr>
                <w:color w:val="000000"/>
                <w:sz w:val="24"/>
                <w:szCs w:val="24"/>
              </w:rPr>
              <w:t>S5卤渣</w:t>
            </w:r>
          </w:p>
          <w:p w14:paraId="481B452A">
            <w:pPr>
              <w:spacing w:line="360" w:lineRule="auto"/>
              <w:ind w:firstLine="480" w:firstLineChars="200"/>
              <w:rPr>
                <w:color w:val="000000"/>
                <w:sz w:val="24"/>
                <w:szCs w:val="24"/>
              </w:rPr>
            </w:pPr>
            <w:r>
              <w:rPr>
                <w:rFonts w:hint="eastAsia"/>
                <w:color w:val="000000"/>
                <w:sz w:val="24"/>
                <w:szCs w:val="24"/>
              </w:rPr>
              <w:t>卤制工序的卤料需进行定期更换，根据企业提供资料，本项目卤制废渣产生量预计约为19t/a，一般与厨余垃圾性质相同，统一收集后交由环卫部门进行清运处理。</w:t>
            </w:r>
          </w:p>
          <w:p w14:paraId="6531989D">
            <w:pPr>
              <w:spacing w:line="360" w:lineRule="auto"/>
              <w:ind w:firstLine="480" w:firstLineChars="200"/>
              <w:rPr>
                <w:color w:val="000000"/>
                <w:sz w:val="24"/>
                <w:szCs w:val="24"/>
              </w:rPr>
            </w:pPr>
            <w:r>
              <w:rPr>
                <w:color w:val="000000"/>
                <w:sz w:val="24"/>
                <w:szCs w:val="24"/>
              </w:rPr>
              <w:t>S6</w:t>
            </w:r>
            <w:r>
              <w:rPr>
                <w:rFonts w:hint="eastAsia"/>
                <w:color w:val="000000"/>
                <w:sz w:val="24"/>
                <w:szCs w:val="24"/>
              </w:rPr>
              <w:t>废滤料及废RO膜</w:t>
            </w:r>
          </w:p>
          <w:p w14:paraId="472A702B">
            <w:pPr>
              <w:spacing w:line="360" w:lineRule="auto"/>
              <w:ind w:firstLine="480" w:firstLineChars="200"/>
              <w:rPr>
                <w:color w:val="000000"/>
                <w:sz w:val="24"/>
                <w:szCs w:val="24"/>
              </w:rPr>
            </w:pPr>
            <w:r>
              <w:rPr>
                <w:rFonts w:hint="eastAsia"/>
                <w:sz w:val="24"/>
                <w:szCs w:val="24"/>
              </w:rPr>
              <w:t>河水净化</w:t>
            </w:r>
            <w:r>
              <w:rPr>
                <w:sz w:val="24"/>
                <w:szCs w:val="24"/>
              </w:rPr>
              <w:t>过程中会产生废滤料和废RO膜，更换次数一般均为1年1换，则产生的废滤料和废RO膜约为0.5t/a，</w:t>
            </w:r>
            <w:r>
              <w:rPr>
                <w:rFonts w:hint="eastAsia"/>
                <w:color w:val="000000"/>
                <w:sz w:val="24"/>
                <w:szCs w:val="24"/>
              </w:rPr>
              <w:t>废滤料及废RO膜由厂家更换回收</w:t>
            </w:r>
          </w:p>
          <w:p w14:paraId="0FEB6C95">
            <w:pPr>
              <w:spacing w:line="360" w:lineRule="auto"/>
              <w:ind w:firstLine="480" w:firstLineChars="200"/>
              <w:rPr>
                <w:color w:val="000000"/>
                <w:sz w:val="24"/>
                <w:szCs w:val="24"/>
              </w:rPr>
            </w:pPr>
            <w:r>
              <w:rPr>
                <w:rFonts w:hint="eastAsia"/>
                <w:color w:val="000000"/>
                <w:sz w:val="24"/>
                <w:szCs w:val="24"/>
              </w:rPr>
              <w:t>S7熬制废油</w:t>
            </w:r>
          </w:p>
          <w:p w14:paraId="3D0D105A">
            <w:pPr>
              <w:spacing w:line="360" w:lineRule="auto"/>
              <w:ind w:firstLine="480" w:firstLineChars="200"/>
              <w:rPr>
                <w:color w:val="000000"/>
                <w:sz w:val="24"/>
                <w:szCs w:val="24"/>
              </w:rPr>
            </w:pPr>
            <w:r>
              <w:rPr>
                <w:color w:val="000000"/>
                <w:sz w:val="24"/>
                <w:szCs w:val="24"/>
              </w:rPr>
              <w:t>根据企业提供资料，本项目</w:t>
            </w:r>
            <w:r>
              <w:rPr>
                <w:rFonts w:hint="eastAsia"/>
                <w:color w:val="000000"/>
                <w:sz w:val="24"/>
                <w:szCs w:val="24"/>
              </w:rPr>
              <w:t>熬制</w:t>
            </w:r>
            <w:r>
              <w:rPr>
                <w:color w:val="000000"/>
                <w:sz w:val="24"/>
                <w:szCs w:val="24"/>
              </w:rPr>
              <w:t>工序总计使用食用油</w:t>
            </w:r>
            <w:r>
              <w:rPr>
                <w:rFonts w:hint="eastAsia"/>
                <w:color w:val="000000"/>
                <w:sz w:val="24"/>
                <w:szCs w:val="24"/>
              </w:rPr>
              <w:t>8</w:t>
            </w:r>
            <w:r>
              <w:rPr>
                <w:color w:val="000000"/>
                <w:sz w:val="24"/>
                <w:szCs w:val="24"/>
              </w:rPr>
              <w:t>0t/a，产品带走油量</w:t>
            </w:r>
            <w:r>
              <w:rPr>
                <w:rFonts w:hint="eastAsia"/>
                <w:color w:val="000000"/>
                <w:sz w:val="24"/>
                <w:szCs w:val="24"/>
              </w:rPr>
              <w:t>76</w:t>
            </w:r>
            <w:r>
              <w:rPr>
                <w:color w:val="000000"/>
                <w:sz w:val="24"/>
                <w:szCs w:val="24"/>
              </w:rPr>
              <w:t>t/a，油烟挥发量一般为拥有量的</w:t>
            </w:r>
            <w:r>
              <w:rPr>
                <w:rFonts w:hint="eastAsia"/>
                <w:color w:val="000000"/>
                <w:sz w:val="24"/>
                <w:szCs w:val="24"/>
              </w:rPr>
              <w:t>0.</w:t>
            </w:r>
            <w:r>
              <w:rPr>
                <w:color w:val="000000"/>
                <w:sz w:val="24"/>
                <w:szCs w:val="24"/>
              </w:rPr>
              <w:t>2%，油烟的排放量为</w:t>
            </w:r>
            <w:r>
              <w:rPr>
                <w:rFonts w:hint="eastAsia"/>
                <w:color w:val="000000"/>
                <w:sz w:val="24"/>
                <w:szCs w:val="24"/>
              </w:rPr>
              <w:t>0.16</w:t>
            </w:r>
            <w:r>
              <w:rPr>
                <w:color w:val="000000"/>
                <w:sz w:val="24"/>
                <w:szCs w:val="24"/>
              </w:rPr>
              <w:t>t/a，废油产生量为</w:t>
            </w:r>
            <w:r>
              <w:rPr>
                <w:rFonts w:hint="eastAsia"/>
                <w:color w:val="000000"/>
                <w:sz w:val="24"/>
                <w:szCs w:val="24"/>
              </w:rPr>
              <w:t>3.84</w:t>
            </w:r>
            <w:r>
              <w:rPr>
                <w:color w:val="000000"/>
                <w:sz w:val="24"/>
                <w:szCs w:val="24"/>
              </w:rPr>
              <w:t>t/a由有资质的废油回收公司回收。</w:t>
            </w:r>
          </w:p>
          <w:p w14:paraId="5E600199">
            <w:pPr>
              <w:spacing w:line="360" w:lineRule="auto"/>
              <w:ind w:firstLine="480" w:firstLineChars="200"/>
              <w:rPr>
                <w:color w:val="000000"/>
                <w:sz w:val="24"/>
                <w:szCs w:val="24"/>
              </w:rPr>
            </w:pPr>
            <w:r>
              <w:rPr>
                <w:rFonts w:hint="eastAsia"/>
                <w:color w:val="000000"/>
                <w:sz w:val="24"/>
                <w:szCs w:val="24"/>
              </w:rPr>
              <w:t>S8</w:t>
            </w:r>
            <w:r>
              <w:rPr>
                <w:color w:val="000000"/>
                <w:sz w:val="24"/>
                <w:szCs w:val="24"/>
              </w:rPr>
              <w:t>生活垃圾</w:t>
            </w:r>
          </w:p>
          <w:p w14:paraId="69E62607">
            <w:pPr>
              <w:spacing w:line="360" w:lineRule="auto"/>
              <w:ind w:firstLine="480" w:firstLineChars="200"/>
              <w:rPr>
                <w:color w:val="000000"/>
                <w:sz w:val="24"/>
                <w:szCs w:val="24"/>
              </w:rPr>
            </w:pPr>
            <w:r>
              <w:rPr>
                <w:color w:val="000000"/>
                <w:sz w:val="24"/>
                <w:szCs w:val="24"/>
              </w:rPr>
              <w:t>项目营运期生活垃圾主要为员工的生活垃圾。员工生活垃圾产生量按每人0.5kg/d计，项目共有职工20人，年工作300天，则生活垃圾产生量为25kg/d（7.5t/a）。收集后委托环卫部门统</w:t>
            </w:r>
            <w:r>
              <w:rPr>
                <w:b/>
                <w:bCs/>
                <w:color w:val="000000"/>
                <w:sz w:val="24"/>
                <w:szCs w:val="24"/>
              </w:rPr>
              <w:t>一</w:t>
            </w:r>
            <w:r>
              <w:rPr>
                <w:color w:val="000000"/>
                <w:sz w:val="24"/>
                <w:szCs w:val="24"/>
              </w:rPr>
              <w:t>清运。</w:t>
            </w:r>
          </w:p>
          <w:p w14:paraId="575347CD">
            <w:pPr>
              <w:tabs>
                <w:tab w:val="left" w:pos="2196"/>
              </w:tabs>
              <w:spacing w:line="360" w:lineRule="auto"/>
              <w:jc w:val="center"/>
              <w:rPr>
                <w:b/>
                <w:color w:val="000000"/>
                <w:sz w:val="24"/>
                <w:szCs w:val="24"/>
              </w:rPr>
            </w:pPr>
            <w:r>
              <w:rPr>
                <w:b/>
                <w:color w:val="000000"/>
                <w:sz w:val="24"/>
                <w:szCs w:val="24"/>
              </w:rPr>
              <w:t>表4-</w:t>
            </w:r>
            <w:r>
              <w:rPr>
                <w:rFonts w:hint="eastAsia"/>
                <w:b/>
                <w:color w:val="000000"/>
                <w:sz w:val="24"/>
                <w:szCs w:val="24"/>
              </w:rPr>
              <w:t>19</w:t>
            </w:r>
            <w:r>
              <w:rPr>
                <w:b/>
                <w:color w:val="000000"/>
                <w:sz w:val="24"/>
                <w:szCs w:val="24"/>
              </w:rPr>
              <w:t xml:space="preserve">  固体废物信息表  单位：t/a</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54"/>
              <w:gridCol w:w="824"/>
              <w:gridCol w:w="922"/>
              <w:gridCol w:w="730"/>
              <w:gridCol w:w="1420"/>
              <w:gridCol w:w="707"/>
              <w:gridCol w:w="854"/>
              <w:gridCol w:w="955"/>
              <w:gridCol w:w="1527"/>
            </w:tblGrid>
            <w:tr w14:paraId="1B272C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26" w:type="pct"/>
                  <w:vAlign w:val="center"/>
                </w:tcPr>
                <w:p w14:paraId="1FCC0EE2">
                  <w:pPr>
                    <w:pStyle w:val="50"/>
                    <w:spacing w:beforeLines="0" w:line="240" w:lineRule="auto"/>
                    <w:rPr>
                      <w:rFonts w:ascii="Times New Roman" w:hAnsi="Times New Roman"/>
                      <w:b/>
                      <w:bCs/>
                      <w:szCs w:val="21"/>
                    </w:rPr>
                  </w:pPr>
                  <w:r>
                    <w:rPr>
                      <w:rFonts w:ascii="Times New Roman" w:hAnsi="Times New Roman"/>
                      <w:b/>
                      <w:bCs/>
                      <w:szCs w:val="21"/>
                    </w:rPr>
                    <w:t>序号</w:t>
                  </w:r>
                </w:p>
              </w:tc>
              <w:tc>
                <w:tcPr>
                  <w:tcW w:w="485" w:type="pct"/>
                  <w:vAlign w:val="center"/>
                </w:tcPr>
                <w:p w14:paraId="1D6A1E14">
                  <w:pPr>
                    <w:pStyle w:val="50"/>
                    <w:spacing w:beforeLines="0" w:line="240" w:lineRule="auto"/>
                    <w:rPr>
                      <w:rFonts w:ascii="Times New Roman" w:hAnsi="Times New Roman"/>
                      <w:b/>
                      <w:bCs/>
                      <w:szCs w:val="21"/>
                    </w:rPr>
                  </w:pPr>
                  <w:r>
                    <w:rPr>
                      <w:rFonts w:ascii="Times New Roman" w:hAnsi="Times New Roman"/>
                      <w:b/>
                      <w:bCs/>
                      <w:szCs w:val="21"/>
                    </w:rPr>
                    <w:t>产污环节名称</w:t>
                  </w:r>
                </w:p>
              </w:tc>
              <w:tc>
                <w:tcPr>
                  <w:tcW w:w="542" w:type="pct"/>
                  <w:vAlign w:val="center"/>
                </w:tcPr>
                <w:p w14:paraId="782885DE">
                  <w:pPr>
                    <w:pStyle w:val="50"/>
                    <w:spacing w:beforeLines="0" w:line="240" w:lineRule="auto"/>
                    <w:rPr>
                      <w:rFonts w:ascii="Times New Roman" w:hAnsi="Times New Roman"/>
                      <w:b/>
                      <w:bCs/>
                      <w:szCs w:val="21"/>
                    </w:rPr>
                  </w:pPr>
                  <w:r>
                    <w:rPr>
                      <w:rFonts w:ascii="Times New Roman" w:hAnsi="Times New Roman"/>
                      <w:b/>
                      <w:bCs/>
                      <w:szCs w:val="21"/>
                    </w:rPr>
                    <w:t>固体废物名称</w:t>
                  </w:r>
                </w:p>
              </w:tc>
              <w:tc>
                <w:tcPr>
                  <w:tcW w:w="429" w:type="pct"/>
                  <w:vAlign w:val="center"/>
                </w:tcPr>
                <w:p w14:paraId="07F6E082">
                  <w:pPr>
                    <w:pStyle w:val="50"/>
                    <w:spacing w:beforeLines="0" w:line="240" w:lineRule="auto"/>
                    <w:rPr>
                      <w:rFonts w:ascii="Times New Roman" w:hAnsi="Times New Roman"/>
                      <w:b/>
                      <w:bCs/>
                      <w:szCs w:val="21"/>
                    </w:rPr>
                  </w:pPr>
                  <w:r>
                    <w:rPr>
                      <w:rFonts w:ascii="Times New Roman" w:hAnsi="Times New Roman"/>
                      <w:b/>
                      <w:bCs/>
                      <w:szCs w:val="21"/>
                    </w:rPr>
                    <w:t>属性</w:t>
                  </w:r>
                </w:p>
              </w:tc>
              <w:tc>
                <w:tcPr>
                  <w:tcW w:w="835" w:type="pct"/>
                  <w:vAlign w:val="center"/>
                </w:tcPr>
                <w:p w14:paraId="6B9374D4">
                  <w:pPr>
                    <w:pStyle w:val="50"/>
                    <w:spacing w:beforeLines="0" w:line="240" w:lineRule="auto"/>
                    <w:rPr>
                      <w:rFonts w:ascii="Times New Roman" w:hAnsi="Times New Roman"/>
                      <w:b/>
                      <w:bCs/>
                      <w:szCs w:val="21"/>
                    </w:rPr>
                  </w:pPr>
                  <w:r>
                    <w:rPr>
                      <w:rFonts w:ascii="Times New Roman" w:hAnsi="Times New Roman"/>
                      <w:b/>
                      <w:bCs/>
                      <w:szCs w:val="21"/>
                    </w:rPr>
                    <w:t>固废代码</w:t>
                  </w:r>
                </w:p>
              </w:tc>
              <w:tc>
                <w:tcPr>
                  <w:tcW w:w="416" w:type="pct"/>
                  <w:vAlign w:val="center"/>
                </w:tcPr>
                <w:p w14:paraId="65C46472">
                  <w:pPr>
                    <w:pStyle w:val="50"/>
                    <w:spacing w:beforeLines="0" w:line="240" w:lineRule="auto"/>
                    <w:rPr>
                      <w:rFonts w:ascii="Times New Roman" w:hAnsi="Times New Roman"/>
                      <w:b/>
                      <w:bCs/>
                      <w:szCs w:val="21"/>
                    </w:rPr>
                  </w:pPr>
                  <w:r>
                    <w:rPr>
                      <w:rFonts w:ascii="Times New Roman" w:hAnsi="Times New Roman"/>
                      <w:b/>
                      <w:bCs/>
                      <w:szCs w:val="21"/>
                    </w:rPr>
                    <w:t>物理性状</w:t>
                  </w:r>
                </w:p>
              </w:tc>
              <w:tc>
                <w:tcPr>
                  <w:tcW w:w="502" w:type="pct"/>
                  <w:vAlign w:val="center"/>
                </w:tcPr>
                <w:p w14:paraId="53B992A8">
                  <w:pPr>
                    <w:pStyle w:val="50"/>
                    <w:spacing w:beforeLines="0" w:line="240" w:lineRule="auto"/>
                    <w:rPr>
                      <w:rFonts w:ascii="Times New Roman" w:hAnsi="Times New Roman"/>
                      <w:b/>
                      <w:bCs/>
                      <w:szCs w:val="21"/>
                    </w:rPr>
                  </w:pPr>
                  <w:r>
                    <w:rPr>
                      <w:rFonts w:ascii="Times New Roman" w:hAnsi="Times New Roman"/>
                      <w:b/>
                      <w:bCs/>
                      <w:szCs w:val="21"/>
                    </w:rPr>
                    <w:t>产生量</w:t>
                  </w:r>
                </w:p>
              </w:tc>
              <w:tc>
                <w:tcPr>
                  <w:tcW w:w="562" w:type="pct"/>
                  <w:vAlign w:val="center"/>
                </w:tcPr>
                <w:p w14:paraId="4A1151C8">
                  <w:pPr>
                    <w:pStyle w:val="50"/>
                    <w:spacing w:beforeLines="0" w:line="240" w:lineRule="auto"/>
                    <w:rPr>
                      <w:rFonts w:ascii="Times New Roman" w:hAnsi="Times New Roman"/>
                      <w:b/>
                      <w:bCs/>
                      <w:szCs w:val="21"/>
                    </w:rPr>
                  </w:pPr>
                  <w:r>
                    <w:rPr>
                      <w:rFonts w:ascii="Times New Roman" w:hAnsi="Times New Roman"/>
                      <w:b/>
                      <w:bCs/>
                      <w:szCs w:val="21"/>
                    </w:rPr>
                    <w:t>贮存</w:t>
                  </w:r>
                </w:p>
                <w:p w14:paraId="6688A71C">
                  <w:pPr>
                    <w:pStyle w:val="50"/>
                    <w:spacing w:beforeLines="0" w:line="240" w:lineRule="auto"/>
                    <w:rPr>
                      <w:rFonts w:ascii="Times New Roman" w:hAnsi="Times New Roman"/>
                      <w:b/>
                      <w:bCs/>
                      <w:szCs w:val="21"/>
                    </w:rPr>
                  </w:pPr>
                  <w:r>
                    <w:rPr>
                      <w:rFonts w:ascii="Times New Roman" w:hAnsi="Times New Roman"/>
                      <w:b/>
                      <w:bCs/>
                      <w:szCs w:val="21"/>
                    </w:rPr>
                    <w:t>方式</w:t>
                  </w:r>
                </w:p>
              </w:tc>
              <w:tc>
                <w:tcPr>
                  <w:tcW w:w="898" w:type="pct"/>
                  <w:vAlign w:val="center"/>
                </w:tcPr>
                <w:p w14:paraId="3DE0FD5E">
                  <w:pPr>
                    <w:pStyle w:val="50"/>
                    <w:spacing w:beforeLines="0" w:line="240" w:lineRule="auto"/>
                    <w:rPr>
                      <w:rFonts w:ascii="Times New Roman" w:hAnsi="Times New Roman"/>
                      <w:b/>
                      <w:bCs/>
                      <w:szCs w:val="21"/>
                    </w:rPr>
                  </w:pPr>
                  <w:r>
                    <w:rPr>
                      <w:rFonts w:ascii="Times New Roman" w:hAnsi="Times New Roman"/>
                      <w:b/>
                      <w:bCs/>
                      <w:szCs w:val="21"/>
                    </w:rPr>
                    <w:t>利用处置方式</w:t>
                  </w:r>
                </w:p>
              </w:tc>
            </w:tr>
            <w:tr w14:paraId="65FC0B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26" w:type="pct"/>
                  <w:vAlign w:val="center"/>
                </w:tcPr>
                <w:p w14:paraId="148651D9">
                  <w:pPr>
                    <w:pStyle w:val="50"/>
                    <w:spacing w:beforeLines="0" w:line="240" w:lineRule="auto"/>
                    <w:rPr>
                      <w:rFonts w:ascii="Times New Roman" w:hAnsi="Times New Roman"/>
                      <w:szCs w:val="21"/>
                    </w:rPr>
                  </w:pPr>
                  <w:r>
                    <w:rPr>
                      <w:rFonts w:ascii="Times New Roman" w:hAnsi="Times New Roman"/>
                      <w:szCs w:val="21"/>
                    </w:rPr>
                    <w:t>1</w:t>
                  </w:r>
                </w:p>
              </w:tc>
              <w:tc>
                <w:tcPr>
                  <w:tcW w:w="485" w:type="pct"/>
                  <w:vAlign w:val="center"/>
                </w:tcPr>
                <w:p w14:paraId="43D23F37">
                  <w:pPr>
                    <w:pStyle w:val="50"/>
                    <w:spacing w:beforeLines="0" w:line="240" w:lineRule="auto"/>
                    <w:rPr>
                      <w:rFonts w:ascii="Times New Roman" w:hAnsi="Times New Roman"/>
                      <w:color w:val="000000"/>
                      <w:szCs w:val="21"/>
                    </w:rPr>
                  </w:pPr>
                  <w:r>
                    <w:rPr>
                      <w:rFonts w:ascii="Times New Roman" w:hAnsi="Times New Roman"/>
                      <w:color w:val="000000"/>
                      <w:szCs w:val="21"/>
                    </w:rPr>
                    <w:t>软水制备</w:t>
                  </w:r>
                </w:p>
              </w:tc>
              <w:tc>
                <w:tcPr>
                  <w:tcW w:w="542" w:type="pct"/>
                  <w:vAlign w:val="center"/>
                </w:tcPr>
                <w:p w14:paraId="71A7E3D9">
                  <w:pPr>
                    <w:pStyle w:val="50"/>
                    <w:spacing w:beforeLines="0" w:line="240" w:lineRule="auto"/>
                    <w:rPr>
                      <w:rFonts w:ascii="Times New Roman" w:hAnsi="Times New Roman"/>
                      <w:color w:val="000000"/>
                      <w:szCs w:val="21"/>
                    </w:rPr>
                  </w:pPr>
                  <w:r>
                    <w:rPr>
                      <w:rFonts w:ascii="Times New Roman" w:hAnsi="Times New Roman"/>
                      <w:color w:val="000000"/>
                      <w:szCs w:val="21"/>
                    </w:rPr>
                    <w:t>废离子交换树脂</w:t>
                  </w:r>
                </w:p>
              </w:tc>
              <w:tc>
                <w:tcPr>
                  <w:tcW w:w="429" w:type="pct"/>
                  <w:vAlign w:val="center"/>
                </w:tcPr>
                <w:p w14:paraId="5C7C564D">
                  <w:pPr>
                    <w:pStyle w:val="50"/>
                    <w:spacing w:beforeLines="0" w:line="240" w:lineRule="auto"/>
                    <w:rPr>
                      <w:rFonts w:ascii="Times New Roman" w:hAnsi="Times New Roman"/>
                      <w:szCs w:val="21"/>
                    </w:rPr>
                  </w:pPr>
                  <w:r>
                    <w:rPr>
                      <w:rFonts w:ascii="Times New Roman" w:hAnsi="Times New Roman"/>
                      <w:szCs w:val="21"/>
                    </w:rPr>
                    <w:t>/</w:t>
                  </w:r>
                </w:p>
              </w:tc>
              <w:tc>
                <w:tcPr>
                  <w:tcW w:w="835" w:type="pct"/>
                  <w:vAlign w:val="center"/>
                </w:tcPr>
                <w:p w14:paraId="121B7F44">
                  <w:pPr>
                    <w:pStyle w:val="50"/>
                    <w:spacing w:beforeLines="0" w:line="240" w:lineRule="auto"/>
                    <w:rPr>
                      <w:rFonts w:ascii="Times New Roman" w:hAnsi="Times New Roman"/>
                      <w:szCs w:val="21"/>
                    </w:rPr>
                  </w:pPr>
                  <w:r>
                    <w:rPr>
                      <w:rFonts w:ascii="Times New Roman" w:hAnsi="Times New Roman"/>
                      <w:szCs w:val="21"/>
                    </w:rPr>
                    <w:t>/</w:t>
                  </w:r>
                </w:p>
              </w:tc>
              <w:tc>
                <w:tcPr>
                  <w:tcW w:w="416" w:type="pct"/>
                  <w:vAlign w:val="center"/>
                </w:tcPr>
                <w:p w14:paraId="7D590A13">
                  <w:pPr>
                    <w:pStyle w:val="50"/>
                    <w:spacing w:beforeLines="0" w:line="240" w:lineRule="auto"/>
                    <w:rPr>
                      <w:rFonts w:ascii="Times New Roman" w:hAnsi="Times New Roman"/>
                      <w:szCs w:val="21"/>
                    </w:rPr>
                  </w:pPr>
                  <w:r>
                    <w:rPr>
                      <w:rFonts w:ascii="Times New Roman" w:hAnsi="Times New Roman"/>
                      <w:szCs w:val="21"/>
                    </w:rPr>
                    <w:t>固态</w:t>
                  </w:r>
                </w:p>
              </w:tc>
              <w:tc>
                <w:tcPr>
                  <w:tcW w:w="502" w:type="pct"/>
                  <w:vAlign w:val="center"/>
                </w:tcPr>
                <w:p w14:paraId="4FBCB892">
                  <w:pPr>
                    <w:pStyle w:val="50"/>
                    <w:spacing w:beforeLines="0" w:line="240" w:lineRule="auto"/>
                    <w:rPr>
                      <w:rFonts w:ascii="Times New Roman" w:hAnsi="Times New Roman"/>
                      <w:szCs w:val="21"/>
                    </w:rPr>
                  </w:pPr>
                  <w:r>
                    <w:rPr>
                      <w:rFonts w:ascii="Times New Roman" w:hAnsi="Times New Roman"/>
                      <w:szCs w:val="21"/>
                    </w:rPr>
                    <w:t>0.5t/a</w:t>
                  </w:r>
                </w:p>
              </w:tc>
              <w:tc>
                <w:tcPr>
                  <w:tcW w:w="562" w:type="pct"/>
                  <w:tcBorders>
                    <w:bottom w:val="single" w:color="auto" w:sz="4" w:space="0"/>
                  </w:tcBorders>
                  <w:vAlign w:val="center"/>
                </w:tcPr>
                <w:p w14:paraId="26747185">
                  <w:pPr>
                    <w:pStyle w:val="50"/>
                    <w:spacing w:beforeLines="0" w:line="240" w:lineRule="auto"/>
                    <w:rPr>
                      <w:rFonts w:ascii="Times New Roman" w:hAnsi="Times New Roman"/>
                      <w:szCs w:val="21"/>
                    </w:rPr>
                  </w:pPr>
                  <w:r>
                    <w:rPr>
                      <w:rFonts w:ascii="Times New Roman" w:hAnsi="Times New Roman"/>
                      <w:szCs w:val="21"/>
                    </w:rPr>
                    <w:t>/</w:t>
                  </w:r>
                </w:p>
              </w:tc>
              <w:tc>
                <w:tcPr>
                  <w:tcW w:w="898" w:type="pct"/>
                  <w:tcBorders>
                    <w:bottom w:val="single" w:color="auto" w:sz="4" w:space="0"/>
                  </w:tcBorders>
                  <w:vAlign w:val="center"/>
                </w:tcPr>
                <w:p w14:paraId="7D7962AE">
                  <w:pPr>
                    <w:pStyle w:val="127"/>
                    <w:adjustRightInd w:val="0"/>
                    <w:snapToGrid w:val="0"/>
                    <w:jc w:val="center"/>
                  </w:pPr>
                  <w:r>
                    <w:rPr>
                      <w:color w:val="000000"/>
                    </w:rPr>
                    <w:t>厂家更换回收</w:t>
                  </w:r>
                </w:p>
              </w:tc>
            </w:tr>
            <w:tr w14:paraId="0404FD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26" w:type="pct"/>
                  <w:vAlign w:val="center"/>
                </w:tcPr>
                <w:p w14:paraId="34D5D492">
                  <w:pPr>
                    <w:pStyle w:val="50"/>
                    <w:spacing w:beforeLines="0" w:line="240" w:lineRule="auto"/>
                    <w:rPr>
                      <w:rFonts w:ascii="Times New Roman" w:hAnsi="Times New Roman"/>
                      <w:szCs w:val="21"/>
                    </w:rPr>
                  </w:pPr>
                  <w:r>
                    <w:rPr>
                      <w:rFonts w:ascii="Times New Roman" w:hAnsi="Times New Roman"/>
                      <w:szCs w:val="21"/>
                    </w:rPr>
                    <w:t>2</w:t>
                  </w:r>
                </w:p>
              </w:tc>
              <w:tc>
                <w:tcPr>
                  <w:tcW w:w="485" w:type="pct"/>
                  <w:vAlign w:val="center"/>
                </w:tcPr>
                <w:p w14:paraId="1C6E58A5">
                  <w:pPr>
                    <w:pStyle w:val="50"/>
                    <w:spacing w:beforeLines="0" w:line="240" w:lineRule="auto"/>
                    <w:rPr>
                      <w:rFonts w:ascii="Times New Roman" w:hAnsi="Times New Roman"/>
                      <w:szCs w:val="21"/>
                    </w:rPr>
                  </w:pPr>
                  <w:r>
                    <w:rPr>
                      <w:rFonts w:ascii="Times New Roman" w:hAnsi="Times New Roman"/>
                      <w:szCs w:val="21"/>
                    </w:rPr>
                    <w:t>锅炉</w:t>
                  </w:r>
                </w:p>
              </w:tc>
              <w:tc>
                <w:tcPr>
                  <w:tcW w:w="542" w:type="pct"/>
                  <w:vAlign w:val="center"/>
                </w:tcPr>
                <w:p w14:paraId="60216BDF">
                  <w:pPr>
                    <w:pStyle w:val="50"/>
                    <w:spacing w:beforeLines="0" w:line="240" w:lineRule="auto"/>
                    <w:rPr>
                      <w:rFonts w:ascii="Times New Roman" w:hAnsi="Times New Roman"/>
                      <w:szCs w:val="21"/>
                    </w:rPr>
                  </w:pPr>
                  <w:r>
                    <w:rPr>
                      <w:rFonts w:ascii="Times New Roman" w:hAnsi="Times New Roman"/>
                      <w:szCs w:val="21"/>
                    </w:rPr>
                    <w:t>锅炉灰渣</w:t>
                  </w:r>
                </w:p>
              </w:tc>
              <w:tc>
                <w:tcPr>
                  <w:tcW w:w="429" w:type="pct"/>
                  <w:vAlign w:val="center"/>
                </w:tcPr>
                <w:p w14:paraId="3C550C34">
                  <w:pPr>
                    <w:adjustRightInd w:val="0"/>
                    <w:snapToGrid w:val="0"/>
                    <w:jc w:val="center"/>
                    <w:rPr>
                      <w:szCs w:val="21"/>
                    </w:rPr>
                  </w:pPr>
                  <w:r>
                    <w:rPr>
                      <w:szCs w:val="21"/>
                    </w:rPr>
                    <w:t>一般固废</w:t>
                  </w:r>
                </w:p>
              </w:tc>
              <w:tc>
                <w:tcPr>
                  <w:tcW w:w="835" w:type="pct"/>
                  <w:vAlign w:val="center"/>
                </w:tcPr>
                <w:p w14:paraId="356C04C4">
                  <w:pPr>
                    <w:adjustRightInd w:val="0"/>
                    <w:snapToGrid w:val="0"/>
                    <w:jc w:val="center"/>
                    <w:rPr>
                      <w:szCs w:val="21"/>
                    </w:rPr>
                  </w:pPr>
                  <w:r>
                    <w:rPr>
                      <w:szCs w:val="21"/>
                    </w:rPr>
                    <w:t>900-099-S03</w:t>
                  </w:r>
                </w:p>
              </w:tc>
              <w:tc>
                <w:tcPr>
                  <w:tcW w:w="416" w:type="pct"/>
                  <w:vAlign w:val="center"/>
                </w:tcPr>
                <w:p w14:paraId="0C086502">
                  <w:pPr>
                    <w:adjustRightInd w:val="0"/>
                    <w:snapToGrid w:val="0"/>
                    <w:jc w:val="center"/>
                    <w:rPr>
                      <w:szCs w:val="21"/>
                    </w:rPr>
                  </w:pPr>
                  <w:r>
                    <w:rPr>
                      <w:szCs w:val="21"/>
                    </w:rPr>
                    <w:t>固态</w:t>
                  </w:r>
                </w:p>
              </w:tc>
              <w:tc>
                <w:tcPr>
                  <w:tcW w:w="502" w:type="pct"/>
                  <w:vAlign w:val="center"/>
                </w:tcPr>
                <w:p w14:paraId="6F22A306">
                  <w:pPr>
                    <w:pStyle w:val="50"/>
                    <w:spacing w:beforeLines="0" w:line="240" w:lineRule="auto"/>
                    <w:rPr>
                      <w:rFonts w:ascii="Times New Roman" w:hAnsi="Times New Roman"/>
                      <w:szCs w:val="21"/>
                    </w:rPr>
                  </w:pPr>
                  <w:r>
                    <w:rPr>
                      <w:rFonts w:ascii="Times New Roman" w:hAnsi="Times New Roman"/>
                      <w:szCs w:val="21"/>
                    </w:rPr>
                    <w:t>288t/a</w:t>
                  </w:r>
                </w:p>
              </w:tc>
              <w:tc>
                <w:tcPr>
                  <w:tcW w:w="562" w:type="pct"/>
                  <w:vAlign w:val="center"/>
                </w:tcPr>
                <w:p w14:paraId="7629F79D">
                  <w:pPr>
                    <w:pStyle w:val="21"/>
                    <w:widowControl w:val="0"/>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一般固废暂存间</w:t>
                  </w:r>
                </w:p>
              </w:tc>
              <w:tc>
                <w:tcPr>
                  <w:tcW w:w="898" w:type="pct"/>
                  <w:vMerge w:val="restart"/>
                  <w:vAlign w:val="center"/>
                </w:tcPr>
                <w:p w14:paraId="2108C36D">
                  <w:pPr>
                    <w:pStyle w:val="127"/>
                    <w:adjustRightInd w:val="0"/>
                    <w:snapToGrid w:val="0"/>
                    <w:jc w:val="center"/>
                  </w:pPr>
                  <w:r>
                    <w:rPr>
                      <w:color w:val="000000"/>
                    </w:rPr>
                    <w:t>统一收集后外售综合利用</w:t>
                  </w:r>
                </w:p>
              </w:tc>
            </w:tr>
            <w:tr w14:paraId="4D7A8D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26" w:type="pct"/>
                  <w:vAlign w:val="center"/>
                </w:tcPr>
                <w:p w14:paraId="2CE6C020">
                  <w:pPr>
                    <w:pStyle w:val="50"/>
                    <w:spacing w:beforeLines="0" w:line="240" w:lineRule="auto"/>
                    <w:rPr>
                      <w:rFonts w:ascii="Times New Roman" w:hAnsi="Times New Roman"/>
                      <w:szCs w:val="21"/>
                    </w:rPr>
                  </w:pPr>
                  <w:r>
                    <w:rPr>
                      <w:rFonts w:ascii="Times New Roman" w:hAnsi="Times New Roman"/>
                      <w:szCs w:val="21"/>
                    </w:rPr>
                    <w:t>3</w:t>
                  </w:r>
                </w:p>
              </w:tc>
              <w:tc>
                <w:tcPr>
                  <w:tcW w:w="485" w:type="pct"/>
                  <w:vAlign w:val="center"/>
                </w:tcPr>
                <w:p w14:paraId="70F98EE3">
                  <w:pPr>
                    <w:pStyle w:val="50"/>
                    <w:spacing w:beforeLines="0" w:line="240" w:lineRule="auto"/>
                    <w:rPr>
                      <w:rFonts w:ascii="Times New Roman" w:hAnsi="Times New Roman"/>
                      <w:szCs w:val="21"/>
                    </w:rPr>
                  </w:pPr>
                  <w:r>
                    <w:rPr>
                      <w:rFonts w:ascii="Times New Roman" w:hAnsi="Times New Roman"/>
                      <w:szCs w:val="21"/>
                    </w:rPr>
                    <w:t>生产车间</w:t>
                  </w:r>
                </w:p>
              </w:tc>
              <w:tc>
                <w:tcPr>
                  <w:tcW w:w="542" w:type="pct"/>
                  <w:vAlign w:val="center"/>
                </w:tcPr>
                <w:p w14:paraId="687DADE6">
                  <w:pPr>
                    <w:pStyle w:val="50"/>
                    <w:spacing w:beforeLines="0" w:line="240" w:lineRule="auto"/>
                    <w:rPr>
                      <w:rFonts w:ascii="Times New Roman" w:hAnsi="Times New Roman"/>
                      <w:color w:val="000000"/>
                      <w:szCs w:val="21"/>
                    </w:rPr>
                  </w:pPr>
                  <w:r>
                    <w:rPr>
                      <w:rFonts w:ascii="Times New Roman" w:hAnsi="Times New Roman"/>
                      <w:color w:val="000000"/>
                      <w:szCs w:val="21"/>
                    </w:rPr>
                    <w:t>废边角料和不合格产品</w:t>
                  </w:r>
                </w:p>
              </w:tc>
              <w:tc>
                <w:tcPr>
                  <w:tcW w:w="429" w:type="pct"/>
                  <w:vAlign w:val="center"/>
                </w:tcPr>
                <w:p w14:paraId="0F7630E3">
                  <w:pPr>
                    <w:pStyle w:val="50"/>
                    <w:spacing w:beforeLines="0" w:line="240" w:lineRule="auto"/>
                    <w:rPr>
                      <w:rFonts w:ascii="Times New Roman" w:hAnsi="Times New Roman"/>
                      <w:color w:val="000000"/>
                      <w:szCs w:val="21"/>
                    </w:rPr>
                  </w:pPr>
                  <w:r>
                    <w:rPr>
                      <w:rFonts w:ascii="Times New Roman" w:hAnsi="Times New Roman"/>
                      <w:color w:val="000000"/>
                      <w:szCs w:val="21"/>
                    </w:rPr>
                    <w:t>一般固废</w:t>
                  </w:r>
                </w:p>
              </w:tc>
              <w:tc>
                <w:tcPr>
                  <w:tcW w:w="835" w:type="pct"/>
                  <w:vAlign w:val="center"/>
                </w:tcPr>
                <w:p w14:paraId="1E5EC53A">
                  <w:pPr>
                    <w:pStyle w:val="50"/>
                    <w:spacing w:beforeLines="0" w:line="240" w:lineRule="auto"/>
                    <w:rPr>
                      <w:rFonts w:ascii="Times New Roman" w:hAnsi="Times New Roman"/>
                      <w:color w:val="000000"/>
                      <w:szCs w:val="21"/>
                    </w:rPr>
                  </w:pPr>
                  <w:r>
                    <w:rPr>
                      <w:rFonts w:ascii="Times New Roman" w:hAnsi="Times New Roman"/>
                      <w:color w:val="000000"/>
                      <w:szCs w:val="21"/>
                    </w:rPr>
                    <w:t>900-099-S13</w:t>
                  </w:r>
                </w:p>
              </w:tc>
              <w:tc>
                <w:tcPr>
                  <w:tcW w:w="416" w:type="pct"/>
                  <w:vAlign w:val="center"/>
                </w:tcPr>
                <w:p w14:paraId="6CD514C2">
                  <w:pPr>
                    <w:pStyle w:val="50"/>
                    <w:spacing w:beforeLines="0" w:line="240" w:lineRule="auto"/>
                    <w:rPr>
                      <w:rFonts w:ascii="Times New Roman" w:hAnsi="Times New Roman"/>
                      <w:color w:val="000000"/>
                      <w:szCs w:val="21"/>
                    </w:rPr>
                  </w:pPr>
                  <w:r>
                    <w:rPr>
                      <w:rFonts w:ascii="Times New Roman" w:hAnsi="Times New Roman"/>
                      <w:color w:val="000000"/>
                      <w:szCs w:val="21"/>
                    </w:rPr>
                    <w:t>固态</w:t>
                  </w:r>
                </w:p>
              </w:tc>
              <w:tc>
                <w:tcPr>
                  <w:tcW w:w="502" w:type="pct"/>
                  <w:vAlign w:val="center"/>
                </w:tcPr>
                <w:p w14:paraId="63CFEFC3">
                  <w:pPr>
                    <w:pStyle w:val="50"/>
                    <w:spacing w:beforeLines="0" w:line="240" w:lineRule="auto"/>
                    <w:rPr>
                      <w:rFonts w:ascii="Times New Roman" w:hAnsi="Times New Roman"/>
                      <w:szCs w:val="21"/>
                    </w:rPr>
                  </w:pPr>
                  <w:r>
                    <w:rPr>
                      <w:rFonts w:hint="eastAsia" w:ascii="Times New Roman" w:hAnsi="Times New Roman"/>
                      <w:szCs w:val="21"/>
                    </w:rPr>
                    <w:t>385.09</w:t>
                  </w:r>
                  <w:r>
                    <w:rPr>
                      <w:rFonts w:ascii="Times New Roman" w:hAnsi="Times New Roman"/>
                      <w:szCs w:val="21"/>
                    </w:rPr>
                    <w:t>t/a</w:t>
                  </w:r>
                </w:p>
              </w:tc>
              <w:tc>
                <w:tcPr>
                  <w:tcW w:w="562" w:type="pct"/>
                  <w:vAlign w:val="center"/>
                </w:tcPr>
                <w:p w14:paraId="7BE1BF60">
                  <w:pPr>
                    <w:pStyle w:val="21"/>
                    <w:widowControl w:val="0"/>
                    <w:adjustRightInd w:val="0"/>
                    <w:snapToGrid w:val="0"/>
                    <w:spacing w:before="0" w:beforeAutospacing="0" w:after="0" w:afterAutospacing="0"/>
                    <w:jc w:val="center"/>
                    <w:rPr>
                      <w:rFonts w:ascii="Times New Roman" w:hAnsi="Times New Roman"/>
                      <w:sz w:val="21"/>
                      <w:szCs w:val="21"/>
                    </w:rPr>
                  </w:pPr>
                  <w:r>
                    <w:rPr>
                      <w:rFonts w:hint="eastAsia" w:ascii="Times New Roman" w:hAnsi="Times New Roman"/>
                      <w:sz w:val="21"/>
                      <w:szCs w:val="21"/>
                    </w:rPr>
                    <w:t>冻库</w:t>
                  </w:r>
                </w:p>
              </w:tc>
              <w:tc>
                <w:tcPr>
                  <w:tcW w:w="898" w:type="pct"/>
                  <w:vMerge w:val="continue"/>
                  <w:vAlign w:val="center"/>
                </w:tcPr>
                <w:p w14:paraId="00206F95">
                  <w:pPr>
                    <w:pStyle w:val="21"/>
                    <w:widowControl w:val="0"/>
                    <w:adjustRightInd w:val="0"/>
                    <w:snapToGrid w:val="0"/>
                    <w:spacing w:before="0" w:beforeAutospacing="0" w:after="0" w:afterAutospacing="0"/>
                    <w:jc w:val="center"/>
                    <w:rPr>
                      <w:rFonts w:ascii="Times New Roman" w:hAnsi="Times New Roman"/>
                      <w:sz w:val="21"/>
                      <w:szCs w:val="21"/>
                    </w:rPr>
                  </w:pPr>
                </w:p>
              </w:tc>
            </w:tr>
            <w:tr w14:paraId="74DB23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26" w:type="pct"/>
                  <w:vAlign w:val="center"/>
                </w:tcPr>
                <w:p w14:paraId="0947A3CB">
                  <w:pPr>
                    <w:pStyle w:val="50"/>
                    <w:spacing w:beforeLines="0" w:line="240" w:lineRule="auto"/>
                    <w:rPr>
                      <w:rFonts w:ascii="Times New Roman" w:hAnsi="Times New Roman"/>
                      <w:szCs w:val="21"/>
                    </w:rPr>
                  </w:pPr>
                  <w:r>
                    <w:rPr>
                      <w:rFonts w:ascii="Times New Roman" w:hAnsi="Times New Roman"/>
                      <w:szCs w:val="21"/>
                    </w:rPr>
                    <w:t>4</w:t>
                  </w:r>
                </w:p>
              </w:tc>
              <w:tc>
                <w:tcPr>
                  <w:tcW w:w="485" w:type="pct"/>
                  <w:vAlign w:val="center"/>
                </w:tcPr>
                <w:p w14:paraId="3E571235">
                  <w:pPr>
                    <w:pStyle w:val="50"/>
                    <w:spacing w:beforeLines="0" w:line="240" w:lineRule="auto"/>
                    <w:rPr>
                      <w:rFonts w:ascii="Times New Roman" w:hAnsi="Times New Roman"/>
                      <w:szCs w:val="21"/>
                    </w:rPr>
                  </w:pPr>
                  <w:r>
                    <w:rPr>
                      <w:rFonts w:ascii="Times New Roman" w:hAnsi="Times New Roman"/>
                      <w:szCs w:val="21"/>
                    </w:rPr>
                    <w:t>包装</w:t>
                  </w:r>
                </w:p>
              </w:tc>
              <w:tc>
                <w:tcPr>
                  <w:tcW w:w="542" w:type="pct"/>
                  <w:vAlign w:val="center"/>
                </w:tcPr>
                <w:p w14:paraId="22DFF6E3">
                  <w:pPr>
                    <w:pStyle w:val="50"/>
                    <w:spacing w:beforeLines="0" w:line="240" w:lineRule="auto"/>
                    <w:rPr>
                      <w:rFonts w:ascii="Times New Roman" w:hAnsi="Times New Roman"/>
                      <w:color w:val="000000"/>
                      <w:szCs w:val="21"/>
                    </w:rPr>
                  </w:pPr>
                  <w:r>
                    <w:rPr>
                      <w:rFonts w:ascii="Times New Roman" w:hAnsi="Times New Roman"/>
                      <w:color w:val="000000"/>
                      <w:szCs w:val="21"/>
                    </w:rPr>
                    <w:t>废包装材料</w:t>
                  </w:r>
                </w:p>
              </w:tc>
              <w:tc>
                <w:tcPr>
                  <w:tcW w:w="429" w:type="pct"/>
                  <w:vAlign w:val="center"/>
                </w:tcPr>
                <w:p w14:paraId="272C3599">
                  <w:pPr>
                    <w:pStyle w:val="50"/>
                    <w:spacing w:beforeLines="0" w:line="240" w:lineRule="auto"/>
                    <w:rPr>
                      <w:rFonts w:ascii="Times New Roman" w:hAnsi="Times New Roman"/>
                      <w:color w:val="000000"/>
                      <w:szCs w:val="21"/>
                    </w:rPr>
                  </w:pPr>
                  <w:r>
                    <w:rPr>
                      <w:rFonts w:ascii="Times New Roman" w:hAnsi="Times New Roman"/>
                      <w:color w:val="000000"/>
                      <w:szCs w:val="21"/>
                    </w:rPr>
                    <w:t>一般固废</w:t>
                  </w:r>
                </w:p>
              </w:tc>
              <w:tc>
                <w:tcPr>
                  <w:tcW w:w="835" w:type="pct"/>
                  <w:vAlign w:val="center"/>
                </w:tcPr>
                <w:p w14:paraId="643905D9">
                  <w:pPr>
                    <w:pStyle w:val="50"/>
                    <w:spacing w:beforeLines="0" w:line="240" w:lineRule="auto"/>
                    <w:rPr>
                      <w:rFonts w:ascii="Times New Roman" w:hAnsi="Times New Roman"/>
                      <w:color w:val="000000"/>
                      <w:szCs w:val="21"/>
                    </w:rPr>
                  </w:pPr>
                  <w:r>
                    <w:rPr>
                      <w:rFonts w:ascii="Times New Roman" w:hAnsi="Times New Roman"/>
                      <w:color w:val="000000"/>
                      <w:szCs w:val="21"/>
                    </w:rPr>
                    <w:t>900-002-S62</w:t>
                  </w:r>
                </w:p>
              </w:tc>
              <w:tc>
                <w:tcPr>
                  <w:tcW w:w="416" w:type="pct"/>
                  <w:vAlign w:val="center"/>
                </w:tcPr>
                <w:p w14:paraId="575C256F">
                  <w:pPr>
                    <w:pStyle w:val="50"/>
                    <w:spacing w:beforeLines="0" w:line="240" w:lineRule="auto"/>
                    <w:rPr>
                      <w:rFonts w:ascii="Times New Roman" w:hAnsi="Times New Roman"/>
                      <w:color w:val="000000"/>
                      <w:szCs w:val="21"/>
                    </w:rPr>
                  </w:pPr>
                  <w:r>
                    <w:rPr>
                      <w:rFonts w:ascii="Times New Roman" w:hAnsi="Times New Roman"/>
                      <w:color w:val="000000"/>
                      <w:szCs w:val="21"/>
                    </w:rPr>
                    <w:t>固态</w:t>
                  </w:r>
                </w:p>
              </w:tc>
              <w:tc>
                <w:tcPr>
                  <w:tcW w:w="502" w:type="pct"/>
                  <w:vAlign w:val="center"/>
                </w:tcPr>
                <w:p w14:paraId="07ED6546">
                  <w:pPr>
                    <w:pStyle w:val="50"/>
                    <w:spacing w:beforeLines="0" w:line="240" w:lineRule="auto"/>
                    <w:rPr>
                      <w:rFonts w:ascii="Times New Roman" w:hAnsi="Times New Roman"/>
                      <w:color w:val="000000"/>
                      <w:szCs w:val="21"/>
                    </w:rPr>
                  </w:pPr>
                  <w:r>
                    <w:rPr>
                      <w:rFonts w:ascii="Times New Roman" w:hAnsi="Times New Roman"/>
                      <w:color w:val="000000"/>
                      <w:szCs w:val="21"/>
                    </w:rPr>
                    <w:t>1.0</w:t>
                  </w:r>
                  <w:r>
                    <w:rPr>
                      <w:rFonts w:ascii="Times New Roman" w:hAnsi="Times New Roman"/>
                      <w:szCs w:val="21"/>
                    </w:rPr>
                    <w:t>t/a</w:t>
                  </w:r>
                </w:p>
              </w:tc>
              <w:tc>
                <w:tcPr>
                  <w:tcW w:w="562" w:type="pct"/>
                  <w:vAlign w:val="center"/>
                </w:tcPr>
                <w:p w14:paraId="23959C67">
                  <w:pPr>
                    <w:pStyle w:val="21"/>
                    <w:widowControl w:val="0"/>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一般固废暂存间</w:t>
                  </w:r>
                </w:p>
              </w:tc>
              <w:tc>
                <w:tcPr>
                  <w:tcW w:w="898" w:type="pct"/>
                  <w:vMerge w:val="restart"/>
                  <w:vAlign w:val="center"/>
                </w:tcPr>
                <w:p w14:paraId="65728D51">
                  <w:pPr>
                    <w:pStyle w:val="21"/>
                    <w:widowControl w:val="0"/>
                    <w:adjustRightInd w:val="0"/>
                    <w:snapToGrid w:val="0"/>
                    <w:spacing w:before="0" w:beforeAutospacing="0" w:after="0" w:afterAutospacing="0"/>
                    <w:jc w:val="center"/>
                    <w:rPr>
                      <w:rFonts w:ascii="Times New Roman" w:hAnsi="Times New Roman"/>
                      <w:sz w:val="21"/>
                      <w:szCs w:val="21"/>
                    </w:rPr>
                  </w:pPr>
                  <w:r>
                    <w:rPr>
                      <w:rFonts w:ascii="Times New Roman" w:hAnsi="Times New Roman"/>
                      <w:szCs w:val="21"/>
                    </w:rPr>
                    <w:t>环卫部门清运</w:t>
                  </w:r>
                </w:p>
              </w:tc>
            </w:tr>
            <w:tr w14:paraId="024936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26" w:type="pct"/>
                  <w:vAlign w:val="center"/>
                </w:tcPr>
                <w:p w14:paraId="5E1517D8">
                  <w:pPr>
                    <w:pStyle w:val="50"/>
                    <w:spacing w:beforeLines="0" w:line="240" w:lineRule="auto"/>
                    <w:rPr>
                      <w:rFonts w:ascii="Times New Roman" w:hAnsi="Times New Roman"/>
                      <w:szCs w:val="21"/>
                    </w:rPr>
                  </w:pPr>
                  <w:r>
                    <w:rPr>
                      <w:rFonts w:ascii="Times New Roman" w:hAnsi="Times New Roman"/>
                      <w:szCs w:val="21"/>
                    </w:rPr>
                    <w:t>5</w:t>
                  </w:r>
                </w:p>
              </w:tc>
              <w:tc>
                <w:tcPr>
                  <w:tcW w:w="485" w:type="pct"/>
                  <w:vAlign w:val="center"/>
                </w:tcPr>
                <w:p w14:paraId="0AED5BCD">
                  <w:pPr>
                    <w:pStyle w:val="50"/>
                    <w:spacing w:beforeLines="0" w:line="240" w:lineRule="auto"/>
                    <w:rPr>
                      <w:rFonts w:ascii="Times New Roman" w:hAnsi="Times New Roman"/>
                      <w:szCs w:val="21"/>
                    </w:rPr>
                  </w:pPr>
                  <w:r>
                    <w:rPr>
                      <w:rFonts w:ascii="Times New Roman" w:hAnsi="Times New Roman"/>
                      <w:szCs w:val="21"/>
                    </w:rPr>
                    <w:t>卤制</w:t>
                  </w:r>
                </w:p>
              </w:tc>
              <w:tc>
                <w:tcPr>
                  <w:tcW w:w="542" w:type="pct"/>
                  <w:vAlign w:val="center"/>
                </w:tcPr>
                <w:p w14:paraId="0388B551">
                  <w:pPr>
                    <w:pStyle w:val="50"/>
                    <w:spacing w:beforeLines="0" w:line="240" w:lineRule="auto"/>
                    <w:rPr>
                      <w:rFonts w:ascii="Times New Roman" w:hAnsi="Times New Roman"/>
                      <w:szCs w:val="21"/>
                    </w:rPr>
                  </w:pPr>
                  <w:r>
                    <w:rPr>
                      <w:rFonts w:ascii="Times New Roman" w:hAnsi="Times New Roman"/>
                      <w:szCs w:val="21"/>
                    </w:rPr>
                    <w:t>卤渣</w:t>
                  </w:r>
                </w:p>
              </w:tc>
              <w:tc>
                <w:tcPr>
                  <w:tcW w:w="429" w:type="pct"/>
                  <w:vAlign w:val="center"/>
                </w:tcPr>
                <w:p w14:paraId="7137E669">
                  <w:pPr>
                    <w:pStyle w:val="50"/>
                    <w:spacing w:beforeLines="0" w:line="240" w:lineRule="auto"/>
                    <w:rPr>
                      <w:rFonts w:ascii="Times New Roman" w:hAnsi="Times New Roman"/>
                      <w:szCs w:val="21"/>
                    </w:rPr>
                  </w:pPr>
                  <w:r>
                    <w:rPr>
                      <w:rFonts w:ascii="Times New Roman" w:hAnsi="Times New Roman"/>
                      <w:szCs w:val="21"/>
                    </w:rPr>
                    <w:t>一般固废</w:t>
                  </w:r>
                </w:p>
              </w:tc>
              <w:tc>
                <w:tcPr>
                  <w:tcW w:w="835" w:type="pct"/>
                  <w:vAlign w:val="center"/>
                </w:tcPr>
                <w:p w14:paraId="0F86FAB2">
                  <w:pPr>
                    <w:pStyle w:val="50"/>
                    <w:spacing w:beforeLines="0" w:line="240" w:lineRule="auto"/>
                    <w:rPr>
                      <w:rFonts w:ascii="Times New Roman" w:hAnsi="Times New Roman"/>
                      <w:szCs w:val="21"/>
                    </w:rPr>
                  </w:pPr>
                  <w:r>
                    <w:rPr>
                      <w:rFonts w:ascii="Times New Roman" w:hAnsi="Times New Roman"/>
                      <w:szCs w:val="21"/>
                    </w:rPr>
                    <w:t>900-099-S13</w:t>
                  </w:r>
                </w:p>
              </w:tc>
              <w:tc>
                <w:tcPr>
                  <w:tcW w:w="416" w:type="pct"/>
                  <w:vAlign w:val="center"/>
                </w:tcPr>
                <w:p w14:paraId="447CBA81">
                  <w:pPr>
                    <w:pStyle w:val="50"/>
                    <w:spacing w:beforeLines="0" w:line="240" w:lineRule="auto"/>
                    <w:rPr>
                      <w:rFonts w:ascii="Times New Roman" w:hAnsi="Times New Roman"/>
                      <w:szCs w:val="21"/>
                    </w:rPr>
                  </w:pPr>
                  <w:r>
                    <w:rPr>
                      <w:rFonts w:ascii="Times New Roman" w:hAnsi="Times New Roman"/>
                      <w:szCs w:val="21"/>
                    </w:rPr>
                    <w:t>固态</w:t>
                  </w:r>
                </w:p>
              </w:tc>
              <w:tc>
                <w:tcPr>
                  <w:tcW w:w="502" w:type="pct"/>
                  <w:vAlign w:val="center"/>
                </w:tcPr>
                <w:p w14:paraId="45DAFA43">
                  <w:pPr>
                    <w:pStyle w:val="21"/>
                    <w:widowControl w:val="0"/>
                    <w:adjustRightInd w:val="0"/>
                    <w:snapToGrid w:val="0"/>
                    <w:spacing w:before="0" w:beforeAutospacing="0" w:after="0" w:afterAutospacing="0"/>
                    <w:jc w:val="center"/>
                    <w:rPr>
                      <w:rFonts w:ascii="Times New Roman" w:hAnsi="Times New Roman"/>
                      <w:sz w:val="21"/>
                      <w:szCs w:val="21"/>
                    </w:rPr>
                  </w:pPr>
                  <w:r>
                    <w:rPr>
                      <w:rFonts w:hint="eastAsia" w:ascii="Times New Roman" w:hAnsi="Times New Roman"/>
                      <w:kern w:val="0"/>
                      <w:sz w:val="21"/>
                      <w:szCs w:val="21"/>
                      <w:lang w:bidi="ar"/>
                    </w:rPr>
                    <w:t>19</w:t>
                  </w:r>
                  <w:r>
                    <w:rPr>
                      <w:rFonts w:ascii="Times New Roman" w:hAnsi="Times New Roman"/>
                      <w:kern w:val="0"/>
                      <w:sz w:val="21"/>
                      <w:szCs w:val="21"/>
                      <w:lang w:bidi="ar"/>
                    </w:rPr>
                    <w:t>t/a</w:t>
                  </w:r>
                </w:p>
              </w:tc>
              <w:tc>
                <w:tcPr>
                  <w:tcW w:w="562" w:type="pct"/>
                  <w:tcBorders>
                    <w:bottom w:val="single" w:color="auto" w:sz="4" w:space="0"/>
                  </w:tcBorders>
                  <w:vAlign w:val="center"/>
                </w:tcPr>
                <w:p w14:paraId="554E1162">
                  <w:pPr>
                    <w:pStyle w:val="21"/>
                    <w:widowControl w:val="0"/>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一般固废暂存间</w:t>
                  </w:r>
                </w:p>
              </w:tc>
              <w:tc>
                <w:tcPr>
                  <w:tcW w:w="898" w:type="pct"/>
                  <w:vMerge w:val="continue"/>
                  <w:tcBorders>
                    <w:bottom w:val="single" w:color="auto" w:sz="4" w:space="0"/>
                  </w:tcBorders>
                  <w:vAlign w:val="center"/>
                </w:tcPr>
                <w:p w14:paraId="7E3A5E78">
                  <w:pPr>
                    <w:pStyle w:val="21"/>
                    <w:widowControl w:val="0"/>
                    <w:adjustRightInd w:val="0"/>
                    <w:snapToGrid w:val="0"/>
                    <w:spacing w:before="0" w:beforeAutospacing="0" w:after="0" w:afterAutospacing="0"/>
                    <w:jc w:val="center"/>
                    <w:rPr>
                      <w:rFonts w:ascii="Times New Roman" w:hAnsi="Times New Roman"/>
                      <w:sz w:val="21"/>
                      <w:szCs w:val="21"/>
                    </w:rPr>
                  </w:pPr>
                </w:p>
              </w:tc>
            </w:tr>
            <w:tr w14:paraId="2EE998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26" w:type="pct"/>
                  <w:vAlign w:val="center"/>
                </w:tcPr>
                <w:p w14:paraId="07443C6F">
                  <w:pPr>
                    <w:pStyle w:val="50"/>
                    <w:spacing w:beforeLines="0" w:line="240" w:lineRule="auto"/>
                    <w:rPr>
                      <w:rFonts w:ascii="Times New Roman" w:hAnsi="Times New Roman"/>
                      <w:szCs w:val="21"/>
                    </w:rPr>
                  </w:pPr>
                  <w:r>
                    <w:rPr>
                      <w:rFonts w:hint="eastAsia" w:ascii="Times New Roman" w:hAnsi="Times New Roman"/>
                      <w:szCs w:val="21"/>
                    </w:rPr>
                    <w:t>6</w:t>
                  </w:r>
                </w:p>
              </w:tc>
              <w:tc>
                <w:tcPr>
                  <w:tcW w:w="485" w:type="pct"/>
                  <w:vAlign w:val="center"/>
                </w:tcPr>
                <w:p w14:paraId="03C60F30">
                  <w:pPr>
                    <w:pStyle w:val="50"/>
                    <w:adjustRightInd/>
                    <w:snapToGrid/>
                    <w:spacing w:beforeLines="0" w:line="240" w:lineRule="auto"/>
                    <w:ind w:left="-105" w:leftChars="-50" w:right="-105" w:rightChars="-50"/>
                    <w:rPr>
                      <w:rFonts w:ascii="Times New Roman" w:hAnsi="Times New Roman"/>
                      <w:szCs w:val="21"/>
                    </w:rPr>
                  </w:pPr>
                  <w:r>
                    <w:rPr>
                      <w:rFonts w:ascii="Times New Roman" w:hAnsi="Times New Roman"/>
                      <w:kern w:val="0"/>
                      <w:szCs w:val="21"/>
                      <w:lang w:bidi="ar"/>
                    </w:rPr>
                    <w:t>废滤料、废RO膜</w:t>
                  </w:r>
                </w:p>
              </w:tc>
              <w:tc>
                <w:tcPr>
                  <w:tcW w:w="542" w:type="pct"/>
                  <w:vAlign w:val="center"/>
                </w:tcPr>
                <w:p w14:paraId="5BA5B898">
                  <w:pPr>
                    <w:pStyle w:val="21"/>
                    <w:widowControl w:val="0"/>
                    <w:spacing w:before="24" w:beforeLines="10" w:beforeAutospacing="0" w:after="0" w:afterAutospacing="0"/>
                    <w:ind w:left="-105" w:leftChars="-50" w:right="-105" w:rightChars="-50"/>
                    <w:jc w:val="center"/>
                    <w:rPr>
                      <w:rFonts w:ascii="Times New Roman" w:hAnsi="Times New Roman"/>
                      <w:kern w:val="0"/>
                      <w:sz w:val="21"/>
                      <w:szCs w:val="21"/>
                      <w:lang w:bidi="ar"/>
                    </w:rPr>
                  </w:pPr>
                  <w:r>
                    <w:rPr>
                      <w:rFonts w:ascii="Times New Roman" w:hAnsi="Times New Roman"/>
                      <w:sz w:val="21"/>
                      <w:szCs w:val="21"/>
                    </w:rPr>
                    <w:t>一般固废</w:t>
                  </w:r>
                </w:p>
              </w:tc>
              <w:tc>
                <w:tcPr>
                  <w:tcW w:w="429" w:type="pct"/>
                  <w:vAlign w:val="center"/>
                </w:tcPr>
                <w:p w14:paraId="56F1A5E5">
                  <w:pPr>
                    <w:pStyle w:val="50"/>
                    <w:spacing w:beforeLines="0" w:line="240" w:lineRule="auto"/>
                    <w:rPr>
                      <w:rFonts w:ascii="Times New Roman" w:hAnsi="Times New Roman"/>
                      <w:szCs w:val="21"/>
                    </w:rPr>
                  </w:pPr>
                  <w:r>
                    <w:rPr>
                      <w:rFonts w:ascii="Times New Roman" w:hAnsi="Times New Roman"/>
                      <w:szCs w:val="21"/>
                    </w:rPr>
                    <w:t>一般固废</w:t>
                  </w:r>
                </w:p>
              </w:tc>
              <w:tc>
                <w:tcPr>
                  <w:tcW w:w="835" w:type="pct"/>
                  <w:vAlign w:val="center"/>
                </w:tcPr>
                <w:p w14:paraId="628B882A">
                  <w:pPr>
                    <w:pStyle w:val="50"/>
                    <w:spacing w:beforeLines="0" w:line="240" w:lineRule="auto"/>
                    <w:rPr>
                      <w:rFonts w:ascii="Times New Roman" w:hAnsi="Times New Roman"/>
                      <w:szCs w:val="21"/>
                    </w:rPr>
                  </w:pPr>
                  <w:r>
                    <w:rPr>
                      <w:rFonts w:hint="eastAsia" w:ascii="Times New Roman" w:hAnsi="Times New Roman"/>
                      <w:szCs w:val="21"/>
                    </w:rPr>
                    <w:t>/</w:t>
                  </w:r>
                </w:p>
              </w:tc>
              <w:tc>
                <w:tcPr>
                  <w:tcW w:w="416" w:type="pct"/>
                  <w:vAlign w:val="center"/>
                </w:tcPr>
                <w:p w14:paraId="7F58137C">
                  <w:pPr>
                    <w:pStyle w:val="50"/>
                    <w:spacing w:beforeLines="0" w:line="240" w:lineRule="auto"/>
                    <w:rPr>
                      <w:rFonts w:ascii="Times New Roman" w:hAnsi="Times New Roman"/>
                      <w:szCs w:val="21"/>
                    </w:rPr>
                  </w:pPr>
                  <w:r>
                    <w:rPr>
                      <w:rFonts w:hint="eastAsia" w:ascii="Times New Roman" w:hAnsi="Times New Roman"/>
                      <w:szCs w:val="21"/>
                    </w:rPr>
                    <w:t>固态</w:t>
                  </w:r>
                </w:p>
              </w:tc>
              <w:tc>
                <w:tcPr>
                  <w:tcW w:w="502" w:type="pct"/>
                  <w:vAlign w:val="center"/>
                </w:tcPr>
                <w:p w14:paraId="3820F048">
                  <w:pPr>
                    <w:pStyle w:val="21"/>
                    <w:widowControl w:val="0"/>
                    <w:adjustRightInd w:val="0"/>
                    <w:snapToGrid w:val="0"/>
                    <w:spacing w:before="0" w:beforeAutospacing="0" w:after="0" w:afterAutospacing="0"/>
                    <w:jc w:val="center"/>
                    <w:rPr>
                      <w:rFonts w:ascii="Times New Roman" w:hAnsi="Times New Roman"/>
                      <w:kern w:val="0"/>
                      <w:sz w:val="21"/>
                      <w:szCs w:val="21"/>
                      <w:lang w:bidi="ar"/>
                    </w:rPr>
                  </w:pPr>
                  <w:r>
                    <w:rPr>
                      <w:rFonts w:hint="eastAsia" w:ascii="Times New Roman" w:hAnsi="Times New Roman"/>
                      <w:kern w:val="0"/>
                      <w:sz w:val="21"/>
                      <w:szCs w:val="21"/>
                      <w:lang w:bidi="ar"/>
                    </w:rPr>
                    <w:t>0.5</w:t>
                  </w:r>
                  <w:r>
                    <w:rPr>
                      <w:rFonts w:ascii="Times New Roman" w:hAnsi="Times New Roman"/>
                      <w:sz w:val="21"/>
                      <w:szCs w:val="21"/>
                    </w:rPr>
                    <w:t>t/a</w:t>
                  </w:r>
                </w:p>
              </w:tc>
              <w:tc>
                <w:tcPr>
                  <w:tcW w:w="562" w:type="pct"/>
                  <w:tcBorders>
                    <w:bottom w:val="single" w:color="auto" w:sz="4" w:space="0"/>
                  </w:tcBorders>
                  <w:vAlign w:val="center"/>
                </w:tcPr>
                <w:p w14:paraId="1F279D20">
                  <w:pPr>
                    <w:pStyle w:val="21"/>
                    <w:widowControl w:val="0"/>
                    <w:spacing w:before="24" w:beforeLines="10" w:beforeAutospacing="0" w:after="0" w:afterAutospacing="0"/>
                    <w:ind w:left="-105" w:leftChars="-50" w:right="-105" w:rightChars="-50"/>
                    <w:jc w:val="center"/>
                    <w:rPr>
                      <w:rFonts w:ascii="Times New Roman" w:hAnsi="Times New Roman"/>
                      <w:kern w:val="0"/>
                      <w:sz w:val="21"/>
                      <w:szCs w:val="21"/>
                      <w:lang w:bidi="ar"/>
                    </w:rPr>
                  </w:pPr>
                  <w:r>
                    <w:rPr>
                      <w:rFonts w:ascii="Times New Roman" w:hAnsi="Times New Roman"/>
                      <w:kern w:val="0"/>
                      <w:sz w:val="21"/>
                      <w:szCs w:val="21"/>
                      <w:lang w:bidi="ar"/>
                    </w:rPr>
                    <w:t>/</w:t>
                  </w:r>
                </w:p>
              </w:tc>
              <w:tc>
                <w:tcPr>
                  <w:tcW w:w="898" w:type="pct"/>
                  <w:tcBorders>
                    <w:bottom w:val="single" w:color="auto" w:sz="4" w:space="0"/>
                  </w:tcBorders>
                  <w:vAlign w:val="center"/>
                </w:tcPr>
                <w:p w14:paraId="2F99FC96">
                  <w:pPr>
                    <w:pStyle w:val="21"/>
                    <w:widowControl w:val="0"/>
                    <w:spacing w:before="24" w:beforeLines="10" w:beforeAutospacing="0" w:after="0" w:afterAutospacing="0"/>
                    <w:ind w:left="-105" w:leftChars="-50" w:right="-105" w:rightChars="-50"/>
                    <w:jc w:val="center"/>
                    <w:rPr>
                      <w:rFonts w:ascii="Times New Roman" w:hAnsi="Times New Roman"/>
                      <w:kern w:val="0"/>
                      <w:sz w:val="21"/>
                      <w:szCs w:val="21"/>
                      <w:lang w:bidi="ar"/>
                    </w:rPr>
                  </w:pPr>
                  <w:r>
                    <w:rPr>
                      <w:rFonts w:ascii="Times New Roman" w:hAnsi="Times New Roman"/>
                      <w:kern w:val="0"/>
                      <w:sz w:val="21"/>
                      <w:szCs w:val="21"/>
                      <w:lang w:bidi="ar"/>
                    </w:rPr>
                    <w:t>厂家更换回收</w:t>
                  </w:r>
                </w:p>
              </w:tc>
            </w:tr>
            <w:tr w14:paraId="6B6E8E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26" w:type="pct"/>
                  <w:vAlign w:val="center"/>
                </w:tcPr>
                <w:p w14:paraId="366DE0DC">
                  <w:pPr>
                    <w:pStyle w:val="50"/>
                    <w:spacing w:beforeLines="0" w:line="240" w:lineRule="auto"/>
                    <w:rPr>
                      <w:rFonts w:ascii="Times New Roman" w:hAnsi="Times New Roman"/>
                      <w:szCs w:val="21"/>
                    </w:rPr>
                  </w:pPr>
                  <w:r>
                    <w:rPr>
                      <w:rFonts w:hint="eastAsia" w:ascii="Times New Roman" w:hAnsi="Times New Roman"/>
                      <w:szCs w:val="21"/>
                    </w:rPr>
                    <w:t>7</w:t>
                  </w:r>
                </w:p>
              </w:tc>
              <w:tc>
                <w:tcPr>
                  <w:tcW w:w="485" w:type="pct"/>
                  <w:vAlign w:val="center"/>
                </w:tcPr>
                <w:p w14:paraId="369AF62D">
                  <w:pPr>
                    <w:pStyle w:val="50"/>
                    <w:adjustRightInd/>
                    <w:snapToGrid/>
                    <w:spacing w:beforeLines="0" w:line="240" w:lineRule="auto"/>
                    <w:ind w:left="-105" w:leftChars="-50" w:right="-105" w:rightChars="-50"/>
                    <w:rPr>
                      <w:rFonts w:ascii="Times New Roman" w:hAnsi="Times New Roman"/>
                      <w:kern w:val="0"/>
                      <w:szCs w:val="21"/>
                      <w:lang w:bidi="ar"/>
                    </w:rPr>
                  </w:pPr>
                  <w:r>
                    <w:rPr>
                      <w:rFonts w:hint="eastAsia" w:ascii="Times New Roman" w:hAnsi="Times New Roman"/>
                      <w:kern w:val="0"/>
                      <w:szCs w:val="21"/>
                      <w:lang w:bidi="ar"/>
                    </w:rPr>
                    <w:t>调味品熬制</w:t>
                  </w:r>
                </w:p>
              </w:tc>
              <w:tc>
                <w:tcPr>
                  <w:tcW w:w="542" w:type="pct"/>
                  <w:vAlign w:val="center"/>
                </w:tcPr>
                <w:p w14:paraId="43AB7403">
                  <w:pPr>
                    <w:pStyle w:val="21"/>
                    <w:widowControl w:val="0"/>
                    <w:spacing w:before="24" w:beforeLines="10" w:beforeAutospacing="0" w:after="0" w:afterAutospacing="0"/>
                    <w:ind w:left="-105" w:leftChars="-50" w:right="-105" w:rightChars="-50"/>
                    <w:jc w:val="center"/>
                    <w:rPr>
                      <w:rFonts w:ascii="Times New Roman" w:hAnsi="Times New Roman"/>
                      <w:sz w:val="21"/>
                      <w:szCs w:val="21"/>
                    </w:rPr>
                  </w:pPr>
                  <w:r>
                    <w:rPr>
                      <w:rFonts w:hint="eastAsia" w:ascii="Times New Roman" w:hAnsi="Times New Roman"/>
                      <w:sz w:val="21"/>
                      <w:szCs w:val="21"/>
                    </w:rPr>
                    <w:t>废油</w:t>
                  </w:r>
                </w:p>
              </w:tc>
              <w:tc>
                <w:tcPr>
                  <w:tcW w:w="429" w:type="pct"/>
                  <w:vAlign w:val="center"/>
                </w:tcPr>
                <w:p w14:paraId="28FE2A76">
                  <w:pPr>
                    <w:pStyle w:val="21"/>
                    <w:widowControl w:val="0"/>
                    <w:spacing w:before="24" w:beforeLines="10" w:beforeAutospacing="0" w:after="0" w:afterAutospacing="0"/>
                    <w:ind w:left="-105" w:leftChars="-50" w:right="-105" w:rightChars="-50"/>
                    <w:jc w:val="center"/>
                    <w:rPr>
                      <w:rFonts w:ascii="Times New Roman" w:hAnsi="Times New Roman"/>
                      <w:szCs w:val="21"/>
                    </w:rPr>
                  </w:pPr>
                  <w:r>
                    <w:rPr>
                      <w:rFonts w:hint="eastAsia" w:ascii="Times New Roman" w:hAnsi="Times New Roman"/>
                      <w:color w:val="000000"/>
                      <w:kern w:val="0"/>
                      <w:sz w:val="20"/>
                      <w:szCs w:val="21"/>
                      <w:lang w:bidi="ar"/>
                    </w:rPr>
                    <w:t>一般固废</w:t>
                  </w:r>
                </w:p>
              </w:tc>
              <w:tc>
                <w:tcPr>
                  <w:tcW w:w="835" w:type="pct"/>
                  <w:vAlign w:val="center"/>
                </w:tcPr>
                <w:p w14:paraId="69BE3363">
                  <w:pPr>
                    <w:pStyle w:val="21"/>
                    <w:widowControl w:val="0"/>
                    <w:spacing w:before="24" w:beforeLines="10" w:beforeAutospacing="0" w:after="0" w:afterAutospacing="0"/>
                    <w:ind w:left="-105" w:leftChars="-50" w:right="-105" w:rightChars="-50"/>
                    <w:jc w:val="center"/>
                    <w:rPr>
                      <w:rFonts w:ascii="Times New Roman" w:hAnsi="Times New Roman"/>
                      <w:szCs w:val="21"/>
                    </w:rPr>
                  </w:pPr>
                  <w:r>
                    <w:rPr>
                      <w:rFonts w:ascii="Times New Roman" w:hAnsi="Times New Roman"/>
                      <w:color w:val="000000"/>
                      <w:kern w:val="0"/>
                      <w:sz w:val="20"/>
                      <w:szCs w:val="21"/>
                      <w:lang w:bidi="ar"/>
                    </w:rPr>
                    <w:t>900-099-S13</w:t>
                  </w:r>
                </w:p>
              </w:tc>
              <w:tc>
                <w:tcPr>
                  <w:tcW w:w="416" w:type="pct"/>
                  <w:vAlign w:val="center"/>
                </w:tcPr>
                <w:p w14:paraId="2A1EB9A9">
                  <w:pPr>
                    <w:pStyle w:val="21"/>
                    <w:widowControl w:val="0"/>
                    <w:spacing w:before="24" w:beforeLines="10" w:beforeAutospacing="0" w:after="0" w:afterAutospacing="0"/>
                    <w:ind w:left="-105" w:leftChars="-50" w:right="-105" w:rightChars="-50"/>
                    <w:jc w:val="center"/>
                    <w:rPr>
                      <w:rFonts w:ascii="Times New Roman" w:hAnsi="Times New Roman"/>
                      <w:szCs w:val="21"/>
                    </w:rPr>
                  </w:pPr>
                  <w:r>
                    <w:rPr>
                      <w:rFonts w:hint="eastAsia" w:ascii="Times New Roman" w:hAnsi="Times New Roman"/>
                      <w:color w:val="000000"/>
                      <w:kern w:val="0"/>
                      <w:sz w:val="20"/>
                      <w:szCs w:val="21"/>
                      <w:lang w:bidi="ar"/>
                    </w:rPr>
                    <w:t>液态、固态</w:t>
                  </w:r>
                </w:p>
              </w:tc>
              <w:tc>
                <w:tcPr>
                  <w:tcW w:w="502" w:type="pct"/>
                  <w:vAlign w:val="center"/>
                </w:tcPr>
                <w:p w14:paraId="57DDA5EB">
                  <w:pPr>
                    <w:pStyle w:val="21"/>
                    <w:widowControl w:val="0"/>
                    <w:spacing w:before="24" w:beforeLines="10" w:beforeAutospacing="0" w:after="0" w:afterAutospacing="0"/>
                    <w:ind w:left="-105" w:leftChars="-50" w:right="-105" w:rightChars="-50"/>
                    <w:jc w:val="center"/>
                    <w:rPr>
                      <w:rFonts w:ascii="Times New Roman" w:hAnsi="Times New Roman"/>
                      <w:kern w:val="0"/>
                      <w:sz w:val="21"/>
                      <w:szCs w:val="21"/>
                      <w:lang w:bidi="ar"/>
                    </w:rPr>
                  </w:pPr>
                  <w:r>
                    <w:rPr>
                      <w:rFonts w:hint="eastAsia" w:ascii="Times New Roman" w:hAnsi="Times New Roman"/>
                      <w:kern w:val="0"/>
                      <w:sz w:val="21"/>
                      <w:szCs w:val="21"/>
                      <w:lang w:bidi="ar"/>
                    </w:rPr>
                    <w:t>3.84t/a</w:t>
                  </w:r>
                </w:p>
              </w:tc>
              <w:tc>
                <w:tcPr>
                  <w:tcW w:w="562" w:type="pct"/>
                  <w:tcBorders>
                    <w:bottom w:val="single" w:color="auto" w:sz="4" w:space="0"/>
                  </w:tcBorders>
                  <w:vAlign w:val="center"/>
                </w:tcPr>
                <w:p w14:paraId="75DBD53B">
                  <w:pPr>
                    <w:pStyle w:val="21"/>
                    <w:widowControl w:val="0"/>
                    <w:spacing w:before="24" w:beforeLines="10" w:beforeAutospacing="0" w:after="0" w:afterAutospacing="0"/>
                    <w:ind w:left="-105" w:leftChars="-50" w:right="-105" w:rightChars="-50"/>
                    <w:jc w:val="center"/>
                    <w:rPr>
                      <w:rFonts w:ascii="Times New Roman" w:hAnsi="Times New Roman"/>
                      <w:kern w:val="0"/>
                      <w:sz w:val="21"/>
                      <w:szCs w:val="21"/>
                      <w:lang w:bidi="ar"/>
                    </w:rPr>
                  </w:pPr>
                  <w:r>
                    <w:rPr>
                      <w:rFonts w:ascii="Times New Roman" w:hAnsi="Times New Roman"/>
                      <w:sz w:val="21"/>
                      <w:szCs w:val="21"/>
                    </w:rPr>
                    <w:t>一般固废暂存间</w:t>
                  </w:r>
                </w:p>
              </w:tc>
              <w:tc>
                <w:tcPr>
                  <w:tcW w:w="898" w:type="pct"/>
                  <w:tcBorders>
                    <w:bottom w:val="single" w:color="auto" w:sz="4" w:space="0"/>
                  </w:tcBorders>
                  <w:vAlign w:val="center"/>
                </w:tcPr>
                <w:p w14:paraId="1C4DA331">
                  <w:pPr>
                    <w:pStyle w:val="21"/>
                    <w:widowControl w:val="0"/>
                    <w:spacing w:before="24" w:beforeLines="10" w:beforeAutospacing="0" w:after="0" w:afterAutospacing="0"/>
                    <w:ind w:left="-105" w:leftChars="-50" w:right="-105" w:rightChars="-50"/>
                    <w:jc w:val="center"/>
                    <w:rPr>
                      <w:rFonts w:ascii="Times New Roman" w:hAnsi="Times New Roman"/>
                      <w:kern w:val="0"/>
                      <w:sz w:val="21"/>
                      <w:szCs w:val="21"/>
                      <w:lang w:bidi="ar"/>
                    </w:rPr>
                  </w:pPr>
                  <w:r>
                    <w:rPr>
                      <w:rFonts w:ascii="Times New Roman" w:hAnsi="Times New Roman"/>
                      <w:kern w:val="0"/>
                      <w:sz w:val="21"/>
                      <w:szCs w:val="21"/>
                      <w:lang w:bidi="ar"/>
                    </w:rPr>
                    <w:t>由有资质的废油回收公司回收</w:t>
                  </w:r>
                </w:p>
              </w:tc>
            </w:tr>
            <w:tr w14:paraId="5BA917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26" w:type="pct"/>
                  <w:vAlign w:val="center"/>
                </w:tcPr>
                <w:p w14:paraId="41811903">
                  <w:pPr>
                    <w:pStyle w:val="50"/>
                    <w:spacing w:beforeLines="0" w:line="240" w:lineRule="auto"/>
                    <w:rPr>
                      <w:rFonts w:ascii="Times New Roman" w:hAnsi="Times New Roman"/>
                      <w:szCs w:val="21"/>
                    </w:rPr>
                  </w:pPr>
                  <w:r>
                    <w:rPr>
                      <w:rFonts w:hint="eastAsia" w:ascii="Times New Roman" w:hAnsi="Times New Roman"/>
                      <w:szCs w:val="21"/>
                    </w:rPr>
                    <w:t>8</w:t>
                  </w:r>
                </w:p>
              </w:tc>
              <w:tc>
                <w:tcPr>
                  <w:tcW w:w="485" w:type="pct"/>
                  <w:vAlign w:val="center"/>
                </w:tcPr>
                <w:p w14:paraId="7F5803E5">
                  <w:pPr>
                    <w:pStyle w:val="50"/>
                    <w:spacing w:beforeLines="0" w:line="240" w:lineRule="auto"/>
                    <w:rPr>
                      <w:rFonts w:ascii="Times New Roman" w:hAnsi="Times New Roman"/>
                      <w:szCs w:val="21"/>
                    </w:rPr>
                  </w:pPr>
                  <w:r>
                    <w:rPr>
                      <w:rFonts w:ascii="Times New Roman" w:hAnsi="Times New Roman"/>
                      <w:szCs w:val="21"/>
                    </w:rPr>
                    <w:t>办公</w:t>
                  </w:r>
                </w:p>
              </w:tc>
              <w:tc>
                <w:tcPr>
                  <w:tcW w:w="542" w:type="pct"/>
                  <w:vAlign w:val="center"/>
                </w:tcPr>
                <w:p w14:paraId="042F6C20">
                  <w:pPr>
                    <w:pStyle w:val="50"/>
                    <w:spacing w:beforeLines="0" w:line="240" w:lineRule="auto"/>
                    <w:rPr>
                      <w:rFonts w:ascii="Times New Roman" w:hAnsi="Times New Roman"/>
                      <w:szCs w:val="21"/>
                    </w:rPr>
                  </w:pPr>
                  <w:r>
                    <w:rPr>
                      <w:rFonts w:ascii="Times New Roman" w:hAnsi="Times New Roman"/>
                      <w:szCs w:val="21"/>
                    </w:rPr>
                    <w:t>生活垃圾</w:t>
                  </w:r>
                </w:p>
              </w:tc>
              <w:tc>
                <w:tcPr>
                  <w:tcW w:w="429" w:type="pct"/>
                  <w:vAlign w:val="center"/>
                </w:tcPr>
                <w:p w14:paraId="3EF837D1">
                  <w:pPr>
                    <w:pStyle w:val="50"/>
                    <w:spacing w:beforeLines="0" w:line="240" w:lineRule="auto"/>
                    <w:rPr>
                      <w:rFonts w:ascii="Times New Roman" w:hAnsi="Times New Roman"/>
                      <w:szCs w:val="21"/>
                    </w:rPr>
                  </w:pPr>
                  <w:r>
                    <w:rPr>
                      <w:rFonts w:ascii="Times New Roman" w:hAnsi="Times New Roman"/>
                      <w:szCs w:val="21"/>
                    </w:rPr>
                    <w:t>一般固废</w:t>
                  </w:r>
                </w:p>
              </w:tc>
              <w:tc>
                <w:tcPr>
                  <w:tcW w:w="835" w:type="pct"/>
                  <w:vAlign w:val="center"/>
                </w:tcPr>
                <w:p w14:paraId="222CCFE3">
                  <w:pPr>
                    <w:pStyle w:val="50"/>
                    <w:spacing w:beforeLines="0" w:line="240" w:lineRule="auto"/>
                    <w:rPr>
                      <w:rFonts w:ascii="Times New Roman" w:hAnsi="Times New Roman"/>
                      <w:szCs w:val="21"/>
                    </w:rPr>
                  </w:pPr>
                  <w:r>
                    <w:rPr>
                      <w:rFonts w:ascii="Times New Roman" w:hAnsi="Times New Roman"/>
                      <w:szCs w:val="21"/>
                    </w:rPr>
                    <w:t>/</w:t>
                  </w:r>
                </w:p>
              </w:tc>
              <w:tc>
                <w:tcPr>
                  <w:tcW w:w="416" w:type="pct"/>
                  <w:vAlign w:val="center"/>
                </w:tcPr>
                <w:p w14:paraId="3DB62FC5">
                  <w:pPr>
                    <w:pStyle w:val="50"/>
                    <w:spacing w:beforeLines="0" w:line="240" w:lineRule="auto"/>
                    <w:rPr>
                      <w:rFonts w:ascii="Times New Roman" w:hAnsi="Times New Roman"/>
                      <w:szCs w:val="21"/>
                    </w:rPr>
                  </w:pPr>
                  <w:r>
                    <w:rPr>
                      <w:rFonts w:ascii="Times New Roman" w:hAnsi="Times New Roman"/>
                      <w:szCs w:val="21"/>
                    </w:rPr>
                    <w:t>固态</w:t>
                  </w:r>
                </w:p>
              </w:tc>
              <w:tc>
                <w:tcPr>
                  <w:tcW w:w="502" w:type="pct"/>
                  <w:vAlign w:val="center"/>
                </w:tcPr>
                <w:p w14:paraId="78D8C962">
                  <w:pPr>
                    <w:pStyle w:val="50"/>
                    <w:spacing w:beforeLines="0" w:line="240" w:lineRule="auto"/>
                    <w:rPr>
                      <w:rFonts w:ascii="Times New Roman" w:hAnsi="Times New Roman"/>
                      <w:szCs w:val="21"/>
                    </w:rPr>
                  </w:pPr>
                  <w:r>
                    <w:rPr>
                      <w:rFonts w:ascii="Times New Roman" w:hAnsi="Times New Roman"/>
                      <w:szCs w:val="21"/>
                    </w:rPr>
                    <w:t>7.5t/a</w:t>
                  </w:r>
                </w:p>
              </w:tc>
              <w:tc>
                <w:tcPr>
                  <w:tcW w:w="562" w:type="pct"/>
                  <w:vAlign w:val="center"/>
                </w:tcPr>
                <w:p w14:paraId="50744065">
                  <w:pPr>
                    <w:pStyle w:val="50"/>
                    <w:spacing w:beforeLines="0" w:line="240" w:lineRule="auto"/>
                    <w:rPr>
                      <w:rFonts w:ascii="Times New Roman" w:hAnsi="Times New Roman"/>
                      <w:szCs w:val="21"/>
                    </w:rPr>
                  </w:pPr>
                  <w:r>
                    <w:rPr>
                      <w:rFonts w:ascii="Times New Roman" w:hAnsi="Times New Roman"/>
                      <w:szCs w:val="21"/>
                    </w:rPr>
                    <w:t>垃圾桶</w:t>
                  </w:r>
                </w:p>
              </w:tc>
              <w:tc>
                <w:tcPr>
                  <w:tcW w:w="898" w:type="pct"/>
                  <w:vAlign w:val="center"/>
                </w:tcPr>
                <w:p w14:paraId="32D4144A">
                  <w:pPr>
                    <w:pStyle w:val="50"/>
                    <w:spacing w:beforeLines="0" w:line="240" w:lineRule="auto"/>
                    <w:rPr>
                      <w:rFonts w:ascii="Times New Roman" w:hAnsi="Times New Roman"/>
                      <w:szCs w:val="21"/>
                    </w:rPr>
                  </w:pPr>
                  <w:r>
                    <w:rPr>
                      <w:rFonts w:ascii="Times New Roman" w:hAnsi="Times New Roman"/>
                      <w:szCs w:val="21"/>
                    </w:rPr>
                    <w:t>环卫部门清运</w:t>
                  </w:r>
                </w:p>
              </w:tc>
            </w:tr>
          </w:tbl>
          <w:p w14:paraId="5E229246">
            <w:pPr>
              <w:widowControl/>
              <w:spacing w:line="360" w:lineRule="auto"/>
              <w:ind w:firstLine="480" w:firstLineChars="200"/>
              <w:rPr>
                <w:sz w:val="24"/>
                <w:szCs w:val="24"/>
              </w:rPr>
            </w:pPr>
            <w:r>
              <w:rPr>
                <w:sz w:val="24"/>
                <w:szCs w:val="24"/>
              </w:rPr>
              <w:t>（1）一般固体废弃物</w:t>
            </w:r>
          </w:p>
          <w:p w14:paraId="36C7F849">
            <w:pPr>
              <w:widowControl/>
              <w:spacing w:line="360" w:lineRule="auto"/>
              <w:ind w:firstLine="480" w:firstLineChars="200"/>
              <w:rPr>
                <w:sz w:val="24"/>
                <w:szCs w:val="24"/>
              </w:rPr>
            </w:pPr>
            <w:r>
              <w:rPr>
                <w:sz w:val="24"/>
                <w:szCs w:val="24"/>
              </w:rPr>
              <w:t>建设单位应按照《一般工业固体废物贮存和填埋污染控制标准》（GB18599-2020）的相关要求建立固体废物临时的堆放场地，不得随处堆放。临时堆放的地面与裙角要用竖固、防渗的建筑材料建造，基础必须防渗，应设计建造径流疏导系统，保证能防止暴雨不会流到临时堆放的场所。临时堆放场所要防风、防雨、防晒，设置周围应设置围墙并做好密闭处理，禁止危险废物及生活垃圾混入。</w:t>
            </w:r>
          </w:p>
          <w:p w14:paraId="311C6A8B">
            <w:pPr>
              <w:widowControl/>
              <w:spacing w:line="360" w:lineRule="auto"/>
              <w:ind w:firstLine="480" w:firstLineChars="200"/>
              <w:rPr>
                <w:sz w:val="24"/>
                <w:szCs w:val="24"/>
              </w:rPr>
            </w:pPr>
            <w:r>
              <w:rPr>
                <w:sz w:val="24"/>
                <w:szCs w:val="24"/>
              </w:rPr>
              <w:t>项目正式投入生产后建设单位应对项目产生的固体废物进行台账记录，主要要求如下：</w:t>
            </w:r>
          </w:p>
          <w:p w14:paraId="34D47733">
            <w:pPr>
              <w:widowControl/>
              <w:spacing w:line="360" w:lineRule="auto"/>
              <w:ind w:firstLine="480"/>
              <w:rPr>
                <w:sz w:val="24"/>
                <w:szCs w:val="24"/>
              </w:rPr>
            </w:pPr>
            <w:r>
              <w:rPr>
                <w:rFonts w:hint="eastAsia"/>
                <w:sz w:val="24"/>
                <w:szCs w:val="24"/>
              </w:rPr>
              <w:t>①</w:t>
            </w:r>
            <w:r>
              <w:rPr>
                <w:sz w:val="24"/>
                <w:szCs w:val="24"/>
              </w:rPr>
              <w:t>固体废物管理台账实施分级管理，固体废物的基础信息及流向信息属于必填信息，</w:t>
            </w:r>
          </w:p>
          <w:p w14:paraId="35D2AE31">
            <w:pPr>
              <w:widowControl/>
              <w:spacing w:line="360" w:lineRule="auto"/>
              <w:ind w:firstLine="480" w:firstLineChars="200"/>
              <w:rPr>
                <w:sz w:val="24"/>
                <w:szCs w:val="24"/>
              </w:rPr>
            </w:pPr>
            <w:r>
              <w:rPr>
                <w:sz w:val="24"/>
                <w:szCs w:val="24"/>
              </w:rPr>
              <w:t>固体废物产生、贮存以及自行利用处置的详细信息属于选填信息；</w:t>
            </w:r>
          </w:p>
          <w:p w14:paraId="2A279678">
            <w:pPr>
              <w:widowControl/>
              <w:spacing w:line="360" w:lineRule="auto"/>
              <w:ind w:firstLine="480" w:firstLineChars="200"/>
              <w:rPr>
                <w:sz w:val="24"/>
                <w:szCs w:val="24"/>
              </w:rPr>
            </w:pPr>
            <w:r>
              <w:rPr>
                <w:rFonts w:hint="eastAsia"/>
                <w:sz w:val="24"/>
                <w:szCs w:val="24"/>
              </w:rPr>
              <w:t>②</w:t>
            </w:r>
            <w:r>
              <w:rPr>
                <w:sz w:val="24"/>
                <w:szCs w:val="24"/>
              </w:rPr>
              <w:t>应当结合环境影响评价、排污许可证等材料，根据实际生产运营情况填写固体废物产生信息；按月填写记录固体废物的产生、贮存、利用、处置数量等信息；按批次填写每一批次固体废物的出厂以及流向信息，均必须根据实际情况如实记录；</w:t>
            </w:r>
          </w:p>
          <w:p w14:paraId="4E6605DA">
            <w:pPr>
              <w:widowControl/>
              <w:spacing w:line="360" w:lineRule="auto"/>
              <w:ind w:firstLine="480" w:firstLineChars="200"/>
              <w:rPr>
                <w:sz w:val="24"/>
                <w:szCs w:val="24"/>
              </w:rPr>
            </w:pPr>
            <w:r>
              <w:rPr>
                <w:rFonts w:hint="eastAsia"/>
                <w:sz w:val="24"/>
                <w:szCs w:val="24"/>
              </w:rPr>
              <w:t>③</w:t>
            </w:r>
            <w:r>
              <w:rPr>
                <w:sz w:val="24"/>
                <w:szCs w:val="24"/>
              </w:rPr>
              <w:t>固废产生、贮存、自行利用、处置环节记录表应及时填写，确保每一批次的固体废物来源信息与流向信息、数量信息与人员信息一一对应。对于批次产生的固体废物应按次填写，对于连续产生的固体废物应按日填写；</w:t>
            </w:r>
          </w:p>
          <w:p w14:paraId="0FF789DA">
            <w:pPr>
              <w:widowControl/>
              <w:spacing w:line="360" w:lineRule="auto"/>
              <w:ind w:firstLine="480" w:firstLineChars="200"/>
              <w:rPr>
                <w:sz w:val="24"/>
                <w:szCs w:val="24"/>
              </w:rPr>
            </w:pPr>
            <w:r>
              <w:rPr>
                <w:rFonts w:hint="eastAsia"/>
                <w:sz w:val="24"/>
                <w:szCs w:val="24"/>
              </w:rPr>
              <w:t>④</w:t>
            </w:r>
            <w:r>
              <w:rPr>
                <w:sz w:val="24"/>
                <w:szCs w:val="24"/>
              </w:rPr>
              <w:t>产废单位应当结合自身固体废物产生实际情况，从固废分类表中选择对应的固体废物类别和代码填写台账记录表；</w:t>
            </w:r>
          </w:p>
          <w:p w14:paraId="445EC9E8">
            <w:pPr>
              <w:widowControl/>
              <w:spacing w:line="360" w:lineRule="auto"/>
              <w:ind w:firstLine="480" w:firstLineChars="200"/>
              <w:rPr>
                <w:sz w:val="24"/>
                <w:szCs w:val="24"/>
              </w:rPr>
            </w:pPr>
            <w:r>
              <w:rPr>
                <w:rFonts w:hint="eastAsia"/>
                <w:sz w:val="24"/>
                <w:szCs w:val="24"/>
              </w:rPr>
              <w:t>⑤</w:t>
            </w:r>
            <w:r>
              <w:rPr>
                <w:sz w:val="24"/>
                <w:szCs w:val="24"/>
              </w:rPr>
              <w:t>固体废物管理台账应由专人管理，防止遗失。固体废物管理台账保存期限不少于5年；</w:t>
            </w:r>
          </w:p>
          <w:p w14:paraId="0DB1CA91">
            <w:pPr>
              <w:widowControl/>
              <w:spacing w:line="360" w:lineRule="auto"/>
              <w:ind w:firstLine="480" w:firstLineChars="200"/>
              <w:rPr>
                <w:sz w:val="24"/>
                <w:szCs w:val="24"/>
              </w:rPr>
            </w:pPr>
            <w:r>
              <w:rPr>
                <w:rFonts w:hint="eastAsia"/>
                <w:sz w:val="24"/>
                <w:szCs w:val="24"/>
              </w:rPr>
              <w:t>⑥</w:t>
            </w:r>
            <w:r>
              <w:rPr>
                <w:sz w:val="24"/>
                <w:szCs w:val="24"/>
              </w:rPr>
              <w:t>鼓励有条件的产废单位在固体废物产生场所、贮存场所等关键点位设置视频监控，提升台账记录信息的准确性；</w:t>
            </w:r>
          </w:p>
          <w:p w14:paraId="198E44F3">
            <w:pPr>
              <w:adjustRightInd w:val="0"/>
              <w:snapToGrid w:val="0"/>
              <w:spacing w:line="360" w:lineRule="auto"/>
              <w:ind w:firstLine="480" w:firstLineChars="200"/>
              <w:rPr>
                <w:sz w:val="24"/>
                <w:szCs w:val="24"/>
              </w:rPr>
            </w:pPr>
            <w:r>
              <w:rPr>
                <w:rFonts w:hint="eastAsia"/>
                <w:sz w:val="24"/>
                <w:szCs w:val="24"/>
              </w:rPr>
              <w:t>⑦</w:t>
            </w:r>
            <w:r>
              <w:rPr>
                <w:sz w:val="24"/>
                <w:szCs w:val="24"/>
              </w:rPr>
              <w:t>鼓励有条件的产废单位采用信息化手段建立电子台账，实现固体废物管理台账的数字化、信息化。</w:t>
            </w:r>
          </w:p>
          <w:p w14:paraId="447C5CB5">
            <w:pPr>
              <w:adjustRightInd w:val="0"/>
              <w:snapToGrid w:val="0"/>
              <w:spacing w:line="360" w:lineRule="auto"/>
              <w:rPr>
                <w:b/>
                <w:color w:val="000000"/>
                <w:sz w:val="24"/>
                <w:szCs w:val="24"/>
              </w:rPr>
            </w:pPr>
            <w:r>
              <w:rPr>
                <w:b/>
                <w:color w:val="000000"/>
                <w:sz w:val="24"/>
                <w:szCs w:val="24"/>
              </w:rPr>
              <w:t>5 地下水、土壤</w:t>
            </w:r>
          </w:p>
          <w:p w14:paraId="5562095E">
            <w:pPr>
              <w:adjustRightInd w:val="0"/>
              <w:snapToGrid w:val="0"/>
              <w:spacing w:line="360" w:lineRule="auto"/>
              <w:ind w:firstLine="480" w:firstLineChars="200"/>
              <w:rPr>
                <w:color w:val="000000"/>
                <w:kern w:val="0"/>
                <w:sz w:val="24"/>
                <w:szCs w:val="24"/>
              </w:rPr>
            </w:pPr>
            <w:r>
              <w:rPr>
                <w:kern w:val="0"/>
                <w:sz w:val="24"/>
                <w:szCs w:val="24"/>
              </w:rPr>
              <w:t>本项目</w:t>
            </w:r>
            <w:r>
              <w:rPr>
                <w:color w:val="000000"/>
                <w:sz w:val="24"/>
                <w:szCs w:val="24"/>
              </w:rPr>
              <w:t>运营期废水主要是</w:t>
            </w:r>
            <w:r>
              <w:rPr>
                <w:color w:val="000000"/>
                <w:sz w:val="24"/>
                <w:szCs w:val="24"/>
                <w:lang w:bidi="ar"/>
              </w:rPr>
              <w:t>W1生活污水、W</w:t>
            </w:r>
            <w:r>
              <w:rPr>
                <w:rFonts w:hint="eastAsia"/>
                <w:color w:val="000000"/>
                <w:sz w:val="24"/>
                <w:szCs w:val="24"/>
                <w:lang w:bidi="ar"/>
              </w:rPr>
              <w:t>2</w:t>
            </w:r>
            <w:r>
              <w:rPr>
                <w:color w:val="000000"/>
                <w:sz w:val="24"/>
                <w:szCs w:val="24"/>
                <w:lang w:bidi="ar"/>
              </w:rPr>
              <w:t>生产废水</w:t>
            </w:r>
            <w:r>
              <w:rPr>
                <w:color w:val="000000"/>
                <w:sz w:val="24"/>
                <w:szCs w:val="24"/>
              </w:rPr>
              <w:t>；W1生活污水经隔油池、化粪池预处理后，排入市政污水管网，经安化县污水处理厂深度处理，排入资江；W</w:t>
            </w:r>
            <w:r>
              <w:rPr>
                <w:rFonts w:hint="eastAsia"/>
                <w:color w:val="000000"/>
                <w:sz w:val="24"/>
                <w:szCs w:val="24"/>
              </w:rPr>
              <w:t>2</w:t>
            </w:r>
            <w:r>
              <w:rPr>
                <w:color w:val="000000"/>
                <w:sz w:val="24"/>
                <w:szCs w:val="24"/>
              </w:rPr>
              <w:t>生产废水依托</w:t>
            </w:r>
            <w:r>
              <w:rPr>
                <w:sz w:val="24"/>
                <w:szCs w:val="24"/>
              </w:rPr>
              <w:t>湖南华益科技发展有限公司（原名湖南华益食品有限公司）废水</w:t>
            </w:r>
            <w:r>
              <w:rPr>
                <w:color w:val="000000"/>
                <w:sz w:val="24"/>
                <w:szCs w:val="24"/>
              </w:rPr>
              <w:t>处理设施（采用</w:t>
            </w:r>
            <w:r>
              <w:rPr>
                <w:rFonts w:hint="eastAsia" w:ascii="宋体" w:hAnsi="宋体" w:cs="宋体"/>
                <w:color w:val="000000"/>
                <w:sz w:val="24"/>
                <w:szCs w:val="24"/>
              </w:rPr>
              <w:t>“加药沉淀+两级水解酸化+两级接触氧化+竖流沉淀”的处理工艺）预处理后排入</w:t>
            </w:r>
            <w:r>
              <w:rPr>
                <w:color w:val="000000"/>
                <w:sz w:val="24"/>
                <w:szCs w:val="24"/>
              </w:rPr>
              <w:t>市政污水管网，再由安化县污水处理厂深度处理；安化县污水处理厂出水执行《城镇污水处理厂污染物排放标准》（GB18918-2002）表1中一级A标准，尾水排入资江</w:t>
            </w:r>
            <w:r>
              <w:rPr>
                <w:color w:val="000000"/>
                <w:kern w:val="0"/>
                <w:sz w:val="24"/>
                <w:szCs w:val="24"/>
              </w:rPr>
              <w:t>。</w:t>
            </w:r>
            <w:r>
              <w:rPr>
                <w:kern w:val="0"/>
                <w:sz w:val="24"/>
                <w:szCs w:val="24"/>
              </w:rPr>
              <w:t>在充分落实地下水和土壤防渗措施的前提下，项目建设能达到保护地下水和土壤环境的目的。</w:t>
            </w:r>
            <w:r>
              <w:rPr>
                <w:color w:val="000000"/>
                <w:kern w:val="0"/>
                <w:sz w:val="24"/>
                <w:szCs w:val="24"/>
              </w:rPr>
              <w:t>因此，正常工况下项目不会通过污水排放对地下水环境造成不利影响。</w:t>
            </w:r>
          </w:p>
          <w:p w14:paraId="2A4FC31E">
            <w:pPr>
              <w:adjustRightInd w:val="0"/>
              <w:snapToGrid w:val="0"/>
              <w:spacing w:line="360" w:lineRule="auto"/>
              <w:ind w:firstLine="480" w:firstLineChars="200"/>
              <w:rPr>
                <w:kern w:val="0"/>
                <w:sz w:val="24"/>
                <w:szCs w:val="24"/>
              </w:rPr>
            </w:pPr>
            <w:r>
              <w:rPr>
                <w:kern w:val="0"/>
                <w:sz w:val="24"/>
                <w:szCs w:val="24"/>
              </w:rPr>
              <w:t>本项目营运期产生的大气污染物主要为G1生物质气化锅炉废气、G2天然气燃烧废气、G3生产异味、G4熬制油烟。G1生物质气化锅炉废气经低氮燃烧+布袋除尘处理后通过一根2</w:t>
            </w:r>
            <w:r>
              <w:rPr>
                <w:rFonts w:hint="eastAsia"/>
                <w:kern w:val="0"/>
                <w:sz w:val="24"/>
                <w:szCs w:val="24"/>
              </w:rPr>
              <w:t>1</w:t>
            </w:r>
            <w:r>
              <w:rPr>
                <w:kern w:val="0"/>
                <w:sz w:val="24"/>
                <w:szCs w:val="24"/>
              </w:rPr>
              <w:t>m高排气筒排放，外排废气满足《锅炉大气污染物排放标准》（GB13271-2014）中表3燃气锅炉大气污染物特别排放限值；G2天然气燃烧废气通过加强车间通风无组织排放，</w:t>
            </w:r>
            <w:r>
              <w:rPr>
                <w:sz w:val="24"/>
              </w:rPr>
              <w:t>外排污染物满足《大气</w:t>
            </w:r>
            <w:r>
              <w:rPr>
                <w:rFonts w:hint="eastAsia"/>
                <w:sz w:val="24"/>
                <w:lang w:eastAsia="zh-CN"/>
              </w:rPr>
              <w:t>污染物</w:t>
            </w:r>
            <w:r>
              <w:rPr>
                <w:sz w:val="24"/>
              </w:rPr>
              <w:t>综合排放标准》（GB 16297-1996）表2中无组织排放浓度限值要求</w:t>
            </w:r>
            <w:r>
              <w:rPr>
                <w:kern w:val="0"/>
                <w:sz w:val="24"/>
                <w:szCs w:val="24"/>
              </w:rPr>
              <w:t>；G3生产异味通过在车间内采用机械通风，通过安装排风扇或者新风系统降低车间内异味，外排污染物满足《恶臭污染物排放标准》（GB14554-93）中排放标准要求；</w:t>
            </w:r>
            <w:r>
              <w:rPr>
                <w:sz w:val="24"/>
                <w:szCs w:val="24"/>
                <w:lang w:bidi="ar"/>
              </w:rPr>
              <w:t>G4熬制油烟经油烟净化器处理后高于屋顶高空排放，外排污染物满足《饮食业油烟排放标准（试行）》（GB18483-2001）要求</w:t>
            </w:r>
            <w:r>
              <w:rPr>
                <w:kern w:val="0"/>
                <w:sz w:val="24"/>
                <w:szCs w:val="24"/>
              </w:rPr>
              <w:t>。废气污染物产生和排放量较小，污染影响较小，因外排废气大气沉降对周围土壤环境的影响极小。</w:t>
            </w:r>
          </w:p>
          <w:p w14:paraId="624BE6AA">
            <w:pPr>
              <w:adjustRightInd w:val="0"/>
              <w:snapToGrid w:val="0"/>
              <w:spacing w:line="360" w:lineRule="auto"/>
              <w:ind w:firstLine="480" w:firstLineChars="200"/>
              <w:rPr>
                <w:kern w:val="0"/>
                <w:sz w:val="24"/>
                <w:szCs w:val="24"/>
              </w:rPr>
            </w:pPr>
            <w:r>
              <w:rPr>
                <w:kern w:val="0"/>
                <w:sz w:val="24"/>
                <w:szCs w:val="24"/>
              </w:rPr>
              <w:t>①污染防治分区</w:t>
            </w:r>
          </w:p>
          <w:p w14:paraId="06757E2C">
            <w:pPr>
              <w:adjustRightInd w:val="0"/>
              <w:snapToGrid w:val="0"/>
              <w:spacing w:line="360" w:lineRule="auto"/>
              <w:ind w:firstLine="480" w:firstLineChars="200"/>
              <w:rPr>
                <w:kern w:val="0"/>
                <w:sz w:val="24"/>
                <w:szCs w:val="24"/>
              </w:rPr>
            </w:pPr>
            <w:r>
              <w:rPr>
                <w:kern w:val="0"/>
                <w:sz w:val="24"/>
                <w:szCs w:val="24"/>
              </w:rPr>
              <w:t>本项目在平面布局上应该按照污染物渗漏的可能性进行区分，划分为污染区和非污染区。根据各功能单元是否可能对地下水造成污染及其风险程度，将厂区划分为重点防渗区、一般防渗区和简单防渗区。重点防渗区是可能会对地下水造成污染，风险程度较高，需要重点防治的区域；一般防渗区是可能会对地下水造成污染，但危害性或风险程度相对较低的区域；简单防渗区为不会对地下水造成污染的区域。</w:t>
            </w:r>
          </w:p>
          <w:p w14:paraId="3377F2DF">
            <w:pPr>
              <w:adjustRightInd w:val="0"/>
              <w:snapToGrid w:val="0"/>
              <w:spacing w:line="360" w:lineRule="auto"/>
              <w:ind w:firstLine="480" w:firstLineChars="200"/>
              <w:rPr>
                <w:kern w:val="0"/>
                <w:sz w:val="24"/>
                <w:szCs w:val="24"/>
              </w:rPr>
            </w:pPr>
            <w:r>
              <w:rPr>
                <w:kern w:val="0"/>
                <w:sz w:val="24"/>
                <w:szCs w:val="24"/>
              </w:rPr>
              <w:t>一般防渗区：主要包括生产车间内其他生产区域；</w:t>
            </w:r>
          </w:p>
          <w:p w14:paraId="1E62DAD1">
            <w:pPr>
              <w:adjustRightInd w:val="0"/>
              <w:snapToGrid w:val="0"/>
              <w:spacing w:line="360" w:lineRule="auto"/>
              <w:ind w:firstLine="480" w:firstLineChars="200"/>
              <w:rPr>
                <w:kern w:val="0"/>
                <w:sz w:val="24"/>
                <w:szCs w:val="24"/>
              </w:rPr>
            </w:pPr>
            <w:r>
              <w:rPr>
                <w:kern w:val="0"/>
                <w:sz w:val="24"/>
                <w:szCs w:val="24"/>
              </w:rPr>
              <w:t>简单防渗区：办公区域。</w:t>
            </w:r>
          </w:p>
          <w:p w14:paraId="64690CFA">
            <w:pPr>
              <w:adjustRightInd w:val="0"/>
              <w:snapToGrid w:val="0"/>
              <w:spacing w:line="360" w:lineRule="auto"/>
              <w:ind w:firstLine="480" w:firstLineChars="200"/>
              <w:rPr>
                <w:kern w:val="0"/>
                <w:sz w:val="24"/>
                <w:szCs w:val="24"/>
              </w:rPr>
            </w:pPr>
            <w:r>
              <w:rPr>
                <w:kern w:val="0"/>
                <w:sz w:val="24"/>
                <w:szCs w:val="24"/>
              </w:rPr>
              <w:t>结合场地基础防渗能力，不同区域采取相应的防渗防腐措施，制定相应的污染事故应急处置预案。</w:t>
            </w:r>
          </w:p>
          <w:p w14:paraId="7D635BD2">
            <w:pPr>
              <w:adjustRightInd w:val="0"/>
              <w:snapToGrid w:val="0"/>
              <w:spacing w:line="360" w:lineRule="auto"/>
              <w:ind w:firstLine="480" w:firstLineChars="200"/>
              <w:rPr>
                <w:kern w:val="0"/>
                <w:sz w:val="24"/>
                <w:szCs w:val="24"/>
              </w:rPr>
            </w:pPr>
            <w:r>
              <w:rPr>
                <w:kern w:val="0"/>
                <w:sz w:val="24"/>
                <w:szCs w:val="24"/>
              </w:rPr>
              <w:t>②分区防治防渗措施</w:t>
            </w:r>
          </w:p>
          <w:p w14:paraId="0AC0A438">
            <w:pPr>
              <w:adjustRightInd w:val="0"/>
              <w:snapToGrid w:val="0"/>
              <w:spacing w:line="360" w:lineRule="auto"/>
              <w:ind w:firstLine="480" w:firstLineChars="200"/>
              <w:rPr>
                <w:kern w:val="0"/>
                <w:sz w:val="24"/>
                <w:szCs w:val="24"/>
              </w:rPr>
            </w:pPr>
            <w:r>
              <w:rPr>
                <w:kern w:val="0"/>
                <w:sz w:val="24"/>
                <w:szCs w:val="24"/>
              </w:rPr>
              <w:t>重点防渗区：污泥暂存间地面1.5m高的墙裙采用厚度25cmP4等级混凝土+2mm厚高密度聚乙烯（或其它人工材料），确保渗透系数K≤1×10</w:t>
            </w:r>
            <w:r>
              <w:rPr>
                <w:kern w:val="0"/>
                <w:sz w:val="24"/>
                <w:szCs w:val="24"/>
                <w:vertAlign w:val="superscript"/>
              </w:rPr>
              <w:t>-10</w:t>
            </w:r>
            <w:r>
              <w:rPr>
                <w:kern w:val="0"/>
                <w:sz w:val="24"/>
                <w:szCs w:val="24"/>
              </w:rPr>
              <w:t>cm/s；污水处理站各构筑物（含事故池、污水管道），采用厚度 25cmP4 等级混凝土+2mm 厚高密度聚乙烯，确保渗透系数 K≤1×10</w:t>
            </w:r>
            <w:r>
              <w:rPr>
                <w:kern w:val="0"/>
                <w:sz w:val="24"/>
                <w:szCs w:val="24"/>
                <w:vertAlign w:val="superscript"/>
              </w:rPr>
              <w:t>-7</w:t>
            </w:r>
            <w:r>
              <w:rPr>
                <w:kern w:val="0"/>
                <w:sz w:val="24"/>
                <w:szCs w:val="24"/>
              </w:rPr>
              <w:t>cm/s。</w:t>
            </w:r>
          </w:p>
          <w:p w14:paraId="16F14816">
            <w:pPr>
              <w:adjustRightInd w:val="0"/>
              <w:snapToGrid w:val="0"/>
              <w:spacing w:line="360" w:lineRule="auto"/>
              <w:ind w:firstLine="480" w:firstLineChars="200"/>
              <w:rPr>
                <w:kern w:val="0"/>
                <w:sz w:val="24"/>
                <w:szCs w:val="24"/>
              </w:rPr>
            </w:pPr>
            <w:r>
              <w:rPr>
                <w:kern w:val="0"/>
                <w:sz w:val="24"/>
                <w:szCs w:val="24"/>
              </w:rPr>
              <w:t>一般防渗区：采用厚度20cmP4等级混凝土，确保渗透系数K≤1.0×10</w:t>
            </w:r>
            <w:r>
              <w:rPr>
                <w:kern w:val="0"/>
                <w:sz w:val="24"/>
                <w:szCs w:val="24"/>
                <w:vertAlign w:val="superscript"/>
              </w:rPr>
              <w:t>-7</w:t>
            </w:r>
            <w:r>
              <w:rPr>
                <w:kern w:val="0"/>
                <w:sz w:val="24"/>
                <w:szCs w:val="24"/>
              </w:rPr>
              <w:t>cm/s。</w:t>
            </w:r>
          </w:p>
          <w:p w14:paraId="2C5C5CD4">
            <w:pPr>
              <w:adjustRightInd w:val="0"/>
              <w:snapToGrid w:val="0"/>
              <w:spacing w:line="360" w:lineRule="auto"/>
              <w:ind w:firstLine="480" w:firstLineChars="200"/>
              <w:rPr>
                <w:kern w:val="0"/>
                <w:sz w:val="24"/>
                <w:szCs w:val="24"/>
              </w:rPr>
            </w:pPr>
            <w:r>
              <w:rPr>
                <w:kern w:val="0"/>
                <w:sz w:val="24"/>
                <w:szCs w:val="24"/>
              </w:rPr>
              <w:t>简单防渗区：采用一般地面硬化。</w:t>
            </w:r>
          </w:p>
          <w:p w14:paraId="6D6D02D0">
            <w:pPr>
              <w:adjustRightInd w:val="0"/>
              <w:snapToGrid w:val="0"/>
              <w:spacing w:line="360" w:lineRule="auto"/>
              <w:jc w:val="center"/>
              <w:rPr>
                <w:b/>
                <w:bCs/>
                <w:kern w:val="0"/>
                <w:sz w:val="24"/>
                <w:szCs w:val="24"/>
              </w:rPr>
            </w:pPr>
            <w:r>
              <w:rPr>
                <w:b/>
                <w:bCs/>
                <w:kern w:val="0"/>
                <w:sz w:val="24"/>
                <w:szCs w:val="24"/>
              </w:rPr>
              <w:t>表4-2</w:t>
            </w:r>
            <w:r>
              <w:rPr>
                <w:rFonts w:hint="eastAsia"/>
                <w:b/>
                <w:bCs/>
                <w:kern w:val="0"/>
                <w:sz w:val="24"/>
                <w:szCs w:val="24"/>
              </w:rPr>
              <w:t>0</w:t>
            </w:r>
            <w:r>
              <w:rPr>
                <w:b/>
                <w:bCs/>
                <w:kern w:val="0"/>
                <w:sz w:val="24"/>
                <w:szCs w:val="24"/>
              </w:rPr>
              <w:t xml:space="preserve">  项目场地防渗工程要求一览表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23"/>
              <w:gridCol w:w="1256"/>
              <w:gridCol w:w="3415"/>
              <w:gridCol w:w="2199"/>
            </w:tblGrid>
            <w:tr w14:paraId="2410C9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23" w:type="dxa"/>
                  <w:vAlign w:val="center"/>
                </w:tcPr>
                <w:p w14:paraId="5366FB24">
                  <w:pPr>
                    <w:adjustRightInd w:val="0"/>
                    <w:snapToGrid w:val="0"/>
                    <w:jc w:val="center"/>
                    <w:rPr>
                      <w:b/>
                      <w:bCs/>
                      <w:kern w:val="0"/>
                      <w:szCs w:val="21"/>
                    </w:rPr>
                  </w:pPr>
                  <w:r>
                    <w:rPr>
                      <w:b/>
                      <w:bCs/>
                      <w:kern w:val="0"/>
                      <w:szCs w:val="21"/>
                    </w:rPr>
                    <w:t>场区内建构筑物</w:t>
                  </w:r>
                </w:p>
              </w:tc>
              <w:tc>
                <w:tcPr>
                  <w:tcW w:w="1256" w:type="dxa"/>
                  <w:vAlign w:val="center"/>
                </w:tcPr>
                <w:p w14:paraId="72F37E6D">
                  <w:pPr>
                    <w:adjustRightInd w:val="0"/>
                    <w:snapToGrid w:val="0"/>
                    <w:jc w:val="center"/>
                    <w:rPr>
                      <w:b/>
                      <w:bCs/>
                      <w:kern w:val="0"/>
                      <w:szCs w:val="21"/>
                    </w:rPr>
                  </w:pPr>
                  <w:r>
                    <w:rPr>
                      <w:b/>
                      <w:bCs/>
                      <w:kern w:val="0"/>
                      <w:szCs w:val="21"/>
                    </w:rPr>
                    <w:t>防渗分区</w:t>
                  </w:r>
                </w:p>
              </w:tc>
              <w:tc>
                <w:tcPr>
                  <w:tcW w:w="3415" w:type="dxa"/>
                  <w:vAlign w:val="center"/>
                </w:tcPr>
                <w:p w14:paraId="6E1F15F1">
                  <w:pPr>
                    <w:adjustRightInd w:val="0"/>
                    <w:snapToGrid w:val="0"/>
                    <w:jc w:val="center"/>
                    <w:rPr>
                      <w:b/>
                      <w:bCs/>
                      <w:kern w:val="0"/>
                      <w:szCs w:val="21"/>
                    </w:rPr>
                  </w:pPr>
                  <w:r>
                    <w:rPr>
                      <w:b/>
                      <w:bCs/>
                      <w:kern w:val="0"/>
                      <w:szCs w:val="21"/>
                    </w:rPr>
                    <w:t>防渗技术要求</w:t>
                  </w:r>
                </w:p>
              </w:tc>
              <w:tc>
                <w:tcPr>
                  <w:tcW w:w="2199" w:type="dxa"/>
                  <w:vAlign w:val="center"/>
                </w:tcPr>
                <w:p w14:paraId="60BEDC47">
                  <w:pPr>
                    <w:adjustRightInd w:val="0"/>
                    <w:snapToGrid w:val="0"/>
                    <w:jc w:val="center"/>
                    <w:rPr>
                      <w:b/>
                      <w:bCs/>
                      <w:kern w:val="0"/>
                      <w:szCs w:val="21"/>
                    </w:rPr>
                  </w:pPr>
                  <w:r>
                    <w:rPr>
                      <w:b/>
                      <w:bCs/>
                      <w:kern w:val="0"/>
                      <w:szCs w:val="21"/>
                    </w:rPr>
                    <w:t>防渗要求</w:t>
                  </w:r>
                </w:p>
              </w:tc>
            </w:tr>
            <w:tr w14:paraId="0516DC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23" w:type="dxa"/>
                  <w:vAlign w:val="center"/>
                </w:tcPr>
                <w:p w14:paraId="149E2456">
                  <w:pPr>
                    <w:adjustRightInd w:val="0"/>
                    <w:snapToGrid w:val="0"/>
                    <w:jc w:val="center"/>
                    <w:rPr>
                      <w:kern w:val="0"/>
                      <w:szCs w:val="21"/>
                    </w:rPr>
                  </w:pPr>
                  <w:r>
                    <w:rPr>
                      <w:kern w:val="0"/>
                      <w:szCs w:val="21"/>
                    </w:rPr>
                    <w:t>办公区域</w:t>
                  </w:r>
                </w:p>
              </w:tc>
              <w:tc>
                <w:tcPr>
                  <w:tcW w:w="1256" w:type="dxa"/>
                  <w:vAlign w:val="center"/>
                </w:tcPr>
                <w:p w14:paraId="1A7F4243">
                  <w:pPr>
                    <w:adjustRightInd w:val="0"/>
                    <w:snapToGrid w:val="0"/>
                    <w:jc w:val="center"/>
                    <w:rPr>
                      <w:kern w:val="0"/>
                      <w:szCs w:val="21"/>
                    </w:rPr>
                  </w:pPr>
                  <w:r>
                    <w:rPr>
                      <w:kern w:val="0"/>
                      <w:szCs w:val="21"/>
                    </w:rPr>
                    <w:t>简单防渗区</w:t>
                  </w:r>
                </w:p>
              </w:tc>
              <w:tc>
                <w:tcPr>
                  <w:tcW w:w="3415" w:type="dxa"/>
                  <w:vAlign w:val="center"/>
                </w:tcPr>
                <w:p w14:paraId="24658D57">
                  <w:pPr>
                    <w:adjustRightInd w:val="0"/>
                    <w:snapToGrid w:val="0"/>
                    <w:jc w:val="center"/>
                    <w:rPr>
                      <w:kern w:val="0"/>
                      <w:szCs w:val="21"/>
                    </w:rPr>
                  </w:pPr>
                  <w:r>
                    <w:rPr>
                      <w:kern w:val="0"/>
                      <w:szCs w:val="21"/>
                    </w:rPr>
                    <w:t>一般地面硬化</w:t>
                  </w:r>
                </w:p>
              </w:tc>
              <w:tc>
                <w:tcPr>
                  <w:tcW w:w="2199" w:type="dxa"/>
                  <w:vAlign w:val="center"/>
                </w:tcPr>
                <w:p w14:paraId="686D2598">
                  <w:pPr>
                    <w:adjustRightInd w:val="0"/>
                    <w:snapToGrid w:val="0"/>
                    <w:jc w:val="center"/>
                    <w:rPr>
                      <w:kern w:val="0"/>
                      <w:szCs w:val="21"/>
                    </w:rPr>
                  </w:pPr>
                  <w:r>
                    <w:rPr>
                      <w:kern w:val="0"/>
                      <w:szCs w:val="21"/>
                    </w:rPr>
                    <w:t>水泥硬化</w:t>
                  </w:r>
                </w:p>
              </w:tc>
            </w:tr>
            <w:tr w14:paraId="0CEBEB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23" w:type="dxa"/>
                  <w:vAlign w:val="center"/>
                </w:tcPr>
                <w:p w14:paraId="164D4E9C">
                  <w:pPr>
                    <w:adjustRightInd w:val="0"/>
                    <w:snapToGrid w:val="0"/>
                    <w:jc w:val="center"/>
                    <w:rPr>
                      <w:kern w:val="0"/>
                      <w:szCs w:val="21"/>
                    </w:rPr>
                  </w:pPr>
                  <w:r>
                    <w:rPr>
                      <w:kern w:val="0"/>
                      <w:szCs w:val="21"/>
                    </w:rPr>
                    <w:t>生产车间内其他生产区域</w:t>
                  </w:r>
                </w:p>
              </w:tc>
              <w:tc>
                <w:tcPr>
                  <w:tcW w:w="1256" w:type="dxa"/>
                  <w:vAlign w:val="center"/>
                </w:tcPr>
                <w:p w14:paraId="7BA75F12">
                  <w:pPr>
                    <w:adjustRightInd w:val="0"/>
                    <w:snapToGrid w:val="0"/>
                    <w:jc w:val="center"/>
                    <w:rPr>
                      <w:kern w:val="0"/>
                      <w:szCs w:val="21"/>
                    </w:rPr>
                  </w:pPr>
                  <w:r>
                    <w:rPr>
                      <w:kern w:val="0"/>
                      <w:szCs w:val="21"/>
                    </w:rPr>
                    <w:t>一般防渗区</w:t>
                  </w:r>
                </w:p>
              </w:tc>
              <w:tc>
                <w:tcPr>
                  <w:tcW w:w="3415" w:type="dxa"/>
                  <w:vAlign w:val="center"/>
                </w:tcPr>
                <w:p w14:paraId="7F1DECCA">
                  <w:pPr>
                    <w:adjustRightInd w:val="0"/>
                    <w:snapToGrid w:val="0"/>
                    <w:jc w:val="center"/>
                    <w:rPr>
                      <w:kern w:val="0"/>
                      <w:szCs w:val="21"/>
                    </w:rPr>
                  </w:pPr>
                  <w:r>
                    <w:rPr>
                      <w:kern w:val="0"/>
                      <w:szCs w:val="21"/>
                    </w:rPr>
                    <w:t>等效黏土防渗层 Mb≥1.5m，K≤1×10</w:t>
                  </w:r>
                  <w:r>
                    <w:rPr>
                      <w:kern w:val="0"/>
                      <w:szCs w:val="21"/>
                      <w:vertAlign w:val="superscript"/>
                    </w:rPr>
                    <w:t>-7</w:t>
                  </w:r>
                  <w:r>
                    <w:rPr>
                      <w:kern w:val="0"/>
                      <w:szCs w:val="21"/>
                    </w:rPr>
                    <w:t>cm/s 或参照 GB18598 执行</w:t>
                  </w:r>
                </w:p>
              </w:tc>
              <w:tc>
                <w:tcPr>
                  <w:tcW w:w="2199" w:type="dxa"/>
                  <w:vAlign w:val="center"/>
                </w:tcPr>
                <w:p w14:paraId="11A7A0BE">
                  <w:pPr>
                    <w:adjustRightInd w:val="0"/>
                    <w:snapToGrid w:val="0"/>
                    <w:jc w:val="center"/>
                    <w:rPr>
                      <w:kern w:val="0"/>
                      <w:szCs w:val="21"/>
                    </w:rPr>
                  </w:pPr>
                  <w:r>
                    <w:rPr>
                      <w:kern w:val="0"/>
                      <w:szCs w:val="21"/>
                    </w:rPr>
                    <w:t>厚度 20cmP4等级混凝土</w:t>
                  </w:r>
                </w:p>
              </w:tc>
            </w:tr>
            <w:tr w14:paraId="033670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23" w:type="dxa"/>
                  <w:vAlign w:val="center"/>
                </w:tcPr>
                <w:p w14:paraId="7719AF62">
                  <w:pPr>
                    <w:adjustRightInd w:val="0"/>
                    <w:snapToGrid w:val="0"/>
                    <w:jc w:val="center"/>
                    <w:rPr>
                      <w:kern w:val="0"/>
                      <w:szCs w:val="21"/>
                    </w:rPr>
                  </w:pPr>
                  <w:r>
                    <w:rPr>
                      <w:rFonts w:hint="eastAsia"/>
                      <w:kern w:val="0"/>
                      <w:szCs w:val="21"/>
                    </w:rPr>
                    <w:t>/</w:t>
                  </w:r>
                </w:p>
              </w:tc>
              <w:tc>
                <w:tcPr>
                  <w:tcW w:w="1256" w:type="dxa"/>
                  <w:vAlign w:val="center"/>
                </w:tcPr>
                <w:p w14:paraId="2C15CF88">
                  <w:pPr>
                    <w:adjustRightInd w:val="0"/>
                    <w:snapToGrid w:val="0"/>
                    <w:jc w:val="center"/>
                    <w:rPr>
                      <w:kern w:val="0"/>
                      <w:szCs w:val="21"/>
                    </w:rPr>
                  </w:pPr>
                  <w:r>
                    <w:rPr>
                      <w:kern w:val="0"/>
                      <w:szCs w:val="21"/>
                    </w:rPr>
                    <w:t>重点防渗区</w:t>
                  </w:r>
                </w:p>
              </w:tc>
              <w:tc>
                <w:tcPr>
                  <w:tcW w:w="3415" w:type="dxa"/>
                  <w:vAlign w:val="center"/>
                </w:tcPr>
                <w:p w14:paraId="5CB36576">
                  <w:pPr>
                    <w:adjustRightInd w:val="0"/>
                    <w:snapToGrid w:val="0"/>
                    <w:jc w:val="center"/>
                    <w:rPr>
                      <w:kern w:val="0"/>
                      <w:szCs w:val="21"/>
                    </w:rPr>
                  </w:pPr>
                  <w:r>
                    <w:rPr>
                      <w:kern w:val="0"/>
                      <w:szCs w:val="21"/>
                    </w:rPr>
                    <w:t>防渗层为至少2mm厚高密度聚乙烯，或至少2mm 厚的其它人工材料，渗透系数≤10-</w:t>
                  </w:r>
                  <w:r>
                    <w:rPr>
                      <w:kern w:val="0"/>
                      <w:szCs w:val="21"/>
                      <w:vertAlign w:val="superscript"/>
                    </w:rPr>
                    <w:t>10</w:t>
                  </w:r>
                  <w:r>
                    <w:rPr>
                      <w:kern w:val="0"/>
                      <w:szCs w:val="21"/>
                    </w:rPr>
                    <w:t>cm/s</w:t>
                  </w:r>
                </w:p>
              </w:tc>
              <w:tc>
                <w:tcPr>
                  <w:tcW w:w="2199" w:type="dxa"/>
                  <w:vAlign w:val="center"/>
                </w:tcPr>
                <w:p w14:paraId="2709A523">
                  <w:pPr>
                    <w:adjustRightInd w:val="0"/>
                    <w:snapToGrid w:val="0"/>
                    <w:jc w:val="center"/>
                    <w:rPr>
                      <w:kern w:val="0"/>
                      <w:szCs w:val="21"/>
                    </w:rPr>
                  </w:pPr>
                  <w:r>
                    <w:rPr>
                      <w:kern w:val="0"/>
                      <w:szCs w:val="21"/>
                    </w:rPr>
                    <w:t>厚度25cmP4等级混凝士+2mm 厚高密度聚乙烯</w:t>
                  </w:r>
                </w:p>
              </w:tc>
            </w:tr>
          </w:tbl>
          <w:p w14:paraId="65D28B12">
            <w:pPr>
              <w:adjustRightInd w:val="0"/>
              <w:snapToGrid w:val="0"/>
              <w:spacing w:line="360" w:lineRule="auto"/>
              <w:ind w:firstLine="480" w:firstLineChars="200"/>
              <w:rPr>
                <w:kern w:val="0"/>
                <w:sz w:val="24"/>
                <w:szCs w:val="24"/>
              </w:rPr>
            </w:pPr>
            <w:r>
              <w:rPr>
                <w:kern w:val="0"/>
                <w:sz w:val="24"/>
                <w:szCs w:val="24"/>
              </w:rPr>
              <w:t>在项目采取防渗措施后，其各种状况下的污染物对地下水和土壤的影响能达到地下水和土壤环境的要求。更好的保护地下水和土壤环境，本项目环评提出地下水和土壤防渗措施的标准和要求，在充分落实以上地下水和土壤防渗措施的前提下，项目建设能达到保护地下水和土壤环境的目的。</w:t>
            </w:r>
          </w:p>
          <w:p w14:paraId="17848242">
            <w:pPr>
              <w:adjustRightInd w:val="0"/>
              <w:snapToGrid w:val="0"/>
              <w:spacing w:line="360" w:lineRule="auto"/>
              <w:ind w:firstLine="480" w:firstLineChars="200"/>
              <w:rPr>
                <w:bCs/>
                <w:sz w:val="24"/>
                <w:szCs w:val="24"/>
              </w:rPr>
            </w:pPr>
            <w:r>
              <w:rPr>
                <w:kern w:val="0"/>
                <w:sz w:val="24"/>
                <w:szCs w:val="24"/>
              </w:rPr>
              <w:t>综上所述，本项目正常工况下无污染地下水、土壤环境的污染途径，不会对地下水、土壤环境造成影响</w:t>
            </w:r>
            <w:r>
              <w:rPr>
                <w:color w:val="000000"/>
                <w:kern w:val="0"/>
                <w:sz w:val="24"/>
                <w:szCs w:val="24"/>
              </w:rPr>
              <w:t>。</w:t>
            </w:r>
          </w:p>
          <w:p w14:paraId="69BF4F5D">
            <w:pPr>
              <w:adjustRightInd w:val="0"/>
              <w:snapToGrid w:val="0"/>
              <w:spacing w:line="360" w:lineRule="auto"/>
              <w:rPr>
                <w:b/>
                <w:color w:val="000000"/>
                <w:sz w:val="24"/>
                <w:szCs w:val="24"/>
              </w:rPr>
            </w:pPr>
            <w:r>
              <w:rPr>
                <w:b/>
                <w:color w:val="000000"/>
                <w:sz w:val="24"/>
                <w:szCs w:val="24"/>
              </w:rPr>
              <w:t>6 环境风险</w:t>
            </w:r>
          </w:p>
          <w:p w14:paraId="30C8A8EA">
            <w:pPr>
              <w:adjustRightInd w:val="0"/>
              <w:snapToGrid w:val="0"/>
              <w:spacing w:line="360" w:lineRule="auto"/>
              <w:ind w:firstLine="480" w:firstLineChars="200"/>
              <w:rPr>
                <w:bCs/>
                <w:color w:val="000000"/>
                <w:sz w:val="24"/>
                <w:szCs w:val="24"/>
              </w:rPr>
            </w:pPr>
            <w:r>
              <w:rPr>
                <w:bCs/>
                <w:color w:val="000000"/>
                <w:sz w:val="24"/>
                <w:szCs w:val="24"/>
              </w:rPr>
              <w:t>（1）环境风险识别内容</w:t>
            </w:r>
          </w:p>
          <w:p w14:paraId="07142C7B">
            <w:pPr>
              <w:adjustRightInd w:val="0"/>
              <w:snapToGrid w:val="0"/>
              <w:spacing w:line="360" w:lineRule="auto"/>
              <w:ind w:firstLine="480" w:firstLineChars="200"/>
              <w:rPr>
                <w:bCs/>
                <w:color w:val="000000"/>
                <w:sz w:val="24"/>
                <w:szCs w:val="24"/>
              </w:rPr>
            </w:pPr>
            <w:r>
              <w:rPr>
                <w:bCs/>
                <w:color w:val="000000"/>
                <w:sz w:val="24"/>
                <w:szCs w:val="24"/>
              </w:rPr>
              <w:t>环境风险识别主要包括物质危险性识别、生产系统危险性识别和危险物质向环境转移的途径识别。</w:t>
            </w:r>
          </w:p>
          <w:p w14:paraId="15611911">
            <w:pPr>
              <w:adjustRightInd w:val="0"/>
              <w:snapToGrid w:val="0"/>
              <w:spacing w:line="360" w:lineRule="auto"/>
              <w:ind w:firstLine="480"/>
              <w:rPr>
                <w:bCs/>
                <w:color w:val="000000"/>
                <w:sz w:val="24"/>
                <w:szCs w:val="24"/>
              </w:rPr>
            </w:pPr>
            <w:r>
              <w:rPr>
                <w:rFonts w:hint="eastAsia"/>
                <w:bCs/>
                <w:color w:val="000000"/>
                <w:sz w:val="24"/>
                <w:szCs w:val="24"/>
              </w:rPr>
              <w:t>①</w:t>
            </w:r>
            <w:r>
              <w:rPr>
                <w:bCs/>
                <w:color w:val="000000"/>
                <w:sz w:val="24"/>
                <w:szCs w:val="24"/>
              </w:rPr>
              <w:t>物质危险性识别</w:t>
            </w:r>
          </w:p>
          <w:p w14:paraId="36D30D50">
            <w:pPr>
              <w:adjustRightInd w:val="0"/>
              <w:snapToGrid w:val="0"/>
              <w:spacing w:line="360" w:lineRule="auto"/>
              <w:ind w:firstLine="480" w:firstLineChars="200"/>
              <w:rPr>
                <w:bCs/>
                <w:sz w:val="24"/>
                <w:szCs w:val="24"/>
              </w:rPr>
            </w:pPr>
            <w:r>
              <w:rPr>
                <w:bCs/>
                <w:color w:val="000000"/>
                <w:sz w:val="24"/>
                <w:szCs w:val="24"/>
              </w:rPr>
              <w:t>根据《建设项目环境风险评价技术导则》（HJ 169-2018），物质危险性识别范围主要为原材料及辅助材料、燃料、中间产品、副产品、最终产品、污染物、火灾和爆炸伴生/次生物等。对照附录 B 所列出的物质，本项目不涉及环境风险物质。</w:t>
            </w:r>
          </w:p>
          <w:p w14:paraId="5F365751">
            <w:pPr>
              <w:adjustRightInd w:val="0"/>
              <w:snapToGrid w:val="0"/>
              <w:spacing w:line="360" w:lineRule="auto"/>
              <w:ind w:firstLine="480" w:firstLineChars="200"/>
              <w:rPr>
                <w:bCs/>
                <w:color w:val="000000"/>
                <w:sz w:val="24"/>
                <w:szCs w:val="24"/>
              </w:rPr>
            </w:pPr>
            <w:r>
              <w:rPr>
                <w:rFonts w:hint="eastAsia"/>
                <w:bCs/>
                <w:color w:val="000000"/>
                <w:sz w:val="24"/>
                <w:szCs w:val="24"/>
              </w:rPr>
              <w:t>②</w:t>
            </w:r>
            <w:r>
              <w:rPr>
                <w:bCs/>
                <w:color w:val="000000"/>
                <w:sz w:val="24"/>
                <w:szCs w:val="24"/>
              </w:rPr>
              <w:t>生产系统危险性识别</w:t>
            </w:r>
          </w:p>
          <w:p w14:paraId="11A4B0AF">
            <w:pPr>
              <w:adjustRightInd w:val="0"/>
              <w:snapToGrid w:val="0"/>
              <w:spacing w:line="360" w:lineRule="auto"/>
              <w:ind w:firstLine="480" w:firstLineChars="200"/>
              <w:rPr>
                <w:bCs/>
                <w:color w:val="000000"/>
                <w:sz w:val="24"/>
                <w:szCs w:val="24"/>
              </w:rPr>
            </w:pPr>
            <w:r>
              <w:rPr>
                <w:bCs/>
                <w:color w:val="000000"/>
                <w:sz w:val="24"/>
                <w:szCs w:val="24"/>
              </w:rPr>
              <w:t>生产系统危险性识别，包括主要生产装置、储运设施、公用工程和辅助生产设施，以及环境保护设施等。本项目生产系统危险性识别主要考虑含废水泄漏等，具体生产系统危险性识别内容如下表所示。</w:t>
            </w:r>
          </w:p>
          <w:p w14:paraId="1D5F53F4">
            <w:pPr>
              <w:tabs>
                <w:tab w:val="left" w:pos="2196"/>
              </w:tabs>
              <w:spacing w:line="360" w:lineRule="auto"/>
              <w:jc w:val="center"/>
              <w:rPr>
                <w:b/>
                <w:color w:val="000000"/>
                <w:sz w:val="24"/>
                <w:szCs w:val="24"/>
              </w:rPr>
            </w:pPr>
          </w:p>
          <w:p w14:paraId="04E4E43F">
            <w:pPr>
              <w:tabs>
                <w:tab w:val="left" w:pos="2196"/>
              </w:tabs>
              <w:spacing w:line="360" w:lineRule="auto"/>
              <w:jc w:val="center"/>
              <w:rPr>
                <w:b/>
                <w:color w:val="000000"/>
                <w:sz w:val="24"/>
                <w:szCs w:val="24"/>
              </w:rPr>
            </w:pPr>
            <w:r>
              <w:rPr>
                <w:b/>
                <w:color w:val="000000"/>
                <w:sz w:val="24"/>
                <w:szCs w:val="24"/>
              </w:rPr>
              <w:t>表4-2</w:t>
            </w:r>
            <w:r>
              <w:rPr>
                <w:rFonts w:hint="eastAsia"/>
                <w:b/>
                <w:color w:val="000000"/>
                <w:sz w:val="24"/>
                <w:szCs w:val="24"/>
              </w:rPr>
              <w:t>1</w:t>
            </w:r>
            <w:r>
              <w:rPr>
                <w:b/>
                <w:color w:val="000000"/>
                <w:sz w:val="24"/>
                <w:szCs w:val="24"/>
              </w:rPr>
              <w:t xml:space="preserve">  本项目生产系统危险性识别一览表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99"/>
              <w:gridCol w:w="1739"/>
              <w:gridCol w:w="994"/>
              <w:gridCol w:w="1345"/>
              <w:gridCol w:w="2835"/>
              <w:gridCol w:w="781"/>
            </w:tblGrid>
            <w:tr w14:paraId="636445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470" w:type="pct"/>
                  <w:vAlign w:val="center"/>
                </w:tcPr>
                <w:p w14:paraId="501C7120">
                  <w:pPr>
                    <w:pStyle w:val="105"/>
                    <w:spacing w:after="0"/>
                    <w:ind w:firstLine="0" w:firstLineChars="0"/>
                    <w:jc w:val="center"/>
                    <w:rPr>
                      <w:b/>
                      <w:szCs w:val="21"/>
                    </w:rPr>
                  </w:pPr>
                  <w:r>
                    <w:rPr>
                      <w:b/>
                      <w:szCs w:val="21"/>
                    </w:rPr>
                    <w:t>序号</w:t>
                  </w:r>
                </w:p>
              </w:tc>
              <w:tc>
                <w:tcPr>
                  <w:tcW w:w="1024" w:type="pct"/>
                  <w:vAlign w:val="center"/>
                </w:tcPr>
                <w:p w14:paraId="23A7DD24">
                  <w:pPr>
                    <w:pStyle w:val="105"/>
                    <w:spacing w:after="0"/>
                    <w:ind w:firstLine="0" w:firstLineChars="0"/>
                    <w:jc w:val="center"/>
                    <w:rPr>
                      <w:b/>
                      <w:szCs w:val="21"/>
                    </w:rPr>
                  </w:pPr>
                  <w:r>
                    <w:rPr>
                      <w:b/>
                      <w:szCs w:val="21"/>
                    </w:rPr>
                    <w:t>生产系统名称</w:t>
                  </w:r>
                </w:p>
              </w:tc>
              <w:tc>
                <w:tcPr>
                  <w:tcW w:w="585" w:type="pct"/>
                  <w:vAlign w:val="center"/>
                </w:tcPr>
                <w:p w14:paraId="11231529">
                  <w:pPr>
                    <w:pStyle w:val="105"/>
                    <w:spacing w:after="0"/>
                    <w:ind w:firstLine="0" w:firstLineChars="0"/>
                    <w:jc w:val="center"/>
                    <w:rPr>
                      <w:b/>
                      <w:szCs w:val="21"/>
                    </w:rPr>
                  </w:pPr>
                  <w:r>
                    <w:rPr>
                      <w:b/>
                      <w:szCs w:val="21"/>
                    </w:rPr>
                    <w:t>数量</w:t>
                  </w:r>
                </w:p>
              </w:tc>
              <w:tc>
                <w:tcPr>
                  <w:tcW w:w="792" w:type="pct"/>
                  <w:vAlign w:val="center"/>
                </w:tcPr>
                <w:p w14:paraId="79B4B9E0">
                  <w:pPr>
                    <w:pStyle w:val="105"/>
                    <w:spacing w:after="0"/>
                    <w:ind w:firstLine="0" w:firstLineChars="0"/>
                    <w:jc w:val="center"/>
                    <w:rPr>
                      <w:b/>
                      <w:szCs w:val="21"/>
                    </w:rPr>
                  </w:pPr>
                  <w:r>
                    <w:rPr>
                      <w:b/>
                      <w:szCs w:val="21"/>
                    </w:rPr>
                    <w:t>位置</w:t>
                  </w:r>
                </w:p>
              </w:tc>
              <w:tc>
                <w:tcPr>
                  <w:tcW w:w="1669" w:type="pct"/>
                  <w:vAlign w:val="center"/>
                </w:tcPr>
                <w:p w14:paraId="23A1C4A9">
                  <w:pPr>
                    <w:pStyle w:val="105"/>
                    <w:spacing w:after="0"/>
                    <w:ind w:firstLine="0" w:firstLineChars="0"/>
                    <w:jc w:val="center"/>
                    <w:rPr>
                      <w:b/>
                      <w:szCs w:val="21"/>
                    </w:rPr>
                  </w:pPr>
                  <w:r>
                    <w:rPr>
                      <w:b/>
                      <w:szCs w:val="21"/>
                    </w:rPr>
                    <w:t>危险性识别</w:t>
                  </w:r>
                </w:p>
              </w:tc>
              <w:tc>
                <w:tcPr>
                  <w:tcW w:w="460" w:type="pct"/>
                  <w:vAlign w:val="center"/>
                </w:tcPr>
                <w:p w14:paraId="19FB404E">
                  <w:pPr>
                    <w:pStyle w:val="105"/>
                    <w:spacing w:after="0"/>
                    <w:ind w:firstLine="0" w:firstLineChars="0"/>
                    <w:jc w:val="center"/>
                    <w:rPr>
                      <w:b/>
                      <w:szCs w:val="21"/>
                    </w:rPr>
                  </w:pPr>
                  <w:r>
                    <w:rPr>
                      <w:b/>
                      <w:szCs w:val="21"/>
                    </w:rPr>
                    <w:t>备注</w:t>
                  </w:r>
                </w:p>
              </w:tc>
            </w:tr>
            <w:tr w14:paraId="4B57AC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0" w:type="pct"/>
                  <w:vAlign w:val="center"/>
                </w:tcPr>
                <w:p w14:paraId="3EEF826C">
                  <w:pPr>
                    <w:pStyle w:val="7"/>
                    <w:spacing w:after="0"/>
                    <w:ind w:firstLine="0" w:firstLineChars="0"/>
                    <w:jc w:val="center"/>
                    <w:rPr>
                      <w:szCs w:val="21"/>
                    </w:rPr>
                  </w:pPr>
                  <w:r>
                    <w:rPr>
                      <w:szCs w:val="21"/>
                    </w:rPr>
                    <w:t>1</w:t>
                  </w:r>
                </w:p>
              </w:tc>
              <w:tc>
                <w:tcPr>
                  <w:tcW w:w="1024" w:type="pct"/>
                  <w:vAlign w:val="center"/>
                </w:tcPr>
                <w:p w14:paraId="43F67109">
                  <w:pPr>
                    <w:jc w:val="center"/>
                    <w:rPr>
                      <w:szCs w:val="21"/>
                    </w:rPr>
                  </w:pPr>
                  <w:r>
                    <w:rPr>
                      <w:szCs w:val="21"/>
                    </w:rPr>
                    <w:t>废气处理系统</w:t>
                  </w:r>
                </w:p>
              </w:tc>
              <w:tc>
                <w:tcPr>
                  <w:tcW w:w="585" w:type="pct"/>
                  <w:vAlign w:val="center"/>
                </w:tcPr>
                <w:p w14:paraId="0828AB1B">
                  <w:pPr>
                    <w:pStyle w:val="7"/>
                    <w:spacing w:after="0"/>
                    <w:ind w:firstLine="0" w:firstLineChars="0"/>
                    <w:jc w:val="center"/>
                    <w:rPr>
                      <w:szCs w:val="21"/>
                    </w:rPr>
                  </w:pPr>
                  <w:r>
                    <w:rPr>
                      <w:szCs w:val="21"/>
                    </w:rPr>
                    <w:t>1套</w:t>
                  </w:r>
                </w:p>
              </w:tc>
              <w:tc>
                <w:tcPr>
                  <w:tcW w:w="792" w:type="pct"/>
                  <w:vAlign w:val="center"/>
                </w:tcPr>
                <w:p w14:paraId="2526A456">
                  <w:pPr>
                    <w:pStyle w:val="7"/>
                    <w:spacing w:after="0"/>
                    <w:ind w:firstLine="0" w:firstLineChars="0"/>
                    <w:jc w:val="center"/>
                    <w:rPr>
                      <w:szCs w:val="21"/>
                    </w:rPr>
                  </w:pPr>
                  <w:r>
                    <w:rPr>
                      <w:szCs w:val="21"/>
                    </w:rPr>
                    <w:t>锅炉车间</w:t>
                  </w:r>
                </w:p>
              </w:tc>
              <w:tc>
                <w:tcPr>
                  <w:tcW w:w="1669" w:type="pct"/>
                  <w:vAlign w:val="center"/>
                </w:tcPr>
                <w:p w14:paraId="4E486A87">
                  <w:pPr>
                    <w:pStyle w:val="128"/>
                    <w:spacing w:after="0"/>
                    <w:ind w:firstLine="0" w:firstLineChars="0"/>
                    <w:jc w:val="center"/>
                    <w:rPr>
                      <w:color w:val="000000"/>
                    </w:rPr>
                  </w:pPr>
                  <w:r>
                    <w:rPr>
                      <w:color w:val="000000"/>
                    </w:rPr>
                    <w:t>废气收集措施故障，导致</w:t>
                  </w:r>
                </w:p>
                <w:p w14:paraId="0E2607AC">
                  <w:pPr>
                    <w:pStyle w:val="7"/>
                    <w:spacing w:after="0"/>
                    <w:ind w:firstLine="0" w:firstLineChars="0"/>
                    <w:jc w:val="center"/>
                    <w:rPr>
                      <w:szCs w:val="21"/>
                    </w:rPr>
                  </w:pPr>
                  <w:r>
                    <w:rPr>
                      <w:color w:val="000000"/>
                    </w:rPr>
                    <w:t>废气未收集排放</w:t>
                  </w:r>
                </w:p>
              </w:tc>
              <w:tc>
                <w:tcPr>
                  <w:tcW w:w="460" w:type="pct"/>
                  <w:vAlign w:val="center"/>
                </w:tcPr>
                <w:p w14:paraId="1031ED1F">
                  <w:pPr>
                    <w:pStyle w:val="7"/>
                    <w:spacing w:after="0"/>
                    <w:ind w:firstLine="0" w:firstLineChars="0"/>
                    <w:jc w:val="center"/>
                    <w:rPr>
                      <w:szCs w:val="21"/>
                    </w:rPr>
                  </w:pPr>
                  <w:r>
                    <w:rPr>
                      <w:szCs w:val="21"/>
                    </w:rPr>
                    <w:t>/</w:t>
                  </w:r>
                </w:p>
              </w:tc>
            </w:tr>
            <w:tr w14:paraId="1F731B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0" w:type="pct"/>
                  <w:vAlign w:val="center"/>
                </w:tcPr>
                <w:p w14:paraId="252A175B">
                  <w:pPr>
                    <w:pStyle w:val="7"/>
                    <w:spacing w:after="0"/>
                    <w:ind w:firstLine="0" w:firstLineChars="0"/>
                    <w:jc w:val="center"/>
                    <w:rPr>
                      <w:szCs w:val="21"/>
                    </w:rPr>
                  </w:pPr>
                  <w:r>
                    <w:rPr>
                      <w:szCs w:val="21"/>
                    </w:rPr>
                    <w:t>2</w:t>
                  </w:r>
                </w:p>
              </w:tc>
              <w:tc>
                <w:tcPr>
                  <w:tcW w:w="1024" w:type="pct"/>
                  <w:vAlign w:val="center"/>
                </w:tcPr>
                <w:p w14:paraId="5CB04E62">
                  <w:pPr>
                    <w:jc w:val="center"/>
                    <w:rPr>
                      <w:color w:val="000000"/>
                      <w:szCs w:val="21"/>
                    </w:rPr>
                  </w:pPr>
                  <w:r>
                    <w:rPr>
                      <w:color w:val="000000"/>
                    </w:rPr>
                    <w:t>油类原料储存间</w:t>
                  </w:r>
                </w:p>
              </w:tc>
              <w:tc>
                <w:tcPr>
                  <w:tcW w:w="585" w:type="pct"/>
                  <w:vAlign w:val="center"/>
                </w:tcPr>
                <w:p w14:paraId="7189FC0A">
                  <w:pPr>
                    <w:pStyle w:val="128"/>
                    <w:spacing w:after="0"/>
                    <w:ind w:firstLine="0" w:firstLineChars="0"/>
                    <w:jc w:val="center"/>
                    <w:rPr>
                      <w:color w:val="000000"/>
                    </w:rPr>
                  </w:pPr>
                  <w:r>
                    <w:rPr>
                      <w:color w:val="000000"/>
                    </w:rPr>
                    <w:t>1间</w:t>
                  </w:r>
                </w:p>
              </w:tc>
              <w:tc>
                <w:tcPr>
                  <w:tcW w:w="792" w:type="pct"/>
                  <w:vAlign w:val="center"/>
                </w:tcPr>
                <w:p w14:paraId="0E0637A1">
                  <w:pPr>
                    <w:jc w:val="center"/>
                    <w:rPr>
                      <w:color w:val="000000"/>
                    </w:rPr>
                  </w:pPr>
                  <w:r>
                    <w:rPr>
                      <w:color w:val="000000"/>
                    </w:rPr>
                    <w:t>生产厂房</w:t>
                  </w:r>
                </w:p>
              </w:tc>
              <w:tc>
                <w:tcPr>
                  <w:tcW w:w="1669" w:type="pct"/>
                  <w:vAlign w:val="center"/>
                </w:tcPr>
                <w:p w14:paraId="35C573F8">
                  <w:pPr>
                    <w:pStyle w:val="128"/>
                    <w:widowControl/>
                    <w:spacing w:after="0"/>
                    <w:ind w:firstLine="0" w:firstLineChars="0"/>
                    <w:jc w:val="center"/>
                    <w:rPr>
                      <w:color w:val="000000"/>
                    </w:rPr>
                  </w:pPr>
                  <w:r>
                    <w:rPr>
                      <w:color w:val="000000"/>
                    </w:rPr>
                    <w:t>爆炸火灾</w:t>
                  </w:r>
                </w:p>
              </w:tc>
              <w:tc>
                <w:tcPr>
                  <w:tcW w:w="460" w:type="pct"/>
                  <w:vAlign w:val="center"/>
                </w:tcPr>
                <w:p w14:paraId="401EC5BE">
                  <w:pPr>
                    <w:pStyle w:val="7"/>
                    <w:spacing w:after="0"/>
                    <w:ind w:firstLine="0" w:firstLineChars="0"/>
                    <w:jc w:val="center"/>
                    <w:rPr>
                      <w:szCs w:val="21"/>
                    </w:rPr>
                  </w:pPr>
                  <w:r>
                    <w:rPr>
                      <w:rFonts w:hint="eastAsia"/>
                      <w:szCs w:val="21"/>
                    </w:rPr>
                    <w:t>/</w:t>
                  </w:r>
                </w:p>
              </w:tc>
            </w:tr>
            <w:tr w14:paraId="3122AA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0" w:type="pct"/>
                  <w:vAlign w:val="center"/>
                </w:tcPr>
                <w:p w14:paraId="0625A675">
                  <w:pPr>
                    <w:pStyle w:val="7"/>
                    <w:spacing w:after="0"/>
                    <w:ind w:firstLine="0" w:firstLineChars="0"/>
                    <w:jc w:val="center"/>
                    <w:rPr>
                      <w:szCs w:val="21"/>
                    </w:rPr>
                  </w:pPr>
                  <w:r>
                    <w:rPr>
                      <w:rFonts w:hint="eastAsia"/>
                      <w:szCs w:val="21"/>
                    </w:rPr>
                    <w:t>3</w:t>
                  </w:r>
                </w:p>
              </w:tc>
              <w:tc>
                <w:tcPr>
                  <w:tcW w:w="1739" w:type="dxa"/>
                  <w:vAlign w:val="center"/>
                </w:tcPr>
                <w:p w14:paraId="08D30D5A">
                  <w:pPr>
                    <w:jc w:val="center"/>
                    <w:rPr>
                      <w:color w:val="000000"/>
                    </w:rPr>
                  </w:pPr>
                  <w:r>
                    <w:rPr>
                      <w:rFonts w:hint="eastAsia" w:cs="宋体"/>
                      <w:color w:val="000000"/>
                      <w:szCs w:val="21"/>
                      <w:lang w:bidi="ar"/>
                    </w:rPr>
                    <w:t>废水处理系统</w:t>
                  </w:r>
                </w:p>
              </w:tc>
              <w:tc>
                <w:tcPr>
                  <w:tcW w:w="994" w:type="dxa"/>
                  <w:vAlign w:val="center"/>
                </w:tcPr>
                <w:p w14:paraId="675FB3FB">
                  <w:pPr>
                    <w:pStyle w:val="21"/>
                    <w:widowControl w:val="0"/>
                    <w:spacing w:before="0" w:beforeAutospacing="0" w:after="0" w:afterAutospacing="0"/>
                    <w:jc w:val="center"/>
                    <w:rPr>
                      <w:color w:val="000000"/>
                    </w:rPr>
                  </w:pPr>
                  <w:r>
                    <w:rPr>
                      <w:rFonts w:ascii="Times New Roman" w:hAnsi="Times New Roman"/>
                      <w:color w:val="000000"/>
                      <w:sz w:val="21"/>
                      <w:szCs w:val="21"/>
                      <w:lang w:bidi="ar"/>
                    </w:rPr>
                    <w:t>1</w:t>
                  </w:r>
                  <w:r>
                    <w:rPr>
                      <w:rFonts w:hint="eastAsia" w:ascii="Times New Roman" w:hAnsi="Times New Roman" w:cs="宋体"/>
                      <w:color w:val="000000"/>
                      <w:sz w:val="21"/>
                      <w:szCs w:val="21"/>
                      <w:lang w:bidi="ar"/>
                    </w:rPr>
                    <w:t>套</w:t>
                  </w:r>
                </w:p>
              </w:tc>
              <w:tc>
                <w:tcPr>
                  <w:tcW w:w="1345" w:type="dxa"/>
                  <w:vAlign w:val="center"/>
                </w:tcPr>
                <w:p w14:paraId="266F9A03">
                  <w:pPr>
                    <w:pStyle w:val="21"/>
                    <w:widowControl w:val="0"/>
                    <w:spacing w:before="0" w:beforeAutospacing="0" w:after="0" w:afterAutospacing="0"/>
                    <w:jc w:val="center"/>
                    <w:rPr>
                      <w:color w:val="000000"/>
                    </w:rPr>
                  </w:pPr>
                  <w:r>
                    <w:rPr>
                      <w:rFonts w:hint="eastAsia" w:ascii="Times New Roman" w:hAnsi="Times New Roman" w:cs="宋体"/>
                      <w:color w:val="000000"/>
                      <w:sz w:val="21"/>
                      <w:szCs w:val="21"/>
                      <w:lang w:bidi="ar"/>
                    </w:rPr>
                    <w:t>废水处理站</w:t>
                  </w:r>
                </w:p>
              </w:tc>
              <w:tc>
                <w:tcPr>
                  <w:tcW w:w="2835" w:type="dxa"/>
                  <w:vAlign w:val="center"/>
                </w:tcPr>
                <w:p w14:paraId="13FB03DC">
                  <w:pPr>
                    <w:pStyle w:val="21"/>
                    <w:widowControl w:val="0"/>
                    <w:spacing w:before="0" w:beforeAutospacing="0" w:after="0" w:afterAutospacing="0"/>
                    <w:jc w:val="center"/>
                    <w:rPr>
                      <w:color w:val="000000"/>
                    </w:rPr>
                  </w:pPr>
                  <w:r>
                    <w:rPr>
                      <w:rFonts w:hint="eastAsia" w:ascii="Times New Roman" w:hAnsi="Times New Roman" w:cs="宋体"/>
                      <w:color w:val="000000"/>
                      <w:sz w:val="21"/>
                      <w:szCs w:val="21"/>
                      <w:lang w:bidi="ar"/>
                    </w:rPr>
                    <w:t>废水泄露风险</w:t>
                  </w:r>
                </w:p>
              </w:tc>
              <w:tc>
                <w:tcPr>
                  <w:tcW w:w="460" w:type="pct"/>
                  <w:vAlign w:val="center"/>
                </w:tcPr>
                <w:p w14:paraId="56C0E60D">
                  <w:pPr>
                    <w:pStyle w:val="7"/>
                    <w:spacing w:after="0"/>
                    <w:ind w:firstLine="0" w:firstLineChars="0"/>
                    <w:jc w:val="center"/>
                    <w:rPr>
                      <w:szCs w:val="21"/>
                    </w:rPr>
                  </w:pPr>
                  <w:r>
                    <w:rPr>
                      <w:rFonts w:hint="eastAsia"/>
                      <w:szCs w:val="21"/>
                    </w:rPr>
                    <w:t>/</w:t>
                  </w:r>
                </w:p>
              </w:tc>
            </w:tr>
          </w:tbl>
          <w:p w14:paraId="732CEE9E">
            <w:pPr>
              <w:adjustRightInd w:val="0"/>
              <w:snapToGrid w:val="0"/>
              <w:spacing w:line="360" w:lineRule="auto"/>
              <w:ind w:firstLine="480" w:firstLineChars="200"/>
              <w:rPr>
                <w:bCs/>
                <w:color w:val="000000"/>
                <w:sz w:val="24"/>
                <w:szCs w:val="24"/>
              </w:rPr>
            </w:pPr>
            <w:r>
              <w:rPr>
                <w:bCs/>
                <w:color w:val="000000"/>
                <w:sz w:val="24"/>
                <w:szCs w:val="24"/>
              </w:rPr>
              <w:t>根据上述物质及生产系统危险性识别结果，综合分析，主要考虑本项目环境风险类型为废水泄露、废气泄露，对项目周围地表水环境、地下水环境、大气环境的影响。</w:t>
            </w:r>
          </w:p>
          <w:p w14:paraId="2B5CF5CD">
            <w:pPr>
              <w:adjustRightInd w:val="0"/>
              <w:snapToGrid w:val="0"/>
              <w:spacing w:line="360" w:lineRule="auto"/>
              <w:ind w:firstLine="480" w:firstLineChars="200"/>
              <w:rPr>
                <w:bCs/>
                <w:color w:val="000000"/>
                <w:sz w:val="24"/>
                <w:szCs w:val="24"/>
              </w:rPr>
            </w:pPr>
            <w:r>
              <w:rPr>
                <w:bCs/>
                <w:color w:val="000000"/>
                <w:sz w:val="24"/>
                <w:szCs w:val="24"/>
              </w:rPr>
              <w:t>（2）环境风险防范措施</w:t>
            </w:r>
          </w:p>
          <w:p w14:paraId="5618F538">
            <w:pPr>
              <w:spacing w:line="360" w:lineRule="auto"/>
              <w:ind w:firstLine="480" w:firstLineChars="200"/>
              <w:rPr>
                <w:color w:val="000000"/>
                <w:sz w:val="24"/>
              </w:rPr>
            </w:pPr>
            <w:r>
              <w:rPr>
                <w:color w:val="000000"/>
                <w:sz w:val="24"/>
              </w:rPr>
              <w:t>企业在生产操作过程中，必须加强安全管理，提高事故风险防范措施，做好突发性环境污染事故预防，提高对突发性污染事故的应急处理和处置能力，这对企业具有重要的意义。</w:t>
            </w:r>
          </w:p>
          <w:p w14:paraId="34235465">
            <w:pPr>
              <w:spacing w:line="360" w:lineRule="auto"/>
              <w:ind w:firstLine="482" w:firstLineChars="200"/>
              <w:rPr>
                <w:b/>
                <w:color w:val="000000"/>
                <w:sz w:val="24"/>
              </w:rPr>
            </w:pPr>
            <w:r>
              <w:rPr>
                <w:b/>
                <w:color w:val="000000"/>
                <w:sz w:val="24"/>
              </w:rPr>
              <w:t>风险防范措施</w:t>
            </w:r>
          </w:p>
          <w:p w14:paraId="307E94FC">
            <w:pPr>
              <w:spacing w:line="360" w:lineRule="auto"/>
              <w:ind w:firstLine="480" w:firstLineChars="200"/>
              <w:rPr>
                <w:bCs/>
                <w:color w:val="000000"/>
                <w:sz w:val="24"/>
              </w:rPr>
            </w:pPr>
            <w:r>
              <w:rPr>
                <w:bCs/>
                <w:color w:val="000000"/>
                <w:sz w:val="24"/>
              </w:rPr>
              <w:t>建设单位应组建安全环保管理机构，配备管理人员，通过技能培训，承担该公司运行中的环保安全工作。</w:t>
            </w:r>
          </w:p>
          <w:p w14:paraId="69F0D1F2">
            <w:pPr>
              <w:spacing w:line="360" w:lineRule="auto"/>
              <w:ind w:firstLine="480" w:firstLineChars="200"/>
              <w:rPr>
                <w:bCs/>
                <w:color w:val="000000"/>
                <w:sz w:val="24"/>
                <w:u w:val="single"/>
              </w:rPr>
            </w:pPr>
            <w:r>
              <w:rPr>
                <w:bCs/>
                <w:color w:val="000000"/>
                <w:sz w:val="24"/>
              </w:rPr>
              <w:t>安全环保机构将根据相关的环境管理要求，结合厂区具体情况，制定各项安全生产管理制度、严格的生产操作规则和完善的事故应急计划及相应的应急处理手段和设施，同时加强安全教育，以提高职工的安全意识和安全防范能力。</w:t>
            </w:r>
          </w:p>
          <w:p w14:paraId="6C89757C">
            <w:pPr>
              <w:spacing w:line="360" w:lineRule="auto"/>
              <w:ind w:firstLine="482" w:firstLineChars="200"/>
              <w:rPr>
                <w:b/>
                <w:bCs/>
                <w:sz w:val="24"/>
              </w:rPr>
            </w:pPr>
            <w:r>
              <w:rPr>
                <w:b/>
                <w:bCs/>
                <w:sz w:val="24"/>
              </w:rPr>
              <w:t>废气非正常排放防范措施</w:t>
            </w:r>
          </w:p>
          <w:p w14:paraId="4A720817">
            <w:pPr>
              <w:spacing w:line="360" w:lineRule="auto"/>
              <w:ind w:firstLine="480" w:firstLineChars="200"/>
              <w:rPr>
                <w:sz w:val="24"/>
              </w:rPr>
            </w:pPr>
            <w:r>
              <w:rPr>
                <w:sz w:val="24"/>
              </w:rPr>
              <w:t>（1）加强人员管理，定期对废气处理设施周围进行检查，发现问题及时解决，预防风险事故的发生。</w:t>
            </w:r>
          </w:p>
          <w:p w14:paraId="6909A979">
            <w:pPr>
              <w:spacing w:line="360" w:lineRule="auto"/>
              <w:ind w:firstLine="480" w:firstLineChars="200"/>
              <w:rPr>
                <w:sz w:val="24"/>
              </w:rPr>
            </w:pPr>
            <w:r>
              <w:rPr>
                <w:sz w:val="24"/>
              </w:rPr>
              <w:t>（2）企业储备备用布袋除尘，对出现废气处理设施进行排查，分析故障原因，对破损部位的进行修补或及时更换布袋。</w:t>
            </w:r>
          </w:p>
          <w:p w14:paraId="3AE4E87F">
            <w:pPr>
              <w:spacing w:line="360" w:lineRule="auto"/>
              <w:ind w:firstLine="482" w:firstLineChars="200"/>
              <w:rPr>
                <w:b/>
                <w:bCs/>
                <w:color w:val="000000"/>
                <w:sz w:val="24"/>
              </w:rPr>
            </w:pPr>
            <w:r>
              <w:rPr>
                <w:b/>
                <w:bCs/>
                <w:color w:val="000000"/>
                <w:sz w:val="24"/>
              </w:rPr>
              <w:t>食用油装卸和储存过程风险分析及防范措施</w:t>
            </w:r>
          </w:p>
          <w:p w14:paraId="0EF877CB">
            <w:pPr>
              <w:spacing w:line="360" w:lineRule="auto"/>
              <w:ind w:firstLine="480" w:firstLineChars="200"/>
              <w:rPr>
                <w:bCs/>
                <w:color w:val="000000"/>
                <w:sz w:val="24"/>
              </w:rPr>
            </w:pPr>
            <w:r>
              <w:rPr>
                <w:bCs/>
                <w:color w:val="000000"/>
                <w:sz w:val="24"/>
              </w:rPr>
              <w:t>本项目食用油在装卸和储存过程中若发生泄漏，大豆油、红油可能会随雨水沟进入地表水体，对地表水体环境产生影响；若发生火灾，会对大气环境造成成污染，危害人群健康，对灭火产生的消防废水收集处理不当也会对地表水、地下水造成影响。</w:t>
            </w:r>
          </w:p>
          <w:p w14:paraId="79E9A021">
            <w:pPr>
              <w:spacing w:line="360" w:lineRule="auto"/>
              <w:ind w:firstLine="482" w:firstLineChars="200"/>
              <w:rPr>
                <w:b/>
                <w:bCs/>
                <w:color w:val="000000"/>
                <w:sz w:val="24"/>
                <w:u w:val="single"/>
              </w:rPr>
            </w:pPr>
            <w:r>
              <w:rPr>
                <w:b/>
                <w:bCs/>
                <w:color w:val="000000"/>
                <w:sz w:val="24"/>
                <w:u w:val="single"/>
              </w:rPr>
              <w:t>食用油泄漏和火灾、爆炸次生环境风险防范措施分析</w:t>
            </w:r>
          </w:p>
          <w:p w14:paraId="2CBD4A9A">
            <w:pPr>
              <w:spacing w:line="360" w:lineRule="auto"/>
              <w:ind w:firstLine="480" w:firstLineChars="200"/>
              <w:rPr>
                <w:bCs/>
                <w:color w:val="000000"/>
                <w:sz w:val="24"/>
                <w:u w:val="single"/>
              </w:rPr>
            </w:pPr>
            <w:r>
              <w:rPr>
                <w:bCs/>
                <w:color w:val="000000"/>
                <w:sz w:val="24"/>
                <w:u w:val="single"/>
              </w:rPr>
              <w:t xml:space="preserve">A、生产厂房可燃物品贮存区须确保通风良好、配备相应品种和数量的消防器材、设置必要的防火防爆与降温技术措施、按安全部门要求预留必要的安全间距，远离火种和热源。 </w:t>
            </w:r>
          </w:p>
          <w:p w14:paraId="7195E0BD">
            <w:pPr>
              <w:spacing w:line="360" w:lineRule="auto"/>
              <w:ind w:firstLine="480" w:firstLineChars="200"/>
              <w:rPr>
                <w:bCs/>
                <w:color w:val="000000"/>
                <w:sz w:val="24"/>
                <w:u w:val="single"/>
              </w:rPr>
            </w:pPr>
            <w:r>
              <w:rPr>
                <w:bCs/>
                <w:color w:val="000000"/>
                <w:sz w:val="24"/>
                <w:u w:val="single"/>
              </w:rPr>
              <w:t xml:space="preserve">B、生产车间和原辅料及产品仓库禁止明火进入，禁止使用易产生火花的设备与工具，其照明、通风、空调、报警设施及相关用电设备均应采用防爆型装置。 </w:t>
            </w:r>
          </w:p>
          <w:p w14:paraId="1900781A">
            <w:pPr>
              <w:spacing w:line="360" w:lineRule="auto"/>
              <w:ind w:firstLine="480" w:firstLineChars="200"/>
              <w:rPr>
                <w:bCs/>
                <w:color w:val="000000"/>
                <w:sz w:val="24"/>
                <w:u w:val="single"/>
              </w:rPr>
            </w:pPr>
            <w:r>
              <w:rPr>
                <w:bCs/>
                <w:color w:val="000000"/>
                <w:sz w:val="24"/>
                <w:u w:val="single"/>
              </w:rPr>
              <w:t xml:space="preserve">C、按规范使用各类电器设备，避免漏电、短路、过流、过载、过热等而造成的绝缘失效或线路着火，定期检查厂房内的电源、线路，对老化电线及时更换。 </w:t>
            </w:r>
          </w:p>
          <w:p w14:paraId="4759A669">
            <w:pPr>
              <w:spacing w:line="360" w:lineRule="auto"/>
              <w:ind w:firstLine="480" w:firstLineChars="200"/>
              <w:rPr>
                <w:bCs/>
                <w:color w:val="000000"/>
                <w:sz w:val="24"/>
                <w:u w:val="single"/>
              </w:rPr>
            </w:pPr>
            <w:r>
              <w:rPr>
                <w:bCs/>
                <w:color w:val="000000"/>
                <w:sz w:val="24"/>
                <w:u w:val="single"/>
              </w:rPr>
              <w:t xml:space="preserve">D、禁止在生产车间和原料库、成品库等存放处有明火、吸烟等，厂区内生产车间及仓库应在显眼位置设置禁火、禁烟标识。 </w:t>
            </w:r>
          </w:p>
          <w:p w14:paraId="150143C2">
            <w:pPr>
              <w:spacing w:line="360" w:lineRule="auto"/>
              <w:ind w:firstLine="480" w:firstLineChars="200"/>
              <w:rPr>
                <w:bCs/>
                <w:color w:val="000000"/>
                <w:sz w:val="24"/>
              </w:rPr>
            </w:pPr>
            <w:r>
              <w:rPr>
                <w:bCs/>
                <w:color w:val="000000"/>
                <w:sz w:val="24"/>
                <w:u w:val="single"/>
              </w:rPr>
              <w:t>E、定期对操作人员进行安全生产与安全知识培训，并制定严格的安全操作规程，切实加强生产过程中的安全控制，保证劳动安全，防止意外事故的发生。</w:t>
            </w:r>
          </w:p>
          <w:p w14:paraId="39C3C77C">
            <w:pPr>
              <w:spacing w:line="360" w:lineRule="auto"/>
              <w:ind w:firstLine="482" w:firstLineChars="200"/>
              <w:rPr>
                <w:b/>
                <w:sz w:val="24"/>
                <w:u w:val="single"/>
              </w:rPr>
            </w:pPr>
            <w:r>
              <w:rPr>
                <w:rFonts w:hint="eastAsia"/>
                <w:b/>
                <w:sz w:val="24"/>
                <w:u w:val="single"/>
              </w:rPr>
              <w:t>天然气</w:t>
            </w:r>
            <w:r>
              <w:rPr>
                <w:b/>
                <w:sz w:val="24"/>
                <w:u w:val="single"/>
              </w:rPr>
              <w:t>事故风险防范措施</w:t>
            </w:r>
          </w:p>
          <w:p w14:paraId="3ACE431E">
            <w:pPr>
              <w:spacing w:line="360" w:lineRule="auto"/>
              <w:ind w:firstLine="480" w:firstLineChars="200"/>
              <w:rPr>
                <w:bCs/>
                <w:sz w:val="24"/>
                <w:u w:val="single"/>
              </w:rPr>
            </w:pPr>
            <w:r>
              <w:rPr>
                <w:bCs/>
                <w:sz w:val="24"/>
                <w:u w:val="single"/>
              </w:rPr>
              <w:t>加强</w:t>
            </w:r>
            <w:r>
              <w:rPr>
                <w:rFonts w:hint="eastAsia"/>
                <w:bCs/>
                <w:sz w:val="24"/>
                <w:u w:val="single"/>
              </w:rPr>
              <w:t>天然气</w:t>
            </w:r>
            <w:r>
              <w:rPr>
                <w:bCs/>
                <w:sz w:val="24"/>
                <w:u w:val="single"/>
              </w:rPr>
              <w:t>管道设施的维护保养，及时发现处理设备的隐患，并及时进行维修，</w:t>
            </w:r>
            <w:r>
              <w:rPr>
                <w:rFonts w:hint="eastAsia"/>
                <w:bCs/>
                <w:sz w:val="24"/>
                <w:u w:val="single"/>
              </w:rPr>
              <w:t>选用优质设备，选择质量优良、事故率低、便于维修的产品。易损部件留有备用件，在出现事故时能及时更换。对管道的强度进行监测，及时发现管线存在的缺陷；在天然气使用的各个环节中，建立危险气体报警设备及时检测环境中天然气的量，能够第一时间发现天然气的的泄露。</w:t>
            </w:r>
          </w:p>
          <w:p w14:paraId="02A51A75">
            <w:pPr>
              <w:spacing w:line="360" w:lineRule="auto"/>
              <w:ind w:firstLine="482" w:firstLineChars="200"/>
              <w:rPr>
                <w:b/>
                <w:bCs/>
                <w:color w:val="000000"/>
                <w:sz w:val="24"/>
              </w:rPr>
            </w:pPr>
            <w:r>
              <w:rPr>
                <w:b/>
                <w:bCs/>
                <w:color w:val="000000"/>
                <w:sz w:val="24"/>
              </w:rPr>
              <w:t>提高事故应急处理能力</w:t>
            </w:r>
          </w:p>
          <w:p w14:paraId="7FA64A1C">
            <w:pPr>
              <w:spacing w:line="360" w:lineRule="auto"/>
              <w:ind w:firstLine="480" w:firstLineChars="200"/>
              <w:rPr>
                <w:color w:val="000000"/>
                <w:sz w:val="24"/>
              </w:rPr>
            </w:pPr>
            <w:r>
              <w:rPr>
                <w:color w:val="000000"/>
                <w:sz w:val="24"/>
              </w:rPr>
              <w:t>企业对具有高危害设备设置保险措施，对危险车间可设置消防装置等必备设施，并辅以适当的通讯工具，定期进行安全环保宣传教育以及紧急事故模拟演习，提高事故应变能力。</w:t>
            </w:r>
          </w:p>
          <w:p w14:paraId="041911ED">
            <w:pPr>
              <w:spacing w:line="360" w:lineRule="auto"/>
              <w:ind w:firstLine="480" w:firstLineChars="200"/>
              <w:rPr>
                <w:color w:val="000000"/>
                <w:sz w:val="24"/>
              </w:rPr>
            </w:pPr>
          </w:p>
          <w:p w14:paraId="1509F337">
            <w:pPr>
              <w:spacing w:line="360" w:lineRule="auto"/>
              <w:ind w:firstLine="480" w:firstLineChars="200"/>
              <w:rPr>
                <w:color w:val="000000"/>
                <w:sz w:val="24"/>
              </w:rPr>
            </w:pPr>
          </w:p>
          <w:p w14:paraId="05A38B91">
            <w:pPr>
              <w:spacing w:line="360" w:lineRule="auto"/>
              <w:ind w:firstLine="480" w:firstLineChars="200"/>
              <w:rPr>
                <w:color w:val="000000"/>
                <w:sz w:val="24"/>
              </w:rPr>
            </w:pPr>
          </w:p>
          <w:p w14:paraId="492B1B94">
            <w:pPr>
              <w:spacing w:line="360" w:lineRule="auto"/>
              <w:ind w:firstLine="480" w:firstLineChars="200"/>
              <w:rPr>
                <w:color w:val="000000"/>
                <w:sz w:val="24"/>
              </w:rPr>
            </w:pPr>
          </w:p>
          <w:p w14:paraId="00730071">
            <w:pPr>
              <w:spacing w:line="360" w:lineRule="auto"/>
              <w:ind w:firstLine="480" w:firstLineChars="200"/>
              <w:rPr>
                <w:color w:val="000000"/>
                <w:sz w:val="24"/>
              </w:rPr>
            </w:pPr>
          </w:p>
          <w:p w14:paraId="46ADF5FD">
            <w:pPr>
              <w:spacing w:line="360" w:lineRule="auto"/>
              <w:ind w:firstLine="480" w:firstLineChars="200"/>
              <w:rPr>
                <w:color w:val="000000"/>
                <w:sz w:val="24"/>
              </w:rPr>
            </w:pPr>
          </w:p>
          <w:p w14:paraId="34F78CBA">
            <w:pPr>
              <w:spacing w:line="360" w:lineRule="auto"/>
              <w:ind w:firstLine="480" w:firstLineChars="200"/>
              <w:rPr>
                <w:color w:val="000000"/>
                <w:sz w:val="24"/>
              </w:rPr>
            </w:pPr>
          </w:p>
        </w:tc>
      </w:tr>
    </w:tbl>
    <w:p w14:paraId="350D4DF6">
      <w:pPr>
        <w:widowControl/>
        <w:spacing w:line="360" w:lineRule="auto"/>
        <w:jc w:val="left"/>
        <w:rPr>
          <w:b/>
          <w:color w:val="FF0000"/>
          <w:kern w:val="0"/>
          <w:sz w:val="24"/>
          <w:szCs w:val="24"/>
        </w:rPr>
        <w:sectPr>
          <w:pgSz w:w="11907" w:h="16840"/>
          <w:pgMar w:top="1701" w:right="1440" w:bottom="1701" w:left="1440" w:header="851" w:footer="851" w:gutter="0"/>
          <w:cols w:space="720" w:num="1"/>
        </w:sectPr>
      </w:pPr>
    </w:p>
    <w:p w14:paraId="182588D3">
      <w:pPr>
        <w:pStyle w:val="21"/>
        <w:spacing w:before="120" w:beforeLines="50" w:beforeAutospacing="0" w:after="120" w:afterLines="50" w:afterAutospacing="0"/>
        <w:jc w:val="center"/>
        <w:outlineLvl w:val="0"/>
        <w:rPr>
          <w:b/>
          <w:bCs/>
          <w:snapToGrid w:val="0"/>
          <w:color w:val="000000"/>
          <w:sz w:val="30"/>
          <w:szCs w:val="30"/>
        </w:rPr>
      </w:pPr>
      <w:bookmarkStart w:id="36" w:name="_Toc135403217"/>
      <w:bookmarkStart w:id="37" w:name="_Hlk73614767"/>
      <w:r>
        <w:rPr>
          <w:b/>
          <w:bCs/>
          <w:snapToGrid w:val="0"/>
          <w:color w:val="000000"/>
          <w:sz w:val="30"/>
          <w:szCs w:val="30"/>
        </w:rPr>
        <w:t>五、</w:t>
      </w:r>
      <w:bookmarkStart w:id="38" w:name="_Hlk54167917"/>
      <w:r>
        <w:rPr>
          <w:b/>
          <w:bCs/>
          <w:snapToGrid w:val="0"/>
          <w:color w:val="000000"/>
          <w:sz w:val="30"/>
          <w:szCs w:val="30"/>
        </w:rPr>
        <w:t>环境保护措施监督检查清单</w:t>
      </w:r>
      <w:bookmarkEnd w:id="36"/>
      <w:bookmarkEnd w:id="38"/>
    </w:p>
    <w:bookmarkEnd w:id="37"/>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39"/>
        <w:gridCol w:w="2285"/>
        <w:gridCol w:w="1455"/>
        <w:gridCol w:w="2061"/>
        <w:gridCol w:w="2402"/>
      </w:tblGrid>
      <w:tr w14:paraId="4CD8B3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2" w:type="pct"/>
            <w:tcBorders>
              <w:top w:val="single" w:color="auto" w:sz="12" w:space="0"/>
              <w:bottom w:val="single" w:color="auto" w:sz="6" w:space="0"/>
              <w:tl2br w:val="single" w:color="000000" w:sz="4" w:space="0"/>
            </w:tcBorders>
            <w:vAlign w:val="center"/>
          </w:tcPr>
          <w:p w14:paraId="6391AED0">
            <w:pPr>
              <w:adjustRightInd w:val="0"/>
              <w:snapToGrid w:val="0"/>
              <w:ind w:left="-105" w:leftChars="-50" w:right="-105" w:rightChars="-50"/>
              <w:jc w:val="right"/>
              <w:rPr>
                <w:sz w:val="24"/>
                <w:szCs w:val="24"/>
              </w:rPr>
            </w:pPr>
            <w:r>
              <w:rPr>
                <w:sz w:val="24"/>
                <w:szCs w:val="24"/>
              </w:rPr>
              <w:t>内容</w:t>
            </w:r>
          </w:p>
          <w:p w14:paraId="7424F7B2">
            <w:pPr>
              <w:adjustRightInd w:val="0"/>
              <w:snapToGrid w:val="0"/>
              <w:ind w:left="-105" w:leftChars="-50" w:right="-105" w:rightChars="-50"/>
              <w:rPr>
                <w:sz w:val="24"/>
                <w:szCs w:val="24"/>
              </w:rPr>
            </w:pPr>
            <w:r>
              <w:rPr>
                <w:sz w:val="24"/>
                <w:szCs w:val="24"/>
              </w:rPr>
              <w:t>要素</w:t>
            </w:r>
          </w:p>
        </w:tc>
        <w:tc>
          <w:tcPr>
            <w:tcW w:w="1236" w:type="pct"/>
            <w:vAlign w:val="center"/>
          </w:tcPr>
          <w:p w14:paraId="5D720CCE">
            <w:pPr>
              <w:adjustRightInd w:val="0"/>
              <w:snapToGrid w:val="0"/>
              <w:ind w:left="-105" w:leftChars="-50" w:right="-105" w:rightChars="-50"/>
              <w:jc w:val="center"/>
              <w:rPr>
                <w:sz w:val="24"/>
                <w:szCs w:val="24"/>
              </w:rPr>
            </w:pPr>
            <w:r>
              <w:rPr>
                <w:sz w:val="24"/>
                <w:szCs w:val="24"/>
              </w:rPr>
              <w:t>排放口(编号、名称)/污染源</w:t>
            </w:r>
          </w:p>
        </w:tc>
        <w:tc>
          <w:tcPr>
            <w:tcW w:w="787" w:type="pct"/>
            <w:vAlign w:val="center"/>
          </w:tcPr>
          <w:p w14:paraId="3F8C1D8B">
            <w:pPr>
              <w:adjustRightInd w:val="0"/>
              <w:snapToGrid w:val="0"/>
              <w:ind w:left="-105" w:leftChars="-50" w:right="-105" w:rightChars="-50"/>
              <w:jc w:val="center"/>
              <w:rPr>
                <w:sz w:val="24"/>
                <w:szCs w:val="24"/>
              </w:rPr>
            </w:pPr>
            <w:r>
              <w:rPr>
                <w:sz w:val="24"/>
                <w:szCs w:val="24"/>
              </w:rPr>
              <w:t>污染物项目</w:t>
            </w:r>
          </w:p>
        </w:tc>
        <w:tc>
          <w:tcPr>
            <w:tcW w:w="1115" w:type="pct"/>
            <w:vAlign w:val="center"/>
          </w:tcPr>
          <w:p w14:paraId="1808BA27">
            <w:pPr>
              <w:adjustRightInd w:val="0"/>
              <w:snapToGrid w:val="0"/>
              <w:ind w:left="-105" w:leftChars="-50" w:right="-105" w:rightChars="-50"/>
              <w:jc w:val="center"/>
              <w:rPr>
                <w:sz w:val="24"/>
                <w:szCs w:val="24"/>
              </w:rPr>
            </w:pPr>
            <w:r>
              <w:rPr>
                <w:sz w:val="24"/>
                <w:szCs w:val="24"/>
              </w:rPr>
              <w:t>环境保护措施</w:t>
            </w:r>
          </w:p>
        </w:tc>
        <w:tc>
          <w:tcPr>
            <w:tcW w:w="1299" w:type="pct"/>
            <w:vAlign w:val="center"/>
          </w:tcPr>
          <w:p w14:paraId="7CE32D7D">
            <w:pPr>
              <w:adjustRightInd w:val="0"/>
              <w:snapToGrid w:val="0"/>
              <w:ind w:left="-105" w:leftChars="-50" w:right="-105" w:rightChars="-50"/>
              <w:jc w:val="center"/>
              <w:rPr>
                <w:sz w:val="24"/>
                <w:szCs w:val="24"/>
              </w:rPr>
            </w:pPr>
            <w:r>
              <w:rPr>
                <w:sz w:val="24"/>
                <w:szCs w:val="24"/>
              </w:rPr>
              <w:t>执行标准</w:t>
            </w:r>
          </w:p>
        </w:tc>
      </w:tr>
      <w:tr w14:paraId="33BB9A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21" w:hRule="atLeast"/>
          <w:jc w:val="center"/>
        </w:trPr>
        <w:tc>
          <w:tcPr>
            <w:tcW w:w="562" w:type="pct"/>
            <w:vMerge w:val="restart"/>
            <w:tcBorders>
              <w:top w:val="single" w:color="auto" w:sz="6" w:space="0"/>
            </w:tcBorders>
            <w:vAlign w:val="center"/>
          </w:tcPr>
          <w:p w14:paraId="13397BA5">
            <w:pPr>
              <w:adjustRightInd w:val="0"/>
              <w:snapToGrid w:val="0"/>
              <w:ind w:left="-105" w:leftChars="-50" w:right="-105" w:rightChars="-50"/>
              <w:jc w:val="center"/>
              <w:rPr>
                <w:sz w:val="24"/>
                <w:szCs w:val="24"/>
              </w:rPr>
            </w:pPr>
            <w:r>
              <w:rPr>
                <w:sz w:val="24"/>
                <w:szCs w:val="24"/>
              </w:rPr>
              <w:t>大气</w:t>
            </w:r>
          </w:p>
          <w:p w14:paraId="7D1A0561">
            <w:pPr>
              <w:adjustRightInd w:val="0"/>
              <w:snapToGrid w:val="0"/>
              <w:ind w:left="-105" w:leftChars="-50" w:right="-105" w:rightChars="-50"/>
              <w:jc w:val="center"/>
              <w:rPr>
                <w:sz w:val="24"/>
                <w:szCs w:val="24"/>
              </w:rPr>
            </w:pPr>
            <w:r>
              <w:rPr>
                <w:sz w:val="24"/>
                <w:szCs w:val="24"/>
              </w:rPr>
              <w:t>环境</w:t>
            </w:r>
          </w:p>
        </w:tc>
        <w:tc>
          <w:tcPr>
            <w:tcW w:w="1236" w:type="pct"/>
            <w:vAlign w:val="center"/>
          </w:tcPr>
          <w:p w14:paraId="01D33DC3">
            <w:pPr>
              <w:ind w:left="-105" w:leftChars="-50" w:right="-105" w:rightChars="-50"/>
              <w:jc w:val="center"/>
              <w:rPr>
                <w:sz w:val="24"/>
                <w:szCs w:val="24"/>
              </w:rPr>
            </w:pPr>
            <w:r>
              <w:rPr>
                <w:sz w:val="24"/>
                <w:szCs w:val="24"/>
              </w:rPr>
              <w:t>G1生物质气化锅炉废气</w:t>
            </w:r>
          </w:p>
        </w:tc>
        <w:tc>
          <w:tcPr>
            <w:tcW w:w="787" w:type="pct"/>
            <w:vAlign w:val="center"/>
          </w:tcPr>
          <w:p w14:paraId="46E4D6E5">
            <w:pPr>
              <w:ind w:left="-105" w:leftChars="-50" w:right="-105" w:rightChars="-50"/>
              <w:jc w:val="center"/>
              <w:rPr>
                <w:sz w:val="24"/>
                <w:szCs w:val="24"/>
              </w:rPr>
            </w:pPr>
            <w:r>
              <w:rPr>
                <w:sz w:val="24"/>
                <w:szCs w:val="24"/>
              </w:rPr>
              <w:t>颗粒物、SO</w:t>
            </w:r>
            <w:r>
              <w:rPr>
                <w:sz w:val="24"/>
                <w:szCs w:val="24"/>
                <w:vertAlign w:val="subscript"/>
              </w:rPr>
              <w:t>2</w:t>
            </w:r>
            <w:r>
              <w:rPr>
                <w:sz w:val="24"/>
                <w:szCs w:val="24"/>
              </w:rPr>
              <w:t>、</w:t>
            </w:r>
          </w:p>
          <w:p w14:paraId="4A1DCBF0">
            <w:pPr>
              <w:ind w:left="-105" w:leftChars="-50" w:right="-105" w:rightChars="-50"/>
              <w:jc w:val="center"/>
              <w:rPr>
                <w:sz w:val="24"/>
                <w:szCs w:val="24"/>
              </w:rPr>
            </w:pPr>
            <w:r>
              <w:rPr>
                <w:sz w:val="24"/>
                <w:szCs w:val="24"/>
              </w:rPr>
              <w:t>NOx、林格曼黑度</w:t>
            </w:r>
          </w:p>
        </w:tc>
        <w:tc>
          <w:tcPr>
            <w:tcW w:w="1115" w:type="pct"/>
            <w:vAlign w:val="center"/>
          </w:tcPr>
          <w:p w14:paraId="782F95B3">
            <w:pPr>
              <w:ind w:left="-105" w:leftChars="-50" w:right="-105" w:rightChars="-50"/>
              <w:jc w:val="center"/>
              <w:rPr>
                <w:sz w:val="24"/>
                <w:szCs w:val="24"/>
              </w:rPr>
            </w:pPr>
            <w:r>
              <w:rPr>
                <w:sz w:val="24"/>
                <w:szCs w:val="24"/>
              </w:rPr>
              <w:t>低氮燃烧+布袋除尘+2</w:t>
            </w:r>
            <w:r>
              <w:rPr>
                <w:rFonts w:hint="eastAsia"/>
                <w:sz w:val="24"/>
                <w:szCs w:val="24"/>
              </w:rPr>
              <w:t>1</w:t>
            </w:r>
            <w:r>
              <w:rPr>
                <w:sz w:val="24"/>
                <w:szCs w:val="24"/>
              </w:rPr>
              <w:t>m排气筒</w:t>
            </w:r>
          </w:p>
        </w:tc>
        <w:tc>
          <w:tcPr>
            <w:tcW w:w="1299" w:type="pct"/>
            <w:vAlign w:val="center"/>
          </w:tcPr>
          <w:p w14:paraId="299C05EE">
            <w:pPr>
              <w:adjustRightInd w:val="0"/>
              <w:snapToGrid w:val="0"/>
              <w:ind w:left="-105" w:leftChars="-50" w:right="-105" w:rightChars="-50"/>
              <w:jc w:val="center"/>
              <w:rPr>
                <w:color w:val="000000"/>
                <w:sz w:val="24"/>
                <w:szCs w:val="24"/>
              </w:rPr>
            </w:pPr>
            <w:r>
              <w:rPr>
                <w:color w:val="000000"/>
                <w:sz w:val="24"/>
                <w:szCs w:val="24"/>
              </w:rPr>
              <w:t>《锅炉大气污染物排放标准》（GB13271-2014）中表3燃气锅炉大气污染物特别排放限值</w:t>
            </w:r>
          </w:p>
        </w:tc>
      </w:tr>
      <w:tr w14:paraId="404E3C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95" w:hRule="atLeast"/>
          <w:jc w:val="center"/>
        </w:trPr>
        <w:tc>
          <w:tcPr>
            <w:tcW w:w="562" w:type="pct"/>
            <w:vMerge w:val="continue"/>
            <w:vAlign w:val="center"/>
          </w:tcPr>
          <w:p w14:paraId="643B9A1A">
            <w:pPr>
              <w:widowControl/>
              <w:ind w:left="-105" w:leftChars="-50" w:right="-105" w:rightChars="-50"/>
              <w:jc w:val="left"/>
              <w:rPr>
                <w:sz w:val="24"/>
                <w:szCs w:val="24"/>
              </w:rPr>
            </w:pPr>
          </w:p>
        </w:tc>
        <w:tc>
          <w:tcPr>
            <w:tcW w:w="1236" w:type="pct"/>
            <w:vAlign w:val="center"/>
          </w:tcPr>
          <w:p w14:paraId="6E16B77D">
            <w:pPr>
              <w:ind w:left="-105" w:leftChars="-50" w:right="-105" w:rightChars="-50"/>
              <w:jc w:val="center"/>
              <w:rPr>
                <w:sz w:val="24"/>
                <w:szCs w:val="24"/>
              </w:rPr>
            </w:pPr>
            <w:r>
              <w:rPr>
                <w:sz w:val="24"/>
                <w:szCs w:val="24"/>
              </w:rPr>
              <w:t>G2天然气燃烧废气</w:t>
            </w:r>
          </w:p>
        </w:tc>
        <w:tc>
          <w:tcPr>
            <w:tcW w:w="787" w:type="pct"/>
            <w:vAlign w:val="center"/>
          </w:tcPr>
          <w:p w14:paraId="4AEFF773">
            <w:pPr>
              <w:ind w:left="-105" w:leftChars="-50" w:right="-105" w:rightChars="-50"/>
              <w:jc w:val="center"/>
              <w:rPr>
                <w:sz w:val="24"/>
                <w:szCs w:val="24"/>
              </w:rPr>
            </w:pPr>
            <w:r>
              <w:rPr>
                <w:sz w:val="24"/>
                <w:szCs w:val="24"/>
              </w:rPr>
              <w:t>颗粒物、SO</w:t>
            </w:r>
            <w:r>
              <w:rPr>
                <w:sz w:val="24"/>
                <w:szCs w:val="24"/>
                <w:vertAlign w:val="subscript"/>
              </w:rPr>
              <w:t>2</w:t>
            </w:r>
            <w:r>
              <w:rPr>
                <w:sz w:val="24"/>
                <w:szCs w:val="24"/>
              </w:rPr>
              <w:t xml:space="preserve">、NOx </w:t>
            </w:r>
          </w:p>
        </w:tc>
        <w:tc>
          <w:tcPr>
            <w:tcW w:w="1115" w:type="pct"/>
            <w:vAlign w:val="center"/>
          </w:tcPr>
          <w:p w14:paraId="7B0CE698">
            <w:pPr>
              <w:ind w:left="-105" w:leftChars="-50" w:right="-105" w:rightChars="-50"/>
              <w:jc w:val="center"/>
              <w:rPr>
                <w:sz w:val="24"/>
                <w:szCs w:val="24"/>
              </w:rPr>
            </w:pPr>
            <w:r>
              <w:rPr>
                <w:sz w:val="24"/>
                <w:szCs w:val="24"/>
              </w:rPr>
              <w:t>加强车间通风</w:t>
            </w:r>
          </w:p>
        </w:tc>
        <w:tc>
          <w:tcPr>
            <w:tcW w:w="1299" w:type="pct"/>
            <w:vAlign w:val="center"/>
          </w:tcPr>
          <w:p w14:paraId="383CD094">
            <w:pPr>
              <w:widowControl/>
              <w:ind w:left="-105" w:leftChars="-50" w:right="-105" w:rightChars="-50"/>
              <w:jc w:val="center"/>
              <w:rPr>
                <w:sz w:val="24"/>
                <w:szCs w:val="24"/>
              </w:rPr>
            </w:pPr>
            <w:r>
              <w:rPr>
                <w:snapToGrid w:val="0"/>
                <w:sz w:val="24"/>
                <w:szCs w:val="24"/>
              </w:rPr>
              <w:t>《大气</w:t>
            </w:r>
            <w:r>
              <w:rPr>
                <w:rFonts w:hint="eastAsia"/>
                <w:snapToGrid w:val="0"/>
                <w:sz w:val="24"/>
                <w:szCs w:val="24"/>
                <w:lang w:eastAsia="zh-CN"/>
              </w:rPr>
              <w:t>污染物</w:t>
            </w:r>
            <w:r>
              <w:rPr>
                <w:snapToGrid w:val="0"/>
                <w:sz w:val="24"/>
                <w:szCs w:val="24"/>
              </w:rPr>
              <w:t>综合排放标准》（GB 16297-1996）表2中无组织排放浓度限值要求</w:t>
            </w:r>
          </w:p>
        </w:tc>
      </w:tr>
      <w:tr w14:paraId="78B65E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2" w:type="pct"/>
            <w:vMerge w:val="continue"/>
            <w:vAlign w:val="center"/>
          </w:tcPr>
          <w:p w14:paraId="34FA3971">
            <w:pPr>
              <w:widowControl/>
              <w:ind w:left="-105" w:leftChars="-50" w:right="-105" w:rightChars="-50"/>
              <w:jc w:val="left"/>
              <w:rPr>
                <w:sz w:val="24"/>
                <w:szCs w:val="24"/>
              </w:rPr>
            </w:pPr>
          </w:p>
        </w:tc>
        <w:tc>
          <w:tcPr>
            <w:tcW w:w="1236" w:type="pct"/>
            <w:vAlign w:val="center"/>
          </w:tcPr>
          <w:p w14:paraId="085CD8FA">
            <w:pPr>
              <w:ind w:left="-105" w:leftChars="-50" w:right="-105" w:rightChars="-50"/>
              <w:jc w:val="center"/>
              <w:rPr>
                <w:sz w:val="24"/>
                <w:szCs w:val="24"/>
              </w:rPr>
            </w:pPr>
            <w:r>
              <w:rPr>
                <w:sz w:val="24"/>
                <w:szCs w:val="24"/>
              </w:rPr>
              <w:t>G3生产异味</w:t>
            </w:r>
          </w:p>
        </w:tc>
        <w:tc>
          <w:tcPr>
            <w:tcW w:w="787" w:type="pct"/>
            <w:vAlign w:val="center"/>
          </w:tcPr>
          <w:p w14:paraId="6DF47E42">
            <w:pPr>
              <w:ind w:left="-105" w:leftChars="-50" w:right="-105" w:rightChars="-50"/>
              <w:jc w:val="center"/>
              <w:rPr>
                <w:sz w:val="24"/>
                <w:szCs w:val="24"/>
              </w:rPr>
            </w:pPr>
            <w:r>
              <w:rPr>
                <w:sz w:val="24"/>
                <w:szCs w:val="24"/>
              </w:rPr>
              <w:t>臭气浓度</w:t>
            </w:r>
          </w:p>
        </w:tc>
        <w:tc>
          <w:tcPr>
            <w:tcW w:w="1115" w:type="pct"/>
            <w:vAlign w:val="center"/>
          </w:tcPr>
          <w:p w14:paraId="218DE30F">
            <w:pPr>
              <w:ind w:left="-105" w:leftChars="-50" w:right="-105" w:rightChars="-50"/>
              <w:jc w:val="center"/>
              <w:rPr>
                <w:sz w:val="24"/>
                <w:szCs w:val="24"/>
              </w:rPr>
            </w:pPr>
            <w:r>
              <w:rPr>
                <w:sz w:val="24"/>
                <w:szCs w:val="24"/>
              </w:rPr>
              <w:t>加强机械通风</w:t>
            </w:r>
          </w:p>
        </w:tc>
        <w:tc>
          <w:tcPr>
            <w:tcW w:w="1299" w:type="pct"/>
            <w:vAlign w:val="center"/>
          </w:tcPr>
          <w:p w14:paraId="76BEF93A">
            <w:pPr>
              <w:tabs>
                <w:tab w:val="left" w:pos="1021"/>
              </w:tabs>
              <w:adjustRightInd w:val="0"/>
              <w:snapToGrid w:val="0"/>
              <w:ind w:left="-105" w:leftChars="-50" w:right="-105" w:rightChars="-50"/>
              <w:jc w:val="center"/>
              <w:rPr>
                <w:sz w:val="24"/>
                <w:szCs w:val="24"/>
              </w:rPr>
            </w:pPr>
            <w:r>
              <w:rPr>
                <w:sz w:val="24"/>
                <w:szCs w:val="24"/>
              </w:rPr>
              <w:t>《恶臭污染物排放标准》（GB14554-93）表1标准值</w:t>
            </w:r>
          </w:p>
        </w:tc>
      </w:tr>
      <w:tr w14:paraId="018A65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2" w:type="pct"/>
            <w:vMerge w:val="continue"/>
            <w:vAlign w:val="center"/>
          </w:tcPr>
          <w:p w14:paraId="3CC6AEBB">
            <w:pPr>
              <w:widowControl/>
              <w:ind w:left="-105" w:leftChars="-50" w:right="-105" w:rightChars="-50"/>
              <w:jc w:val="center"/>
              <w:rPr>
                <w:sz w:val="24"/>
                <w:szCs w:val="24"/>
              </w:rPr>
            </w:pPr>
          </w:p>
        </w:tc>
        <w:tc>
          <w:tcPr>
            <w:tcW w:w="1236" w:type="pct"/>
            <w:vAlign w:val="center"/>
          </w:tcPr>
          <w:p w14:paraId="6A5B615F">
            <w:pPr>
              <w:ind w:left="-105" w:leftChars="-50" w:right="-105" w:rightChars="-50"/>
              <w:jc w:val="center"/>
              <w:rPr>
                <w:sz w:val="24"/>
                <w:szCs w:val="24"/>
              </w:rPr>
            </w:pPr>
            <w:r>
              <w:rPr>
                <w:sz w:val="24"/>
                <w:szCs w:val="24"/>
              </w:rPr>
              <w:t>G4熬制油烟</w:t>
            </w:r>
          </w:p>
        </w:tc>
        <w:tc>
          <w:tcPr>
            <w:tcW w:w="787" w:type="pct"/>
            <w:vAlign w:val="center"/>
          </w:tcPr>
          <w:p w14:paraId="35EE69D6">
            <w:pPr>
              <w:adjustRightInd w:val="0"/>
              <w:snapToGrid w:val="0"/>
              <w:ind w:left="-105" w:leftChars="-50" w:right="-105" w:rightChars="-50"/>
              <w:jc w:val="center"/>
              <w:rPr>
                <w:sz w:val="24"/>
                <w:szCs w:val="24"/>
              </w:rPr>
            </w:pPr>
            <w:r>
              <w:rPr>
                <w:color w:val="000000"/>
                <w:sz w:val="24"/>
                <w:szCs w:val="24"/>
                <w:lang w:bidi="ar"/>
              </w:rPr>
              <w:t>油烟</w:t>
            </w:r>
          </w:p>
        </w:tc>
        <w:tc>
          <w:tcPr>
            <w:tcW w:w="1115" w:type="pct"/>
            <w:vAlign w:val="center"/>
          </w:tcPr>
          <w:p w14:paraId="14E62BA4">
            <w:pPr>
              <w:pStyle w:val="21"/>
              <w:widowControl w:val="0"/>
              <w:spacing w:before="24" w:beforeLines="10" w:beforeAutospacing="0" w:after="0" w:afterAutospacing="0"/>
              <w:jc w:val="center"/>
              <w:rPr>
                <w:rFonts w:ascii="Times New Roman" w:hAnsi="Times New Roman"/>
                <w:szCs w:val="24"/>
              </w:rPr>
            </w:pPr>
            <w:r>
              <w:rPr>
                <w:rFonts w:ascii="Times New Roman" w:hAnsi="Times New Roman"/>
                <w:color w:val="000000"/>
                <w:kern w:val="0"/>
                <w:szCs w:val="24"/>
                <w:lang w:bidi="ar"/>
              </w:rPr>
              <w:t>油烟净化器+高于屋顶高空排放</w:t>
            </w:r>
          </w:p>
        </w:tc>
        <w:tc>
          <w:tcPr>
            <w:tcW w:w="1299" w:type="pct"/>
            <w:vAlign w:val="center"/>
          </w:tcPr>
          <w:p w14:paraId="10E4AFC4">
            <w:pPr>
              <w:widowControl/>
              <w:adjustRightInd w:val="0"/>
              <w:snapToGrid w:val="0"/>
              <w:ind w:left="-105" w:leftChars="-50" w:right="-105" w:rightChars="-50"/>
              <w:jc w:val="center"/>
              <w:rPr>
                <w:sz w:val="24"/>
                <w:szCs w:val="24"/>
              </w:rPr>
            </w:pPr>
            <w:r>
              <w:rPr>
                <w:color w:val="000000"/>
                <w:sz w:val="24"/>
                <w:szCs w:val="24"/>
                <w:lang w:bidi="ar"/>
              </w:rPr>
              <w:t>《饮食业油烟排放标准（试行）》（GB18483-2001）</w:t>
            </w:r>
          </w:p>
        </w:tc>
      </w:tr>
      <w:tr w14:paraId="6A1B9E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10" w:hRule="atLeast"/>
          <w:jc w:val="center"/>
        </w:trPr>
        <w:tc>
          <w:tcPr>
            <w:tcW w:w="562" w:type="pct"/>
            <w:vMerge w:val="restart"/>
            <w:vAlign w:val="center"/>
          </w:tcPr>
          <w:p w14:paraId="3D8D6EF2">
            <w:pPr>
              <w:adjustRightInd w:val="0"/>
              <w:snapToGrid w:val="0"/>
              <w:ind w:left="-105" w:leftChars="-50" w:right="-105" w:rightChars="-50"/>
              <w:jc w:val="center"/>
              <w:rPr>
                <w:sz w:val="24"/>
                <w:szCs w:val="24"/>
              </w:rPr>
            </w:pPr>
            <w:r>
              <w:rPr>
                <w:sz w:val="24"/>
                <w:szCs w:val="24"/>
              </w:rPr>
              <w:t>地表水环境</w:t>
            </w:r>
          </w:p>
        </w:tc>
        <w:tc>
          <w:tcPr>
            <w:tcW w:w="1236" w:type="pct"/>
            <w:vAlign w:val="center"/>
          </w:tcPr>
          <w:p w14:paraId="0BC5A337">
            <w:pPr>
              <w:tabs>
                <w:tab w:val="left" w:pos="1021"/>
              </w:tabs>
              <w:adjustRightInd w:val="0"/>
              <w:snapToGrid w:val="0"/>
              <w:ind w:left="-105" w:leftChars="-50" w:right="-105" w:rightChars="-50"/>
              <w:jc w:val="center"/>
              <w:rPr>
                <w:sz w:val="24"/>
                <w:szCs w:val="24"/>
              </w:rPr>
            </w:pPr>
            <w:r>
              <w:rPr>
                <w:sz w:val="24"/>
                <w:szCs w:val="24"/>
              </w:rPr>
              <w:t>W1生活污水</w:t>
            </w:r>
          </w:p>
        </w:tc>
        <w:tc>
          <w:tcPr>
            <w:tcW w:w="787" w:type="pct"/>
            <w:vAlign w:val="center"/>
          </w:tcPr>
          <w:p w14:paraId="0A8E6F83">
            <w:pPr>
              <w:tabs>
                <w:tab w:val="left" w:pos="1021"/>
              </w:tabs>
              <w:adjustRightInd w:val="0"/>
              <w:snapToGrid w:val="0"/>
              <w:ind w:left="-105" w:leftChars="-50" w:right="-105" w:rightChars="-50"/>
              <w:jc w:val="center"/>
              <w:rPr>
                <w:sz w:val="24"/>
                <w:szCs w:val="24"/>
              </w:rPr>
            </w:pPr>
            <w:r>
              <w:rPr>
                <w:sz w:val="24"/>
                <w:szCs w:val="24"/>
              </w:rPr>
              <w:t>pH</w:t>
            </w:r>
            <w:r>
              <w:rPr>
                <w:rFonts w:hint="eastAsia"/>
                <w:sz w:val="24"/>
                <w:szCs w:val="24"/>
              </w:rPr>
              <w:t>、</w:t>
            </w:r>
            <w:r>
              <w:rPr>
                <w:sz w:val="24"/>
                <w:szCs w:val="24"/>
              </w:rPr>
              <w:t>COD</w:t>
            </w:r>
            <w:r>
              <w:rPr>
                <w:rFonts w:hint="eastAsia"/>
                <w:sz w:val="24"/>
                <w:szCs w:val="24"/>
              </w:rPr>
              <w:t>、</w:t>
            </w:r>
            <w:r>
              <w:rPr>
                <w:sz w:val="24"/>
                <w:szCs w:val="24"/>
              </w:rPr>
              <w:t>BOD5</w:t>
            </w:r>
            <w:r>
              <w:rPr>
                <w:rFonts w:hint="eastAsia"/>
                <w:sz w:val="24"/>
                <w:szCs w:val="24"/>
              </w:rPr>
              <w:t>、</w:t>
            </w:r>
            <w:r>
              <w:rPr>
                <w:sz w:val="24"/>
                <w:szCs w:val="24"/>
              </w:rPr>
              <w:t>SS</w:t>
            </w:r>
            <w:r>
              <w:rPr>
                <w:rFonts w:hint="eastAsia"/>
                <w:sz w:val="24"/>
                <w:szCs w:val="24"/>
              </w:rPr>
              <w:t>、</w:t>
            </w:r>
            <w:r>
              <w:rPr>
                <w:sz w:val="24"/>
                <w:szCs w:val="24"/>
              </w:rPr>
              <w:t>NH3-N</w:t>
            </w:r>
            <w:r>
              <w:rPr>
                <w:rFonts w:hint="eastAsia"/>
                <w:sz w:val="24"/>
                <w:szCs w:val="24"/>
              </w:rPr>
              <w:t>、动植物油、总磷等</w:t>
            </w:r>
          </w:p>
        </w:tc>
        <w:tc>
          <w:tcPr>
            <w:tcW w:w="1115" w:type="pct"/>
            <w:vAlign w:val="center"/>
          </w:tcPr>
          <w:p w14:paraId="4AE0A1C1">
            <w:pPr>
              <w:tabs>
                <w:tab w:val="left" w:pos="1021"/>
              </w:tabs>
              <w:adjustRightInd w:val="0"/>
              <w:snapToGrid w:val="0"/>
              <w:ind w:left="-105" w:leftChars="-50" w:right="-105" w:rightChars="-50"/>
              <w:jc w:val="center"/>
              <w:rPr>
                <w:sz w:val="24"/>
                <w:szCs w:val="24"/>
              </w:rPr>
            </w:pPr>
            <w:r>
              <w:rPr>
                <w:bCs/>
                <w:sz w:val="24"/>
                <w:szCs w:val="24"/>
              </w:rPr>
              <w:t>隔油池+化粪池</w:t>
            </w:r>
          </w:p>
        </w:tc>
        <w:tc>
          <w:tcPr>
            <w:tcW w:w="1299" w:type="pct"/>
            <w:vAlign w:val="center"/>
          </w:tcPr>
          <w:p w14:paraId="62B436D0">
            <w:pPr>
              <w:tabs>
                <w:tab w:val="left" w:pos="1021"/>
              </w:tabs>
              <w:adjustRightInd w:val="0"/>
              <w:snapToGrid w:val="0"/>
              <w:ind w:left="-105" w:leftChars="-50" w:right="-105" w:rightChars="-50"/>
              <w:jc w:val="center"/>
              <w:rPr>
                <w:sz w:val="24"/>
                <w:szCs w:val="24"/>
              </w:rPr>
            </w:pPr>
            <w:r>
              <w:rPr>
                <w:bCs/>
                <w:sz w:val="24"/>
                <w:szCs w:val="24"/>
              </w:rPr>
              <w:t>《污水综合排放标准》(GB8978-1996)</w:t>
            </w:r>
            <w:r>
              <w:rPr>
                <w:color w:val="000000"/>
                <w:sz w:val="24"/>
                <w:szCs w:val="24"/>
              </w:rPr>
              <w:t xml:space="preserve"> 表4中三级排放标准限值</w:t>
            </w:r>
          </w:p>
        </w:tc>
      </w:tr>
      <w:tr w14:paraId="67739B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11" w:hRule="atLeast"/>
          <w:jc w:val="center"/>
        </w:trPr>
        <w:tc>
          <w:tcPr>
            <w:tcW w:w="562" w:type="pct"/>
            <w:vMerge w:val="continue"/>
            <w:vAlign w:val="center"/>
          </w:tcPr>
          <w:p w14:paraId="6BE51B5B">
            <w:pPr>
              <w:adjustRightInd w:val="0"/>
              <w:snapToGrid w:val="0"/>
              <w:ind w:left="-105" w:leftChars="-50" w:right="-105" w:rightChars="-50"/>
              <w:jc w:val="center"/>
              <w:rPr>
                <w:sz w:val="24"/>
                <w:szCs w:val="24"/>
              </w:rPr>
            </w:pPr>
          </w:p>
        </w:tc>
        <w:tc>
          <w:tcPr>
            <w:tcW w:w="1236" w:type="pct"/>
            <w:vAlign w:val="center"/>
          </w:tcPr>
          <w:p w14:paraId="58EBCECE">
            <w:pPr>
              <w:tabs>
                <w:tab w:val="left" w:pos="1021"/>
              </w:tabs>
              <w:adjustRightInd w:val="0"/>
              <w:snapToGrid w:val="0"/>
              <w:ind w:left="-105" w:leftChars="-50" w:right="-105" w:rightChars="-50"/>
              <w:jc w:val="center"/>
              <w:rPr>
                <w:sz w:val="24"/>
                <w:szCs w:val="24"/>
              </w:rPr>
            </w:pPr>
            <w:r>
              <w:rPr>
                <w:sz w:val="24"/>
                <w:szCs w:val="24"/>
              </w:rPr>
              <w:t>W2生产废水（</w:t>
            </w:r>
            <w:r>
              <w:rPr>
                <w:rFonts w:hint="eastAsia"/>
                <w:sz w:val="24"/>
                <w:szCs w:val="24"/>
              </w:rPr>
              <w:t>含锅炉废水</w:t>
            </w:r>
            <w:r>
              <w:rPr>
                <w:sz w:val="24"/>
                <w:szCs w:val="24"/>
              </w:rPr>
              <w:t>）</w:t>
            </w:r>
          </w:p>
        </w:tc>
        <w:tc>
          <w:tcPr>
            <w:tcW w:w="787" w:type="pct"/>
            <w:vAlign w:val="center"/>
          </w:tcPr>
          <w:p w14:paraId="3B839899">
            <w:pPr>
              <w:tabs>
                <w:tab w:val="left" w:pos="1021"/>
              </w:tabs>
              <w:adjustRightInd w:val="0"/>
              <w:snapToGrid w:val="0"/>
              <w:ind w:left="-105" w:leftChars="-50" w:right="-105" w:rightChars="-50"/>
              <w:jc w:val="center"/>
              <w:rPr>
                <w:color w:val="000000"/>
                <w:sz w:val="24"/>
                <w:szCs w:val="24"/>
              </w:rPr>
            </w:pPr>
            <w:r>
              <w:rPr>
                <w:sz w:val="24"/>
                <w:szCs w:val="24"/>
              </w:rPr>
              <w:t>pH、SS、BOD</w:t>
            </w:r>
            <w:r>
              <w:rPr>
                <w:sz w:val="24"/>
                <w:szCs w:val="24"/>
                <w:vertAlign w:val="subscript"/>
              </w:rPr>
              <w:t>5</w:t>
            </w:r>
            <w:r>
              <w:rPr>
                <w:sz w:val="24"/>
                <w:szCs w:val="24"/>
              </w:rPr>
              <w:t>、COD、NH</w:t>
            </w:r>
            <w:r>
              <w:rPr>
                <w:sz w:val="24"/>
                <w:szCs w:val="24"/>
                <w:vertAlign w:val="subscript"/>
              </w:rPr>
              <w:t>3</w:t>
            </w:r>
            <w:r>
              <w:rPr>
                <w:sz w:val="24"/>
                <w:szCs w:val="24"/>
              </w:rPr>
              <w:t>-N、TP、TN</w:t>
            </w:r>
            <w:r>
              <w:rPr>
                <w:rFonts w:hint="eastAsia"/>
                <w:sz w:val="24"/>
                <w:szCs w:val="24"/>
              </w:rPr>
              <w:t>、动植物油、氯化物</w:t>
            </w:r>
            <w:r>
              <w:rPr>
                <w:sz w:val="24"/>
                <w:szCs w:val="24"/>
              </w:rPr>
              <w:t>等</w:t>
            </w:r>
          </w:p>
        </w:tc>
        <w:tc>
          <w:tcPr>
            <w:tcW w:w="1115" w:type="pct"/>
            <w:vAlign w:val="center"/>
          </w:tcPr>
          <w:p w14:paraId="31886253">
            <w:pPr>
              <w:tabs>
                <w:tab w:val="left" w:pos="1021"/>
              </w:tabs>
              <w:adjustRightInd w:val="0"/>
              <w:snapToGrid w:val="0"/>
              <w:ind w:left="-105" w:leftChars="-50" w:right="-105" w:rightChars="-50"/>
              <w:jc w:val="center"/>
              <w:rPr>
                <w:rFonts w:ascii="宋体" w:hAnsi="宋体" w:cs="宋体"/>
                <w:sz w:val="24"/>
                <w:szCs w:val="24"/>
              </w:rPr>
            </w:pPr>
            <w:r>
              <w:rPr>
                <w:rFonts w:hint="eastAsia" w:ascii="宋体" w:hAnsi="宋体" w:cs="宋体"/>
                <w:bCs/>
                <w:sz w:val="24"/>
                <w:szCs w:val="24"/>
              </w:rPr>
              <w:t>依托湖南华益科技发展有限公司（原名湖南华益食品有限公司）自建污水处理设施处理（“</w:t>
            </w:r>
            <w:r>
              <w:rPr>
                <w:rFonts w:hint="eastAsia" w:ascii="宋体" w:hAnsi="宋体" w:cs="宋体"/>
                <w:color w:val="000000"/>
                <w:sz w:val="24"/>
                <w:szCs w:val="24"/>
              </w:rPr>
              <w:t>格栅井+调节池+</w:t>
            </w:r>
            <w:r>
              <w:rPr>
                <w:rFonts w:hint="eastAsia" w:ascii="宋体" w:hAnsi="宋体" w:cs="宋体"/>
                <w:bCs/>
                <w:sz w:val="24"/>
                <w:szCs w:val="24"/>
              </w:rPr>
              <w:t>加药沉淀+两级水解酸化+两级接触氧化+竖流沉淀”）</w:t>
            </w:r>
          </w:p>
        </w:tc>
        <w:tc>
          <w:tcPr>
            <w:tcW w:w="1299" w:type="pct"/>
            <w:vAlign w:val="center"/>
          </w:tcPr>
          <w:p w14:paraId="0E0CC74D">
            <w:pPr>
              <w:tabs>
                <w:tab w:val="left" w:pos="1021"/>
              </w:tabs>
              <w:adjustRightInd w:val="0"/>
              <w:snapToGrid w:val="0"/>
              <w:ind w:left="-105" w:leftChars="-50" w:right="-105" w:rightChars="-50"/>
              <w:jc w:val="center"/>
              <w:rPr>
                <w:sz w:val="24"/>
                <w:szCs w:val="24"/>
                <w:u w:val="single"/>
              </w:rPr>
            </w:pPr>
            <w:r>
              <w:rPr>
                <w:bCs/>
                <w:sz w:val="24"/>
                <w:szCs w:val="24"/>
                <w:u w:val="single"/>
              </w:rPr>
              <w:t>pH、COD、BOD、SS</w:t>
            </w:r>
            <w:r>
              <w:rPr>
                <w:rFonts w:hint="eastAsia" w:ascii="宋体" w:hAnsi="宋体" w:cs="宋体"/>
                <w:bCs/>
                <w:sz w:val="24"/>
                <w:szCs w:val="24"/>
                <w:u w:val="single"/>
              </w:rPr>
              <w:t>、动植物油</w:t>
            </w:r>
            <w:r>
              <w:rPr>
                <w:bCs/>
                <w:sz w:val="24"/>
                <w:szCs w:val="24"/>
                <w:u w:val="single"/>
              </w:rPr>
              <w:t>达到《污水综合排放标准》（GB8978-1996）表4中三级排放标准限值</w:t>
            </w:r>
            <w:r>
              <w:rPr>
                <w:rFonts w:hint="eastAsia"/>
                <w:bCs/>
                <w:sz w:val="24"/>
                <w:szCs w:val="24"/>
                <w:u w:val="single"/>
              </w:rPr>
              <w:t>，氨氮、总磷、总氮、</w:t>
            </w:r>
            <w:r>
              <w:rPr>
                <w:sz w:val="24"/>
                <w:szCs w:val="24"/>
                <w:u w:val="single"/>
              </w:rPr>
              <w:t>氯化物</w:t>
            </w:r>
            <w:r>
              <w:rPr>
                <w:rFonts w:hint="eastAsia"/>
                <w:sz w:val="24"/>
                <w:szCs w:val="24"/>
                <w:u w:val="single"/>
              </w:rPr>
              <w:t>达到</w:t>
            </w:r>
            <w:r>
              <w:rPr>
                <w:sz w:val="24"/>
                <w:szCs w:val="24"/>
                <w:u w:val="single"/>
              </w:rPr>
              <w:t>《污水排入城镇下水道水质标准》(GBT31962-2015)表1中B级标准限值</w:t>
            </w:r>
          </w:p>
        </w:tc>
      </w:tr>
      <w:tr w14:paraId="4B1BC1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87" w:hRule="atLeast"/>
          <w:jc w:val="center"/>
        </w:trPr>
        <w:tc>
          <w:tcPr>
            <w:tcW w:w="562" w:type="pct"/>
            <w:vAlign w:val="center"/>
          </w:tcPr>
          <w:p w14:paraId="22BD7C2E">
            <w:pPr>
              <w:adjustRightInd w:val="0"/>
              <w:snapToGrid w:val="0"/>
              <w:ind w:left="-105" w:leftChars="-50" w:right="-105" w:rightChars="-50"/>
              <w:jc w:val="center"/>
              <w:rPr>
                <w:sz w:val="24"/>
                <w:szCs w:val="24"/>
              </w:rPr>
            </w:pPr>
            <w:r>
              <w:rPr>
                <w:sz w:val="24"/>
                <w:szCs w:val="24"/>
              </w:rPr>
              <w:t>声环境</w:t>
            </w:r>
          </w:p>
        </w:tc>
        <w:tc>
          <w:tcPr>
            <w:tcW w:w="1236" w:type="pct"/>
            <w:vAlign w:val="center"/>
          </w:tcPr>
          <w:p w14:paraId="598EFE41">
            <w:pPr>
              <w:tabs>
                <w:tab w:val="left" w:pos="1021"/>
              </w:tabs>
              <w:adjustRightInd w:val="0"/>
              <w:snapToGrid w:val="0"/>
              <w:ind w:left="-105" w:leftChars="-50" w:right="-105" w:rightChars="-50"/>
              <w:jc w:val="center"/>
              <w:rPr>
                <w:sz w:val="24"/>
                <w:szCs w:val="24"/>
              </w:rPr>
            </w:pPr>
            <w:r>
              <w:rPr>
                <w:sz w:val="24"/>
                <w:szCs w:val="24"/>
              </w:rPr>
              <w:t>各类设备</w:t>
            </w:r>
          </w:p>
        </w:tc>
        <w:tc>
          <w:tcPr>
            <w:tcW w:w="787" w:type="pct"/>
            <w:vAlign w:val="center"/>
          </w:tcPr>
          <w:p w14:paraId="004638F7">
            <w:pPr>
              <w:tabs>
                <w:tab w:val="left" w:pos="1021"/>
              </w:tabs>
              <w:adjustRightInd w:val="0"/>
              <w:snapToGrid w:val="0"/>
              <w:ind w:left="-105" w:leftChars="-50" w:right="-105" w:rightChars="-50"/>
              <w:jc w:val="center"/>
              <w:rPr>
                <w:sz w:val="24"/>
                <w:szCs w:val="24"/>
              </w:rPr>
            </w:pPr>
            <w:r>
              <w:rPr>
                <w:sz w:val="24"/>
                <w:szCs w:val="24"/>
              </w:rPr>
              <w:t>Leq[dB(A)]</w:t>
            </w:r>
          </w:p>
        </w:tc>
        <w:tc>
          <w:tcPr>
            <w:tcW w:w="1115" w:type="pct"/>
            <w:vAlign w:val="center"/>
          </w:tcPr>
          <w:p w14:paraId="454E4294">
            <w:pPr>
              <w:tabs>
                <w:tab w:val="left" w:pos="1021"/>
              </w:tabs>
              <w:adjustRightInd w:val="0"/>
              <w:snapToGrid w:val="0"/>
              <w:ind w:left="-105" w:leftChars="-50" w:right="-105" w:rightChars="-50"/>
              <w:jc w:val="center"/>
              <w:rPr>
                <w:sz w:val="24"/>
                <w:szCs w:val="24"/>
              </w:rPr>
            </w:pPr>
            <w:r>
              <w:rPr>
                <w:sz w:val="24"/>
                <w:szCs w:val="24"/>
              </w:rPr>
              <w:t>减震、隔声、消声、吸声、距离衰减等</w:t>
            </w:r>
          </w:p>
        </w:tc>
        <w:tc>
          <w:tcPr>
            <w:tcW w:w="1299" w:type="pct"/>
            <w:vAlign w:val="center"/>
          </w:tcPr>
          <w:p w14:paraId="784FEF0A">
            <w:pPr>
              <w:tabs>
                <w:tab w:val="left" w:pos="1021"/>
              </w:tabs>
              <w:adjustRightInd w:val="0"/>
              <w:snapToGrid w:val="0"/>
              <w:ind w:left="-105" w:leftChars="-50" w:right="-105" w:rightChars="-50"/>
              <w:jc w:val="center"/>
              <w:rPr>
                <w:sz w:val="24"/>
                <w:szCs w:val="24"/>
              </w:rPr>
            </w:pPr>
            <w:r>
              <w:rPr>
                <w:sz w:val="24"/>
                <w:szCs w:val="24"/>
              </w:rPr>
              <w:t>《工业企业厂界环境噪声排放标准》（GB12348-2008）中</w:t>
            </w:r>
            <w:r>
              <w:rPr>
                <w:rFonts w:hint="eastAsia"/>
                <w:sz w:val="24"/>
                <w:szCs w:val="24"/>
              </w:rPr>
              <w:t>3</w:t>
            </w:r>
            <w:r>
              <w:rPr>
                <w:sz w:val="24"/>
                <w:szCs w:val="24"/>
              </w:rPr>
              <w:t>类区标准</w:t>
            </w:r>
          </w:p>
        </w:tc>
      </w:tr>
      <w:tr w14:paraId="15FF4C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35" w:hRule="atLeast"/>
          <w:jc w:val="center"/>
        </w:trPr>
        <w:tc>
          <w:tcPr>
            <w:tcW w:w="562" w:type="pct"/>
            <w:vAlign w:val="center"/>
          </w:tcPr>
          <w:p w14:paraId="78EF0E2A">
            <w:pPr>
              <w:adjustRightInd w:val="0"/>
              <w:snapToGrid w:val="0"/>
              <w:ind w:left="-105" w:leftChars="-50" w:right="-105" w:rightChars="-50"/>
              <w:jc w:val="center"/>
              <w:rPr>
                <w:sz w:val="24"/>
                <w:szCs w:val="24"/>
              </w:rPr>
            </w:pPr>
            <w:r>
              <w:rPr>
                <w:sz w:val="24"/>
                <w:szCs w:val="24"/>
              </w:rPr>
              <w:t>固体</w:t>
            </w:r>
          </w:p>
          <w:p w14:paraId="6BB91210">
            <w:pPr>
              <w:adjustRightInd w:val="0"/>
              <w:snapToGrid w:val="0"/>
              <w:ind w:left="-105" w:leftChars="-50" w:right="-105" w:rightChars="-50"/>
              <w:jc w:val="center"/>
              <w:rPr>
                <w:sz w:val="24"/>
                <w:szCs w:val="24"/>
              </w:rPr>
            </w:pPr>
            <w:r>
              <w:rPr>
                <w:sz w:val="24"/>
                <w:szCs w:val="24"/>
              </w:rPr>
              <w:t>废物</w:t>
            </w:r>
          </w:p>
        </w:tc>
        <w:tc>
          <w:tcPr>
            <w:tcW w:w="4437" w:type="pct"/>
            <w:gridSpan w:val="4"/>
            <w:vAlign w:val="center"/>
          </w:tcPr>
          <w:p w14:paraId="768F139A">
            <w:pPr>
              <w:snapToGrid w:val="0"/>
              <w:ind w:left="-105" w:leftChars="-50" w:right="-105" w:rightChars="-50"/>
              <w:rPr>
                <w:color w:val="000000"/>
                <w:sz w:val="24"/>
                <w:szCs w:val="24"/>
              </w:rPr>
            </w:pPr>
            <w:r>
              <w:rPr>
                <w:color w:val="000000"/>
                <w:sz w:val="24"/>
                <w:szCs w:val="24"/>
              </w:rPr>
              <w:t>S1废离子交换树脂炉渣由厂家更换回收；</w:t>
            </w:r>
          </w:p>
          <w:p w14:paraId="18068AF5">
            <w:pPr>
              <w:snapToGrid w:val="0"/>
              <w:ind w:left="-105" w:leftChars="-50" w:right="-105" w:rightChars="-50"/>
              <w:rPr>
                <w:rFonts w:hint="eastAsia" w:eastAsia="宋体"/>
                <w:color w:val="000000"/>
                <w:sz w:val="24"/>
                <w:szCs w:val="24"/>
                <w:lang w:eastAsia="zh-CN"/>
              </w:rPr>
            </w:pPr>
            <w:r>
              <w:rPr>
                <w:color w:val="000000"/>
                <w:sz w:val="24"/>
                <w:szCs w:val="24"/>
              </w:rPr>
              <w:t>S2炉渣、S3废边角料和不合格产品分类收集后</w:t>
            </w:r>
            <w:r>
              <w:rPr>
                <w:rFonts w:hint="eastAsia"/>
                <w:color w:val="000000"/>
                <w:sz w:val="24"/>
                <w:szCs w:val="24"/>
                <w:lang w:eastAsia="zh-CN"/>
              </w:rPr>
              <w:t>，外售综合利用；</w:t>
            </w:r>
          </w:p>
          <w:p w14:paraId="60F58029">
            <w:pPr>
              <w:snapToGrid w:val="0"/>
              <w:ind w:left="-105" w:leftChars="-50" w:right="-105" w:rightChars="-50"/>
              <w:rPr>
                <w:color w:val="000000"/>
                <w:sz w:val="24"/>
                <w:szCs w:val="24"/>
              </w:rPr>
            </w:pPr>
            <w:r>
              <w:rPr>
                <w:color w:val="000000"/>
                <w:sz w:val="24"/>
                <w:szCs w:val="24"/>
              </w:rPr>
              <w:t>S4废包装材料、S5卤渣分类收集后在一般固废暂存库暂存，由环卫部门统一清运；</w:t>
            </w:r>
          </w:p>
          <w:p w14:paraId="2A53B885">
            <w:pPr>
              <w:snapToGrid w:val="0"/>
              <w:ind w:left="-105" w:leftChars="-50" w:right="-105" w:rightChars="-50"/>
              <w:rPr>
                <w:color w:val="000000"/>
                <w:sz w:val="24"/>
                <w:szCs w:val="24"/>
              </w:rPr>
            </w:pPr>
            <w:r>
              <w:rPr>
                <w:color w:val="000000"/>
                <w:sz w:val="24"/>
                <w:szCs w:val="24"/>
              </w:rPr>
              <w:t>S6</w:t>
            </w:r>
            <w:r>
              <w:rPr>
                <w:rFonts w:hint="eastAsia"/>
                <w:color w:val="000000"/>
                <w:sz w:val="24"/>
                <w:szCs w:val="24"/>
              </w:rPr>
              <w:t>废滤料、废RO膜由厂家更换回收；</w:t>
            </w:r>
          </w:p>
          <w:p w14:paraId="34943E97">
            <w:pPr>
              <w:snapToGrid w:val="0"/>
              <w:ind w:left="-105" w:leftChars="-50" w:right="-105" w:rightChars="-50"/>
              <w:rPr>
                <w:color w:val="000000"/>
                <w:sz w:val="24"/>
                <w:szCs w:val="24"/>
              </w:rPr>
            </w:pPr>
            <w:r>
              <w:rPr>
                <w:color w:val="000000"/>
                <w:sz w:val="24"/>
                <w:szCs w:val="24"/>
              </w:rPr>
              <w:t>S7</w:t>
            </w:r>
            <w:r>
              <w:rPr>
                <w:rFonts w:hint="eastAsia"/>
                <w:color w:val="000000"/>
                <w:sz w:val="24"/>
                <w:szCs w:val="24"/>
              </w:rPr>
              <w:t>废油</w:t>
            </w:r>
            <w:r>
              <w:rPr>
                <w:color w:val="000000"/>
                <w:sz w:val="24"/>
                <w:szCs w:val="24"/>
              </w:rPr>
              <w:t>收集后在一般固废暂存库暂存，由有资质的废油回收公司回收</w:t>
            </w:r>
            <w:r>
              <w:rPr>
                <w:rFonts w:hint="eastAsia"/>
                <w:color w:val="000000"/>
                <w:sz w:val="24"/>
                <w:szCs w:val="24"/>
              </w:rPr>
              <w:t>；</w:t>
            </w:r>
          </w:p>
          <w:p w14:paraId="407B371B">
            <w:pPr>
              <w:snapToGrid w:val="0"/>
              <w:ind w:left="-105" w:leftChars="-50" w:right="-105" w:rightChars="-50"/>
              <w:rPr>
                <w:color w:val="000000"/>
                <w:sz w:val="24"/>
                <w:szCs w:val="24"/>
              </w:rPr>
            </w:pPr>
            <w:r>
              <w:rPr>
                <w:rFonts w:hint="eastAsia"/>
                <w:color w:val="000000"/>
                <w:sz w:val="24"/>
                <w:szCs w:val="24"/>
              </w:rPr>
              <w:t>S8</w:t>
            </w:r>
            <w:r>
              <w:rPr>
                <w:color w:val="000000"/>
                <w:sz w:val="24"/>
                <w:szCs w:val="24"/>
              </w:rPr>
              <w:t>生活垃圾在厂内集中收集后，由环卫部门统一清运。</w:t>
            </w:r>
          </w:p>
        </w:tc>
      </w:tr>
      <w:tr w14:paraId="7E1D9F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562" w:type="pct"/>
            <w:vAlign w:val="center"/>
          </w:tcPr>
          <w:p w14:paraId="64740A25">
            <w:pPr>
              <w:adjustRightInd w:val="0"/>
              <w:snapToGrid w:val="0"/>
              <w:ind w:left="-105" w:leftChars="-50" w:right="-105" w:rightChars="-50"/>
              <w:jc w:val="center"/>
              <w:rPr>
                <w:sz w:val="24"/>
                <w:szCs w:val="24"/>
              </w:rPr>
            </w:pPr>
            <w:r>
              <w:rPr>
                <w:sz w:val="24"/>
                <w:szCs w:val="24"/>
              </w:rPr>
              <w:t>土壤及地下水污染防治措施</w:t>
            </w:r>
          </w:p>
        </w:tc>
        <w:tc>
          <w:tcPr>
            <w:tcW w:w="4437" w:type="pct"/>
            <w:gridSpan w:val="4"/>
            <w:vAlign w:val="center"/>
          </w:tcPr>
          <w:p w14:paraId="55ADDE0F">
            <w:pPr>
              <w:adjustRightInd w:val="0"/>
              <w:snapToGrid w:val="0"/>
              <w:rPr>
                <w:sz w:val="24"/>
                <w:szCs w:val="24"/>
              </w:rPr>
            </w:pPr>
            <w:r>
              <w:rPr>
                <w:sz w:val="24"/>
                <w:szCs w:val="24"/>
              </w:rPr>
              <w:t>采取分区防渗，生产车间内其他生产区域为一般防渗区，防渗技术要求为等效黏土防渗层Mb≥1.5m，K≤1×10</w:t>
            </w:r>
            <w:r>
              <w:rPr>
                <w:sz w:val="24"/>
                <w:szCs w:val="24"/>
                <w:vertAlign w:val="superscript"/>
              </w:rPr>
              <w:t>-7</w:t>
            </w:r>
            <w:r>
              <w:rPr>
                <w:sz w:val="24"/>
                <w:szCs w:val="24"/>
              </w:rPr>
              <w:t>cm/s 或参照GB18598执行；办公区域等为简单防渗区，防渗技术要求为一般地面硬化。</w:t>
            </w:r>
          </w:p>
        </w:tc>
      </w:tr>
      <w:tr w14:paraId="2D3AED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6" w:hRule="atLeast"/>
          <w:jc w:val="center"/>
        </w:trPr>
        <w:tc>
          <w:tcPr>
            <w:tcW w:w="562" w:type="pct"/>
            <w:vAlign w:val="center"/>
          </w:tcPr>
          <w:p w14:paraId="5F80D1B7">
            <w:pPr>
              <w:adjustRightInd w:val="0"/>
              <w:snapToGrid w:val="0"/>
              <w:ind w:left="-105" w:leftChars="-50" w:right="-105" w:rightChars="-50"/>
              <w:jc w:val="center"/>
              <w:rPr>
                <w:sz w:val="24"/>
                <w:szCs w:val="24"/>
              </w:rPr>
            </w:pPr>
            <w:r>
              <w:rPr>
                <w:sz w:val="24"/>
                <w:szCs w:val="24"/>
              </w:rPr>
              <w:t>生态保护措施</w:t>
            </w:r>
          </w:p>
        </w:tc>
        <w:tc>
          <w:tcPr>
            <w:tcW w:w="4437" w:type="pct"/>
            <w:gridSpan w:val="4"/>
            <w:vAlign w:val="center"/>
          </w:tcPr>
          <w:p w14:paraId="31E71AEB">
            <w:pPr>
              <w:adjustRightInd w:val="0"/>
              <w:snapToGrid w:val="0"/>
              <w:spacing w:line="360" w:lineRule="auto"/>
              <w:jc w:val="center"/>
              <w:rPr>
                <w:sz w:val="24"/>
                <w:szCs w:val="24"/>
              </w:rPr>
            </w:pPr>
            <w:r>
              <w:rPr>
                <w:sz w:val="24"/>
                <w:szCs w:val="24"/>
              </w:rPr>
              <w:t>不涉及</w:t>
            </w:r>
          </w:p>
        </w:tc>
      </w:tr>
      <w:tr w14:paraId="0EDE9A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42" w:hRule="atLeast"/>
          <w:jc w:val="center"/>
        </w:trPr>
        <w:tc>
          <w:tcPr>
            <w:tcW w:w="562" w:type="pct"/>
            <w:vAlign w:val="center"/>
          </w:tcPr>
          <w:p w14:paraId="3FEF2068">
            <w:pPr>
              <w:adjustRightInd w:val="0"/>
              <w:snapToGrid w:val="0"/>
              <w:ind w:left="-105" w:leftChars="-50" w:right="-105" w:rightChars="-50"/>
              <w:jc w:val="center"/>
              <w:rPr>
                <w:spacing w:val="-8"/>
                <w:sz w:val="24"/>
                <w:szCs w:val="24"/>
              </w:rPr>
            </w:pPr>
            <w:r>
              <w:rPr>
                <w:spacing w:val="-8"/>
                <w:sz w:val="24"/>
                <w:szCs w:val="24"/>
              </w:rPr>
              <w:t>环境风险</w:t>
            </w:r>
          </w:p>
          <w:p w14:paraId="75D0C244">
            <w:pPr>
              <w:adjustRightInd w:val="0"/>
              <w:snapToGrid w:val="0"/>
              <w:ind w:left="-105" w:leftChars="-50" w:right="-105" w:rightChars="-50"/>
              <w:jc w:val="center"/>
              <w:rPr>
                <w:spacing w:val="-8"/>
                <w:sz w:val="24"/>
                <w:szCs w:val="24"/>
              </w:rPr>
            </w:pPr>
            <w:r>
              <w:rPr>
                <w:spacing w:val="-8"/>
                <w:sz w:val="24"/>
                <w:szCs w:val="24"/>
              </w:rPr>
              <w:t>防范措施</w:t>
            </w:r>
          </w:p>
        </w:tc>
        <w:tc>
          <w:tcPr>
            <w:tcW w:w="4437" w:type="pct"/>
            <w:gridSpan w:val="4"/>
            <w:vAlign w:val="center"/>
          </w:tcPr>
          <w:p w14:paraId="091122B9">
            <w:pPr>
              <w:adjustRightInd w:val="0"/>
              <w:snapToGrid w:val="0"/>
              <w:spacing w:line="360" w:lineRule="auto"/>
              <w:rPr>
                <w:sz w:val="24"/>
                <w:szCs w:val="24"/>
              </w:rPr>
            </w:pPr>
            <w:r>
              <w:rPr>
                <w:sz w:val="24"/>
                <w:szCs w:val="24"/>
              </w:rPr>
              <w:t xml:space="preserve">①制订安全、防火制度，各岗位操作规范，环境管理巡查制度等，严格落实各项防火、用电安全和环境风险防范措施，加强对职工的安全教育，向项目区职工传授消防灭火知识等。 </w:t>
            </w:r>
          </w:p>
          <w:p w14:paraId="6222B0DF">
            <w:pPr>
              <w:adjustRightInd w:val="0"/>
              <w:snapToGrid w:val="0"/>
              <w:spacing w:line="360" w:lineRule="auto"/>
              <w:rPr>
                <w:sz w:val="24"/>
                <w:szCs w:val="24"/>
              </w:rPr>
            </w:pPr>
            <w:r>
              <w:rPr>
                <w:sz w:val="24"/>
                <w:szCs w:val="24"/>
              </w:rPr>
              <w:t xml:space="preserve">②加强对污染治理设施操作人员岗位培训，熟练掌握操作规程和技术；熟悉处理设施的维护和维修，确保废气污染物长期稳定达标排放；定期委托有资质监测单位进行监测。 </w:t>
            </w:r>
          </w:p>
          <w:p w14:paraId="0165A008">
            <w:pPr>
              <w:adjustRightInd w:val="0"/>
              <w:snapToGrid w:val="0"/>
              <w:spacing w:line="360" w:lineRule="auto"/>
              <w:rPr>
                <w:sz w:val="24"/>
                <w:szCs w:val="24"/>
              </w:rPr>
            </w:pPr>
            <w:r>
              <w:rPr>
                <w:sz w:val="24"/>
                <w:szCs w:val="24"/>
              </w:rPr>
              <w:t xml:space="preserve">③如果污染治理设施发生故障，应立即停止相关生产，避免污染环境。 </w:t>
            </w:r>
          </w:p>
          <w:p w14:paraId="098FA44F">
            <w:pPr>
              <w:adjustRightInd w:val="0"/>
              <w:snapToGrid w:val="0"/>
              <w:spacing w:line="360" w:lineRule="auto"/>
              <w:rPr>
                <w:sz w:val="24"/>
                <w:szCs w:val="24"/>
              </w:rPr>
            </w:pPr>
            <w:r>
              <w:rPr>
                <w:sz w:val="24"/>
                <w:szCs w:val="24"/>
              </w:rPr>
              <w:t>④完善的安全措施是保障安全营运的重要组成部分，对项目区实行全员、全过程、全方位的安全管理，制定安全管理规章和安全管理措施。</w:t>
            </w:r>
          </w:p>
        </w:tc>
      </w:tr>
      <w:tr w14:paraId="36D181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2" w:type="pct"/>
            <w:vAlign w:val="center"/>
          </w:tcPr>
          <w:p w14:paraId="32DB3C6C">
            <w:pPr>
              <w:adjustRightInd w:val="0"/>
              <w:snapToGrid w:val="0"/>
              <w:ind w:left="-105" w:leftChars="-50" w:right="-105" w:rightChars="-50"/>
              <w:jc w:val="center"/>
              <w:rPr>
                <w:spacing w:val="-8"/>
                <w:sz w:val="24"/>
                <w:szCs w:val="24"/>
              </w:rPr>
            </w:pPr>
            <w:r>
              <w:rPr>
                <w:spacing w:val="-8"/>
                <w:sz w:val="24"/>
                <w:szCs w:val="24"/>
              </w:rPr>
              <w:t>其他环境</w:t>
            </w:r>
          </w:p>
          <w:p w14:paraId="11D51513">
            <w:pPr>
              <w:adjustRightInd w:val="0"/>
              <w:snapToGrid w:val="0"/>
              <w:ind w:left="-105" w:leftChars="-50" w:right="-105" w:rightChars="-50"/>
              <w:jc w:val="center"/>
              <w:rPr>
                <w:spacing w:val="-8"/>
                <w:sz w:val="24"/>
                <w:szCs w:val="24"/>
              </w:rPr>
            </w:pPr>
            <w:r>
              <w:rPr>
                <w:spacing w:val="-8"/>
                <w:sz w:val="24"/>
                <w:szCs w:val="24"/>
              </w:rPr>
              <w:t>管理要求</w:t>
            </w:r>
          </w:p>
        </w:tc>
        <w:tc>
          <w:tcPr>
            <w:tcW w:w="4437" w:type="pct"/>
            <w:gridSpan w:val="4"/>
            <w:vAlign w:val="center"/>
          </w:tcPr>
          <w:p w14:paraId="4AD21484">
            <w:pPr>
              <w:spacing w:line="360" w:lineRule="auto"/>
              <w:ind w:firstLine="482" w:firstLineChars="200"/>
              <w:rPr>
                <w:b/>
                <w:sz w:val="24"/>
                <w:szCs w:val="24"/>
              </w:rPr>
            </w:pPr>
            <w:r>
              <w:rPr>
                <w:b/>
                <w:sz w:val="24"/>
                <w:szCs w:val="24"/>
              </w:rPr>
              <w:t>1排放口信息化、规范化</w:t>
            </w:r>
          </w:p>
          <w:p w14:paraId="443280DF">
            <w:pPr>
              <w:spacing w:line="360" w:lineRule="auto"/>
              <w:ind w:firstLine="480" w:firstLineChars="200"/>
              <w:rPr>
                <w:sz w:val="24"/>
                <w:szCs w:val="24"/>
              </w:rPr>
            </w:pPr>
            <w:r>
              <w:rPr>
                <w:sz w:val="24"/>
                <w:szCs w:val="24"/>
              </w:rPr>
              <w:t>根据国家环境保护总局《关于开展排放口规范化整治工作的通知》、《排放口规范化整治技术要求（试行）》等规定，排污单位在建设污染治理设施的同时，建设规范化排放口。</w:t>
            </w:r>
          </w:p>
          <w:p w14:paraId="6767CBEB">
            <w:pPr>
              <w:spacing w:line="360" w:lineRule="auto"/>
              <w:ind w:firstLine="480" w:firstLineChars="200"/>
              <w:rPr>
                <w:sz w:val="24"/>
                <w:szCs w:val="24"/>
              </w:rPr>
            </w:pPr>
            <w:r>
              <w:rPr>
                <w:sz w:val="24"/>
                <w:szCs w:val="24"/>
              </w:rPr>
              <w:t>（1）废气排放口设置明确表示，并设置便于采样、监测的采样口，配置安全可靠的检测平台。</w:t>
            </w:r>
          </w:p>
          <w:p w14:paraId="06193C05">
            <w:pPr>
              <w:spacing w:line="360" w:lineRule="auto"/>
              <w:ind w:firstLine="480" w:firstLineChars="200"/>
              <w:rPr>
                <w:sz w:val="24"/>
                <w:szCs w:val="24"/>
              </w:rPr>
            </w:pPr>
            <w:r>
              <w:rPr>
                <w:sz w:val="24"/>
                <w:szCs w:val="24"/>
              </w:rPr>
              <w:t>（2）固体废物在厂暂存期间应设置专门的储存设施或堆放场所、运输通道。存放场地应采取防扬散、防流失措施，并在存放场地设置环保标志牌。</w:t>
            </w:r>
          </w:p>
          <w:p w14:paraId="5575B519">
            <w:pPr>
              <w:spacing w:line="360" w:lineRule="auto"/>
              <w:ind w:firstLine="480" w:firstLineChars="200"/>
              <w:rPr>
                <w:sz w:val="24"/>
                <w:szCs w:val="24"/>
              </w:rPr>
            </w:pPr>
            <w:r>
              <w:rPr>
                <w:sz w:val="24"/>
                <w:szCs w:val="24"/>
              </w:rPr>
              <w:t>项目按照《环境保护图形标志-排放口（源）》（GB15562.1-1995）和《环境保护图形标志-固体废物贮存（处置）场》（GB15562.2-1995）、《危险废物识别标志设置技术规范》（HJ 1276-2022）等有关规定，在各排污口（源）挂牌标识，做到各排污口（源）的环保标志明显，便于企业管理和公众监督。</w:t>
            </w:r>
          </w:p>
          <w:p w14:paraId="36C6F05A">
            <w:pPr>
              <w:spacing w:line="360" w:lineRule="auto"/>
              <w:ind w:firstLine="480" w:firstLineChars="200"/>
              <w:rPr>
                <w:sz w:val="24"/>
                <w:szCs w:val="24"/>
              </w:rPr>
            </w:pPr>
            <w:r>
              <w:rPr>
                <w:sz w:val="24"/>
                <w:szCs w:val="24"/>
              </w:rPr>
              <w:t>（3）项目应使用国家环保局统一印制的《中华人民共和国规范化排污口标志牌登记证》，并按要求填写有关内容。根据排污口管理档案内容要求，项目投产后，应将上述所有污染排放口名称、位置，以及排放污染物名称、数量、浓度、排放去向等内容进行统计，并登记上报所在地环境保护行政主管部门，以便进行验收和排放口的规范化管理，并接受社会监督。</w:t>
            </w:r>
          </w:p>
          <w:p w14:paraId="4378F73D">
            <w:pPr>
              <w:spacing w:line="360" w:lineRule="auto"/>
              <w:ind w:firstLine="482" w:firstLineChars="200"/>
              <w:rPr>
                <w:b/>
                <w:sz w:val="24"/>
                <w:szCs w:val="24"/>
              </w:rPr>
            </w:pPr>
            <w:r>
              <w:rPr>
                <w:b/>
                <w:sz w:val="24"/>
                <w:szCs w:val="24"/>
              </w:rPr>
              <w:t>2排污许可证申请</w:t>
            </w:r>
          </w:p>
          <w:p w14:paraId="5D0A73C9">
            <w:pPr>
              <w:spacing w:line="360" w:lineRule="auto"/>
              <w:ind w:firstLine="480" w:firstLineChars="200"/>
              <w:rPr>
                <w:sz w:val="24"/>
                <w:szCs w:val="24"/>
              </w:rPr>
            </w:pPr>
            <w:r>
              <w:rPr>
                <w:sz w:val="24"/>
                <w:szCs w:val="24"/>
              </w:rPr>
              <w:t>根据《关于做好环境影响评价制度与排污许可制衔接相关工作的通知》，为推进排污许可制与环境影响评价制度的衔接融合，深化生态环境领域“放管服”改革，进一步优化营商环境，根据生态环境部《“十四五”环境影响评价与排污许可工作实施方案》，全面推进排污许可制，推动排污许可制与环境影响评价制度的深度衔接，实行从环境准入、排污控制到执法监管的“一证式”全过程管理，解决环境管理尺度不一、企业重复申报等问题，优化环评与排污许可行政审批程序，实现建设项目环评审批与排污许可证核发 “一窗受理、一体化审批”并联办理模式，推进营商环境优化、减轻企业负担，提高行政审批效率、提升生态环境监管效能。</w:t>
            </w:r>
          </w:p>
          <w:p w14:paraId="761D3CC6">
            <w:pPr>
              <w:widowControl/>
              <w:spacing w:line="360" w:lineRule="auto"/>
              <w:ind w:firstLine="480" w:firstLineChars="200"/>
              <w:rPr>
                <w:color w:val="FF0000"/>
                <w:sz w:val="24"/>
                <w:szCs w:val="24"/>
              </w:rPr>
            </w:pPr>
            <w:r>
              <w:rPr>
                <w:sz w:val="24"/>
                <w:szCs w:val="24"/>
              </w:rPr>
              <w:t>根据《排污许可管理条例》，对照《固定污染源排污许可分类管理名录》（2019年版），当在启动生产设施或者发生实际排污之前申请取得排污许可证或者填报排污登记表。根据《固定污染源排污许可分类管理名录》（2019年版），</w:t>
            </w:r>
            <w:r>
              <w:rPr>
                <w:rFonts w:hint="eastAsia"/>
                <w:color w:val="000000"/>
                <w:sz w:val="24"/>
                <w:szCs w:val="24"/>
                <w:u w:val="single"/>
                <w:lang w:bidi="ar"/>
              </w:rPr>
              <w:t>本项目属于五十一、通用工序</w:t>
            </w:r>
            <w:r>
              <w:rPr>
                <w:color w:val="000000"/>
                <w:sz w:val="24"/>
                <w:szCs w:val="24"/>
                <w:u w:val="single"/>
                <w:lang w:bidi="ar"/>
              </w:rPr>
              <w:t xml:space="preserve"> 109</w:t>
            </w:r>
            <w:r>
              <w:rPr>
                <w:rFonts w:hint="eastAsia"/>
                <w:color w:val="000000"/>
                <w:sz w:val="24"/>
                <w:szCs w:val="24"/>
                <w:u w:val="single"/>
                <w:lang w:bidi="ar"/>
              </w:rPr>
              <w:t>锅炉除纳入重点排污单位名录的，单台且合计出力</w:t>
            </w:r>
            <w:r>
              <w:rPr>
                <w:color w:val="000000"/>
                <w:sz w:val="24"/>
                <w:szCs w:val="24"/>
                <w:u w:val="single"/>
                <w:lang w:bidi="ar"/>
              </w:rPr>
              <w:t xml:space="preserve"> 20 </w:t>
            </w:r>
            <w:r>
              <w:rPr>
                <w:rFonts w:hint="eastAsia"/>
                <w:color w:val="000000"/>
                <w:sz w:val="24"/>
                <w:szCs w:val="24"/>
                <w:u w:val="single"/>
                <w:lang w:bidi="ar"/>
              </w:rPr>
              <w:t>吨</w:t>
            </w:r>
            <w:r>
              <w:rPr>
                <w:color w:val="000000"/>
                <w:sz w:val="24"/>
                <w:szCs w:val="24"/>
                <w:u w:val="single"/>
                <w:lang w:bidi="ar"/>
              </w:rPr>
              <w:t>/</w:t>
            </w:r>
            <w:r>
              <w:rPr>
                <w:rFonts w:hint="eastAsia"/>
                <w:color w:val="000000"/>
                <w:sz w:val="24"/>
                <w:szCs w:val="24"/>
                <w:u w:val="single"/>
                <w:lang w:bidi="ar"/>
              </w:rPr>
              <w:t>小时（</w:t>
            </w:r>
            <w:r>
              <w:rPr>
                <w:color w:val="000000"/>
                <w:sz w:val="24"/>
                <w:szCs w:val="24"/>
                <w:u w:val="single"/>
                <w:lang w:bidi="ar"/>
              </w:rPr>
              <w:t>14</w:t>
            </w:r>
            <w:r>
              <w:rPr>
                <w:rFonts w:hint="eastAsia"/>
                <w:color w:val="000000"/>
                <w:sz w:val="24"/>
                <w:szCs w:val="24"/>
                <w:u w:val="single"/>
                <w:lang w:bidi="ar"/>
              </w:rPr>
              <w:t>兆瓦）及以下的锅炉（不含电热锅炉）的，为实施登记管理的行业。</w:t>
            </w:r>
          </w:p>
          <w:p w14:paraId="3113753C">
            <w:pPr>
              <w:spacing w:line="360" w:lineRule="auto"/>
              <w:ind w:firstLine="482" w:firstLineChars="200"/>
              <w:rPr>
                <w:b/>
                <w:sz w:val="24"/>
                <w:szCs w:val="24"/>
              </w:rPr>
            </w:pPr>
            <w:r>
              <w:rPr>
                <w:b/>
                <w:sz w:val="24"/>
                <w:szCs w:val="24"/>
              </w:rPr>
              <w:t>3环境监测</w:t>
            </w:r>
          </w:p>
          <w:p w14:paraId="0DFE6C07">
            <w:pPr>
              <w:spacing w:line="360" w:lineRule="auto"/>
              <w:ind w:firstLine="480" w:firstLineChars="200"/>
              <w:rPr>
                <w:sz w:val="24"/>
                <w:szCs w:val="24"/>
              </w:rPr>
            </w:pPr>
            <w:r>
              <w:rPr>
                <w:sz w:val="24"/>
                <w:szCs w:val="24"/>
              </w:rPr>
              <w:t>为及时掌握项目对当地环境的实际影响程度及变化趋势，验证环境影响评价的科学性，了解环境保护措施的可行性，准确地把握项目建设产生的环境效益，项目应施行必要的环境监测工作，落实环境监测计划，并建立相应的长期环境监测制度。</w:t>
            </w:r>
          </w:p>
          <w:p w14:paraId="71EA7895">
            <w:pPr>
              <w:spacing w:line="360" w:lineRule="auto"/>
              <w:ind w:firstLine="482" w:firstLineChars="200"/>
              <w:rPr>
                <w:b/>
                <w:sz w:val="24"/>
                <w:szCs w:val="24"/>
              </w:rPr>
            </w:pPr>
            <w:r>
              <w:rPr>
                <w:b/>
                <w:sz w:val="24"/>
                <w:szCs w:val="24"/>
              </w:rPr>
              <w:t>4建设项目竣工环境保护验收</w:t>
            </w:r>
          </w:p>
          <w:p w14:paraId="28C5738C">
            <w:pPr>
              <w:spacing w:line="360" w:lineRule="auto"/>
              <w:ind w:firstLine="480" w:firstLineChars="200"/>
              <w:rPr>
                <w:sz w:val="24"/>
                <w:szCs w:val="24"/>
              </w:rPr>
            </w:pPr>
            <w:r>
              <w:rPr>
                <w:sz w:val="24"/>
                <w:szCs w:val="24"/>
              </w:rPr>
              <w:t>为贯彻落实新修改的《建设项目环境保护管理条例》，规范建设项目竣工后建设单位自主开展环境保护验收的程序和标准。根据《建设项目竣工环境保护验收暂行办法》（国环规环评[2017]4号），建设单位是建设项目竣工环境保护验收的责任主体，应当按照《暂行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w:t>
            </w:r>
          </w:p>
          <w:p w14:paraId="35784188">
            <w:pPr>
              <w:spacing w:line="360" w:lineRule="auto"/>
              <w:ind w:firstLine="480" w:firstLineChars="200"/>
              <w:rPr>
                <w:sz w:val="24"/>
                <w:szCs w:val="24"/>
              </w:rPr>
            </w:pPr>
          </w:p>
          <w:p w14:paraId="67005062">
            <w:pPr>
              <w:spacing w:line="360" w:lineRule="auto"/>
              <w:ind w:firstLine="480" w:firstLineChars="200"/>
              <w:rPr>
                <w:sz w:val="24"/>
                <w:szCs w:val="24"/>
              </w:rPr>
            </w:pPr>
          </w:p>
          <w:p w14:paraId="5438CB7E">
            <w:pPr>
              <w:spacing w:line="360" w:lineRule="auto"/>
              <w:ind w:firstLine="480" w:firstLineChars="200"/>
              <w:rPr>
                <w:sz w:val="24"/>
                <w:szCs w:val="24"/>
              </w:rPr>
            </w:pPr>
          </w:p>
          <w:p w14:paraId="3367DB77">
            <w:pPr>
              <w:spacing w:line="360" w:lineRule="auto"/>
              <w:ind w:firstLine="480" w:firstLineChars="200"/>
              <w:rPr>
                <w:sz w:val="24"/>
                <w:szCs w:val="24"/>
              </w:rPr>
            </w:pPr>
          </w:p>
          <w:p w14:paraId="71960BB4">
            <w:pPr>
              <w:spacing w:line="360" w:lineRule="auto"/>
              <w:ind w:firstLine="480" w:firstLineChars="200"/>
              <w:rPr>
                <w:sz w:val="24"/>
                <w:szCs w:val="24"/>
              </w:rPr>
            </w:pPr>
          </w:p>
          <w:p w14:paraId="4EAA3BDB">
            <w:pPr>
              <w:spacing w:line="360" w:lineRule="auto"/>
              <w:ind w:firstLine="480" w:firstLineChars="200"/>
              <w:rPr>
                <w:sz w:val="24"/>
                <w:szCs w:val="24"/>
              </w:rPr>
            </w:pPr>
          </w:p>
          <w:p w14:paraId="226284A6">
            <w:pPr>
              <w:spacing w:line="360" w:lineRule="auto"/>
              <w:ind w:firstLine="480" w:firstLineChars="200"/>
              <w:rPr>
                <w:sz w:val="24"/>
                <w:szCs w:val="24"/>
              </w:rPr>
            </w:pPr>
          </w:p>
          <w:p w14:paraId="53800281">
            <w:pPr>
              <w:spacing w:line="360" w:lineRule="auto"/>
              <w:ind w:firstLine="480" w:firstLineChars="200"/>
              <w:rPr>
                <w:sz w:val="24"/>
                <w:szCs w:val="24"/>
              </w:rPr>
            </w:pPr>
          </w:p>
          <w:p w14:paraId="40E6559F">
            <w:pPr>
              <w:spacing w:line="360" w:lineRule="auto"/>
              <w:ind w:firstLine="480" w:firstLineChars="200"/>
              <w:rPr>
                <w:sz w:val="24"/>
                <w:szCs w:val="24"/>
              </w:rPr>
            </w:pPr>
          </w:p>
          <w:p w14:paraId="2826DAD7">
            <w:pPr>
              <w:spacing w:line="360" w:lineRule="auto"/>
              <w:ind w:firstLine="480" w:firstLineChars="200"/>
              <w:rPr>
                <w:sz w:val="24"/>
                <w:szCs w:val="24"/>
              </w:rPr>
            </w:pPr>
          </w:p>
          <w:p w14:paraId="637ED0A3">
            <w:pPr>
              <w:spacing w:line="360" w:lineRule="auto"/>
              <w:ind w:firstLine="480" w:firstLineChars="200"/>
              <w:rPr>
                <w:sz w:val="24"/>
                <w:szCs w:val="24"/>
              </w:rPr>
            </w:pPr>
          </w:p>
          <w:p w14:paraId="62F0F460">
            <w:pPr>
              <w:spacing w:line="360" w:lineRule="auto"/>
              <w:ind w:firstLine="480" w:firstLineChars="200"/>
              <w:rPr>
                <w:sz w:val="24"/>
                <w:szCs w:val="24"/>
              </w:rPr>
            </w:pPr>
          </w:p>
          <w:p w14:paraId="2D45603E">
            <w:pPr>
              <w:spacing w:line="360" w:lineRule="auto"/>
              <w:ind w:firstLine="480" w:firstLineChars="200"/>
              <w:rPr>
                <w:sz w:val="24"/>
                <w:szCs w:val="24"/>
              </w:rPr>
            </w:pPr>
          </w:p>
          <w:p w14:paraId="0FBB40C8">
            <w:pPr>
              <w:spacing w:line="360" w:lineRule="auto"/>
              <w:ind w:firstLine="480" w:firstLineChars="200"/>
              <w:rPr>
                <w:sz w:val="24"/>
                <w:szCs w:val="24"/>
              </w:rPr>
            </w:pPr>
          </w:p>
          <w:p w14:paraId="19CA8E39">
            <w:pPr>
              <w:spacing w:line="360" w:lineRule="auto"/>
              <w:ind w:firstLine="480" w:firstLineChars="200"/>
              <w:rPr>
                <w:sz w:val="24"/>
                <w:szCs w:val="24"/>
              </w:rPr>
            </w:pPr>
          </w:p>
          <w:p w14:paraId="18E3D7C7">
            <w:pPr>
              <w:spacing w:line="360" w:lineRule="auto"/>
              <w:ind w:firstLine="480" w:firstLineChars="200"/>
              <w:rPr>
                <w:sz w:val="24"/>
                <w:szCs w:val="24"/>
              </w:rPr>
            </w:pPr>
          </w:p>
          <w:p w14:paraId="7A95344B">
            <w:pPr>
              <w:spacing w:line="360" w:lineRule="auto"/>
              <w:rPr>
                <w:sz w:val="24"/>
                <w:szCs w:val="24"/>
              </w:rPr>
            </w:pPr>
          </w:p>
        </w:tc>
      </w:tr>
    </w:tbl>
    <w:p w14:paraId="67301003">
      <w:pPr>
        <w:widowControl/>
        <w:jc w:val="left"/>
        <w:rPr>
          <w:rFonts w:ascii="宋体" w:hAnsi="宋体"/>
          <w:b/>
          <w:bCs/>
          <w:snapToGrid w:val="0"/>
          <w:color w:val="000000"/>
          <w:sz w:val="30"/>
          <w:szCs w:val="30"/>
        </w:rPr>
      </w:pPr>
      <w:r>
        <w:rPr>
          <w:rFonts w:ascii="宋体" w:hAnsi="宋体"/>
          <w:b/>
          <w:bCs/>
          <w:snapToGrid w:val="0"/>
          <w:color w:val="000000"/>
          <w:sz w:val="30"/>
          <w:szCs w:val="30"/>
        </w:rPr>
        <w:br w:type="page"/>
      </w:r>
    </w:p>
    <w:p w14:paraId="49D8C9AC">
      <w:pPr>
        <w:pStyle w:val="21"/>
        <w:spacing w:before="120" w:beforeLines="50" w:beforeAutospacing="0" w:after="120" w:afterLines="50" w:afterAutospacing="0"/>
        <w:jc w:val="center"/>
        <w:outlineLvl w:val="0"/>
        <w:rPr>
          <w:b/>
          <w:bCs/>
          <w:snapToGrid w:val="0"/>
          <w:color w:val="000000"/>
          <w:sz w:val="30"/>
          <w:szCs w:val="30"/>
        </w:rPr>
      </w:pPr>
      <w:bookmarkStart w:id="39" w:name="_Toc135403218"/>
      <w:r>
        <w:rPr>
          <w:b/>
          <w:bCs/>
          <w:snapToGrid w:val="0"/>
          <w:color w:val="000000"/>
          <w:sz w:val="30"/>
          <w:szCs w:val="30"/>
        </w:rPr>
        <w:t>六、结论</w:t>
      </w:r>
      <w:bookmarkEnd w:id="39"/>
    </w:p>
    <w:tbl>
      <w:tblPr>
        <w:tblStyle w:val="24"/>
        <w:tblW w:w="907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072"/>
      </w:tblGrid>
      <w:tr w14:paraId="5D966D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357" w:hRule="atLeast"/>
          <w:jc w:val="center"/>
        </w:trPr>
        <w:tc>
          <w:tcPr>
            <w:tcW w:w="8865" w:type="dxa"/>
            <w:vAlign w:val="center"/>
          </w:tcPr>
          <w:p w14:paraId="324759E9">
            <w:pPr>
              <w:spacing w:line="360" w:lineRule="auto"/>
              <w:ind w:firstLine="480" w:firstLineChars="200"/>
              <w:rPr>
                <w:color w:val="FF0000"/>
                <w:sz w:val="24"/>
                <w:szCs w:val="24"/>
              </w:rPr>
            </w:pPr>
            <w:r>
              <w:rPr>
                <w:color w:val="000000"/>
                <w:sz w:val="24"/>
                <w:szCs w:val="24"/>
              </w:rPr>
              <w:t>综上所述，</w:t>
            </w:r>
            <w:r>
              <w:rPr>
                <w:rFonts w:hint="eastAsia"/>
                <w:color w:val="000000"/>
                <w:sz w:val="24"/>
                <w:szCs w:val="24"/>
              </w:rPr>
              <w:t>安化卤师兄食品有限公司</w:t>
            </w:r>
            <w:r>
              <w:rPr>
                <w:rFonts w:hint="eastAsia"/>
                <w:sz w:val="24"/>
                <w:szCs w:val="24"/>
              </w:rPr>
              <w:t>年产12000吨肉类卤制品和3500吨非即食性生制食品项目</w:t>
            </w:r>
            <w:r>
              <w:rPr>
                <w:color w:val="000000"/>
                <w:sz w:val="24"/>
                <w:szCs w:val="24"/>
              </w:rPr>
              <w:t>符合相关规划要求，项目建设和运营过程中，在严格落实环评中提出的各项污染治理措施的前提下，废气、废水、噪声等均可达标排放，固体废物能得到有效、安全的处置，项目产生的污染物对周围环境产生的影响在可接受的范围内。因此，本评价认为该建设项目从环保角度出发是合理可行的。</w:t>
            </w:r>
          </w:p>
        </w:tc>
      </w:tr>
    </w:tbl>
    <w:p w14:paraId="3048201D">
      <w:pPr>
        <w:widowControl/>
        <w:spacing w:line="360" w:lineRule="auto"/>
        <w:jc w:val="left"/>
        <w:rPr>
          <w:color w:val="FF0000"/>
          <w:sz w:val="24"/>
          <w:szCs w:val="24"/>
        </w:rPr>
        <w:sectPr>
          <w:pgSz w:w="11906" w:h="16838"/>
          <w:pgMar w:top="1701" w:right="1440" w:bottom="1701" w:left="1440" w:header="851" w:footer="851" w:gutter="0"/>
          <w:cols w:space="720" w:num="1"/>
        </w:sectPr>
      </w:pPr>
    </w:p>
    <w:p w14:paraId="1E555B18">
      <w:pPr>
        <w:pStyle w:val="21"/>
        <w:adjustRightInd w:val="0"/>
        <w:snapToGrid w:val="0"/>
        <w:spacing w:before="0" w:beforeAutospacing="0" w:after="0" w:afterAutospacing="0"/>
        <w:rPr>
          <w:b/>
          <w:bCs/>
          <w:snapToGrid w:val="0"/>
          <w:color w:val="000000"/>
          <w:kern w:val="0"/>
          <w:sz w:val="28"/>
          <w:szCs w:val="28"/>
        </w:rPr>
      </w:pPr>
      <w:r>
        <w:rPr>
          <w:b/>
          <w:bCs/>
          <w:snapToGrid w:val="0"/>
          <w:color w:val="000000"/>
          <w:sz w:val="28"/>
          <w:szCs w:val="28"/>
        </w:rPr>
        <w:t>附表</w:t>
      </w:r>
    </w:p>
    <w:p w14:paraId="4D6B6F03">
      <w:pPr>
        <w:pStyle w:val="21"/>
        <w:adjustRightInd w:val="0"/>
        <w:snapToGrid w:val="0"/>
        <w:spacing w:before="0" w:beforeAutospacing="0" w:after="0" w:afterAutospacing="0"/>
        <w:jc w:val="center"/>
        <w:rPr>
          <w:b/>
          <w:bCs/>
          <w:snapToGrid w:val="0"/>
          <w:color w:val="000000"/>
          <w:sz w:val="36"/>
          <w:szCs w:val="36"/>
        </w:rPr>
      </w:pPr>
      <w:r>
        <w:rPr>
          <w:b/>
          <w:bCs/>
          <w:snapToGrid w:val="0"/>
          <w:color w:val="000000"/>
          <w:sz w:val="36"/>
          <w:szCs w:val="36"/>
        </w:rPr>
        <w:t>建设项目污染物排放量汇总表</w:t>
      </w:r>
    </w:p>
    <w:tbl>
      <w:tblPr>
        <w:tblStyle w:val="24"/>
        <w:tblW w:w="1360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67"/>
        <w:gridCol w:w="1537"/>
        <w:gridCol w:w="1540"/>
        <w:gridCol w:w="1260"/>
        <w:gridCol w:w="1678"/>
        <w:gridCol w:w="1539"/>
        <w:gridCol w:w="1400"/>
        <w:gridCol w:w="1817"/>
        <w:gridCol w:w="1270"/>
      </w:tblGrid>
      <w:tr w14:paraId="6A8494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67" w:type="dxa"/>
            <w:tcBorders>
              <w:top w:val="single" w:color="auto" w:sz="12" w:space="0"/>
              <w:bottom w:val="single" w:color="auto" w:sz="6" w:space="0"/>
              <w:tl2br w:val="single" w:color="000000" w:sz="4" w:space="0"/>
            </w:tcBorders>
            <w:tcMar>
              <w:top w:w="0" w:type="dxa"/>
              <w:left w:w="28" w:type="dxa"/>
              <w:bottom w:w="0" w:type="dxa"/>
              <w:right w:w="28" w:type="dxa"/>
            </w:tcMar>
            <w:vAlign w:val="center"/>
          </w:tcPr>
          <w:p w14:paraId="3199DE49">
            <w:pPr>
              <w:pStyle w:val="50"/>
              <w:wordWrap w:val="0"/>
              <w:adjustRightInd/>
              <w:snapToGrid/>
              <w:spacing w:beforeLines="0" w:line="240" w:lineRule="auto"/>
              <w:jc w:val="right"/>
              <w:rPr>
                <w:rFonts w:ascii="Times New Roman" w:hAnsi="Times New Roman"/>
                <w:snapToGrid w:val="0"/>
                <w:spacing w:val="-6"/>
                <w:kern w:val="21"/>
                <w:szCs w:val="21"/>
              </w:rPr>
            </w:pPr>
            <w:r>
              <w:rPr>
                <w:rFonts w:ascii="Times New Roman" w:hAnsi="Times New Roman"/>
                <w:snapToGrid w:val="0"/>
                <w:spacing w:val="-6"/>
                <w:kern w:val="21"/>
                <w:szCs w:val="21"/>
              </w:rPr>
              <w:t xml:space="preserve">项目 </w:t>
            </w:r>
          </w:p>
          <w:p w14:paraId="4C8ABD26">
            <w:pPr>
              <w:pStyle w:val="50"/>
              <w:adjustRightInd/>
              <w:snapToGrid/>
              <w:spacing w:beforeLines="0" w:line="240" w:lineRule="auto"/>
              <w:ind w:firstLine="99" w:firstLineChars="50"/>
              <w:jc w:val="left"/>
              <w:rPr>
                <w:rFonts w:ascii="Times New Roman" w:hAnsi="Times New Roman"/>
                <w:snapToGrid w:val="0"/>
                <w:spacing w:val="-6"/>
                <w:kern w:val="21"/>
                <w:szCs w:val="21"/>
              </w:rPr>
            </w:pPr>
            <w:r>
              <w:rPr>
                <w:rFonts w:ascii="Times New Roman" w:hAnsi="Times New Roman"/>
                <w:snapToGrid w:val="0"/>
                <w:spacing w:val="-6"/>
                <w:kern w:val="21"/>
                <w:szCs w:val="21"/>
              </w:rPr>
              <w:t>分类</w:t>
            </w:r>
          </w:p>
        </w:tc>
        <w:tc>
          <w:tcPr>
            <w:tcW w:w="1537" w:type="dxa"/>
            <w:tcMar>
              <w:top w:w="0" w:type="dxa"/>
              <w:left w:w="28" w:type="dxa"/>
              <w:bottom w:w="0" w:type="dxa"/>
              <w:right w:w="28" w:type="dxa"/>
            </w:tcMar>
            <w:vAlign w:val="center"/>
          </w:tcPr>
          <w:p w14:paraId="36FABB24">
            <w:pPr>
              <w:pStyle w:val="50"/>
              <w:adjustRightInd/>
              <w:snapToGrid/>
              <w:spacing w:beforeLines="0" w:line="240" w:lineRule="auto"/>
              <w:rPr>
                <w:rFonts w:ascii="Times New Roman" w:hAnsi="Times New Roman"/>
                <w:snapToGrid w:val="0"/>
                <w:spacing w:val="-6"/>
                <w:kern w:val="21"/>
                <w:szCs w:val="21"/>
              </w:rPr>
            </w:pPr>
            <w:r>
              <w:rPr>
                <w:rFonts w:ascii="Times New Roman" w:hAnsi="Times New Roman"/>
                <w:snapToGrid w:val="0"/>
                <w:spacing w:val="-6"/>
                <w:kern w:val="21"/>
                <w:szCs w:val="21"/>
              </w:rPr>
              <w:t>污染物名称</w:t>
            </w:r>
          </w:p>
        </w:tc>
        <w:tc>
          <w:tcPr>
            <w:tcW w:w="1540" w:type="dxa"/>
            <w:tcMar>
              <w:top w:w="0" w:type="dxa"/>
              <w:left w:w="28" w:type="dxa"/>
              <w:bottom w:w="0" w:type="dxa"/>
              <w:right w:w="28" w:type="dxa"/>
            </w:tcMar>
            <w:vAlign w:val="center"/>
          </w:tcPr>
          <w:p w14:paraId="2CA1113A">
            <w:pPr>
              <w:pStyle w:val="50"/>
              <w:adjustRightInd/>
              <w:snapToGrid/>
              <w:spacing w:beforeLines="0" w:line="240" w:lineRule="auto"/>
              <w:rPr>
                <w:rFonts w:ascii="Times New Roman" w:hAnsi="Times New Roman"/>
                <w:snapToGrid w:val="0"/>
                <w:spacing w:val="-6"/>
                <w:kern w:val="21"/>
                <w:szCs w:val="21"/>
              </w:rPr>
            </w:pPr>
            <w:r>
              <w:rPr>
                <w:rFonts w:ascii="Times New Roman" w:hAnsi="Times New Roman"/>
                <w:snapToGrid w:val="0"/>
                <w:spacing w:val="-6"/>
                <w:kern w:val="21"/>
                <w:szCs w:val="21"/>
              </w:rPr>
              <w:t>现有工程</w:t>
            </w:r>
          </w:p>
          <w:p w14:paraId="2182A2F5">
            <w:pPr>
              <w:pStyle w:val="50"/>
              <w:adjustRightInd/>
              <w:snapToGrid/>
              <w:spacing w:beforeLines="0" w:line="240" w:lineRule="auto"/>
              <w:rPr>
                <w:rFonts w:ascii="Times New Roman" w:hAnsi="Times New Roman"/>
                <w:snapToGrid w:val="0"/>
                <w:spacing w:val="-6"/>
                <w:kern w:val="21"/>
                <w:szCs w:val="21"/>
              </w:rPr>
            </w:pPr>
            <w:r>
              <w:rPr>
                <w:rFonts w:ascii="Times New Roman" w:hAnsi="Times New Roman"/>
                <w:snapToGrid w:val="0"/>
                <w:spacing w:val="-6"/>
                <w:kern w:val="21"/>
                <w:szCs w:val="21"/>
              </w:rPr>
              <w:t>排放量</w:t>
            </w:r>
            <w:r>
              <w:rPr>
                <w:rFonts w:hint="eastAsia" w:ascii="Times New Roman" w:hAnsi="Times New Roman"/>
                <w:snapToGrid w:val="0"/>
                <w:spacing w:val="-6"/>
                <w:kern w:val="21"/>
                <w:szCs w:val="21"/>
              </w:rPr>
              <w:t>①</w:t>
            </w:r>
          </w:p>
        </w:tc>
        <w:tc>
          <w:tcPr>
            <w:tcW w:w="1260" w:type="dxa"/>
            <w:tcMar>
              <w:top w:w="0" w:type="dxa"/>
              <w:left w:w="28" w:type="dxa"/>
              <w:bottom w:w="0" w:type="dxa"/>
              <w:right w:w="28" w:type="dxa"/>
            </w:tcMar>
            <w:vAlign w:val="center"/>
          </w:tcPr>
          <w:p w14:paraId="7C39C55F">
            <w:pPr>
              <w:pStyle w:val="50"/>
              <w:adjustRightInd/>
              <w:snapToGrid/>
              <w:spacing w:beforeLines="0" w:line="240" w:lineRule="auto"/>
              <w:rPr>
                <w:rFonts w:ascii="Times New Roman" w:hAnsi="Times New Roman"/>
                <w:snapToGrid w:val="0"/>
                <w:spacing w:val="-6"/>
                <w:kern w:val="21"/>
                <w:szCs w:val="21"/>
              </w:rPr>
            </w:pPr>
            <w:r>
              <w:rPr>
                <w:rFonts w:ascii="Times New Roman" w:hAnsi="Times New Roman"/>
                <w:snapToGrid w:val="0"/>
                <w:spacing w:val="-6"/>
                <w:kern w:val="21"/>
                <w:szCs w:val="21"/>
              </w:rPr>
              <w:t>现有工程</w:t>
            </w:r>
          </w:p>
          <w:p w14:paraId="01F323A3">
            <w:pPr>
              <w:pStyle w:val="50"/>
              <w:adjustRightInd/>
              <w:snapToGrid/>
              <w:spacing w:beforeLines="0" w:line="240" w:lineRule="auto"/>
              <w:rPr>
                <w:rFonts w:ascii="Times New Roman" w:hAnsi="Times New Roman"/>
                <w:snapToGrid w:val="0"/>
                <w:spacing w:val="-6"/>
                <w:kern w:val="21"/>
                <w:szCs w:val="21"/>
              </w:rPr>
            </w:pPr>
            <w:r>
              <w:rPr>
                <w:rFonts w:ascii="Times New Roman" w:hAnsi="Times New Roman"/>
                <w:snapToGrid w:val="0"/>
                <w:spacing w:val="-6"/>
                <w:kern w:val="21"/>
                <w:szCs w:val="21"/>
              </w:rPr>
              <w:t>许可排放量</w:t>
            </w:r>
          </w:p>
          <w:p w14:paraId="1836A088">
            <w:pPr>
              <w:pStyle w:val="50"/>
              <w:adjustRightInd/>
              <w:snapToGrid/>
              <w:spacing w:beforeLines="0" w:line="240" w:lineRule="auto"/>
              <w:rPr>
                <w:rFonts w:ascii="Times New Roman" w:hAnsi="Times New Roman"/>
                <w:snapToGrid w:val="0"/>
                <w:spacing w:val="-6"/>
                <w:kern w:val="21"/>
                <w:szCs w:val="21"/>
              </w:rPr>
            </w:pPr>
            <w:r>
              <w:rPr>
                <w:rFonts w:hint="eastAsia" w:ascii="Times New Roman" w:hAnsi="Times New Roman"/>
                <w:snapToGrid w:val="0"/>
                <w:spacing w:val="-6"/>
                <w:kern w:val="21"/>
                <w:szCs w:val="21"/>
              </w:rPr>
              <w:t>②</w:t>
            </w:r>
          </w:p>
        </w:tc>
        <w:tc>
          <w:tcPr>
            <w:tcW w:w="1678" w:type="dxa"/>
            <w:tcMar>
              <w:top w:w="0" w:type="dxa"/>
              <w:left w:w="28" w:type="dxa"/>
              <w:bottom w:w="0" w:type="dxa"/>
              <w:right w:w="28" w:type="dxa"/>
            </w:tcMar>
            <w:vAlign w:val="center"/>
          </w:tcPr>
          <w:p w14:paraId="226AB51D">
            <w:pPr>
              <w:pStyle w:val="50"/>
              <w:adjustRightInd/>
              <w:snapToGrid/>
              <w:spacing w:beforeLines="0" w:line="240" w:lineRule="auto"/>
              <w:rPr>
                <w:rFonts w:ascii="Times New Roman" w:hAnsi="Times New Roman"/>
                <w:snapToGrid w:val="0"/>
                <w:spacing w:val="-6"/>
                <w:kern w:val="21"/>
                <w:szCs w:val="21"/>
              </w:rPr>
            </w:pPr>
            <w:r>
              <w:rPr>
                <w:rFonts w:ascii="Times New Roman" w:hAnsi="Times New Roman"/>
                <w:snapToGrid w:val="0"/>
                <w:spacing w:val="-6"/>
                <w:kern w:val="21"/>
                <w:szCs w:val="21"/>
              </w:rPr>
              <w:t>在建工程</w:t>
            </w:r>
          </w:p>
          <w:p w14:paraId="64AAF301">
            <w:pPr>
              <w:pStyle w:val="50"/>
              <w:adjustRightInd/>
              <w:snapToGrid/>
              <w:spacing w:beforeLines="0" w:line="240" w:lineRule="auto"/>
              <w:rPr>
                <w:rFonts w:ascii="Times New Roman" w:hAnsi="Times New Roman"/>
                <w:snapToGrid w:val="0"/>
                <w:spacing w:val="-6"/>
                <w:kern w:val="21"/>
                <w:szCs w:val="21"/>
              </w:rPr>
            </w:pPr>
            <w:r>
              <w:rPr>
                <w:rFonts w:ascii="Times New Roman" w:hAnsi="Times New Roman"/>
                <w:snapToGrid w:val="0"/>
                <w:spacing w:val="-6"/>
                <w:kern w:val="21"/>
                <w:szCs w:val="21"/>
              </w:rPr>
              <w:t>排放量</w:t>
            </w:r>
            <w:r>
              <w:rPr>
                <w:rFonts w:hint="eastAsia" w:ascii="Times New Roman" w:hAnsi="Times New Roman"/>
                <w:snapToGrid w:val="0"/>
                <w:spacing w:val="-6"/>
                <w:kern w:val="21"/>
                <w:szCs w:val="21"/>
              </w:rPr>
              <w:t>③</w:t>
            </w:r>
          </w:p>
        </w:tc>
        <w:tc>
          <w:tcPr>
            <w:tcW w:w="1539" w:type="dxa"/>
            <w:tcMar>
              <w:top w:w="0" w:type="dxa"/>
              <w:left w:w="28" w:type="dxa"/>
              <w:bottom w:w="0" w:type="dxa"/>
              <w:right w:w="28" w:type="dxa"/>
            </w:tcMar>
            <w:vAlign w:val="center"/>
          </w:tcPr>
          <w:p w14:paraId="62D4E9A9">
            <w:pPr>
              <w:pStyle w:val="50"/>
              <w:adjustRightInd/>
              <w:snapToGrid/>
              <w:spacing w:beforeLines="0" w:line="240" w:lineRule="auto"/>
              <w:rPr>
                <w:rFonts w:ascii="Times New Roman" w:hAnsi="Times New Roman"/>
                <w:snapToGrid w:val="0"/>
                <w:spacing w:val="-6"/>
                <w:kern w:val="21"/>
                <w:szCs w:val="21"/>
              </w:rPr>
            </w:pPr>
            <w:r>
              <w:rPr>
                <w:rFonts w:ascii="Times New Roman" w:hAnsi="Times New Roman"/>
                <w:snapToGrid w:val="0"/>
                <w:spacing w:val="-6"/>
                <w:kern w:val="21"/>
                <w:szCs w:val="21"/>
              </w:rPr>
              <w:t>本项目</w:t>
            </w:r>
          </w:p>
          <w:p w14:paraId="2FB534E5">
            <w:pPr>
              <w:pStyle w:val="50"/>
              <w:adjustRightInd/>
              <w:snapToGrid/>
              <w:spacing w:beforeLines="0" w:line="240" w:lineRule="auto"/>
              <w:rPr>
                <w:rFonts w:ascii="Times New Roman" w:hAnsi="Times New Roman"/>
                <w:snapToGrid w:val="0"/>
                <w:spacing w:val="-6"/>
                <w:kern w:val="21"/>
                <w:szCs w:val="21"/>
              </w:rPr>
            </w:pPr>
            <w:r>
              <w:rPr>
                <w:rFonts w:ascii="Times New Roman" w:hAnsi="Times New Roman"/>
                <w:snapToGrid w:val="0"/>
                <w:spacing w:val="-6"/>
                <w:kern w:val="21"/>
                <w:szCs w:val="21"/>
              </w:rPr>
              <w:t>排放量</w:t>
            </w:r>
            <w:r>
              <w:rPr>
                <w:rFonts w:hint="eastAsia" w:ascii="Times New Roman" w:hAnsi="Times New Roman"/>
                <w:snapToGrid w:val="0"/>
                <w:spacing w:val="-6"/>
                <w:kern w:val="21"/>
                <w:szCs w:val="21"/>
              </w:rPr>
              <w:t>④</w:t>
            </w:r>
          </w:p>
        </w:tc>
        <w:tc>
          <w:tcPr>
            <w:tcW w:w="1400" w:type="dxa"/>
            <w:tcMar>
              <w:top w:w="0" w:type="dxa"/>
              <w:left w:w="28" w:type="dxa"/>
              <w:bottom w:w="0" w:type="dxa"/>
              <w:right w:w="28" w:type="dxa"/>
            </w:tcMar>
            <w:vAlign w:val="center"/>
          </w:tcPr>
          <w:p w14:paraId="33BBBB6E">
            <w:pPr>
              <w:pStyle w:val="50"/>
              <w:adjustRightInd/>
              <w:snapToGrid/>
              <w:spacing w:beforeLines="0" w:line="240" w:lineRule="auto"/>
              <w:rPr>
                <w:rFonts w:ascii="Times New Roman" w:hAnsi="Times New Roman"/>
                <w:snapToGrid w:val="0"/>
                <w:spacing w:val="-16"/>
                <w:kern w:val="21"/>
                <w:szCs w:val="21"/>
              </w:rPr>
            </w:pPr>
            <w:r>
              <w:rPr>
                <w:rFonts w:ascii="Times New Roman" w:hAnsi="Times New Roman"/>
                <w:snapToGrid w:val="0"/>
                <w:spacing w:val="-16"/>
                <w:kern w:val="21"/>
                <w:szCs w:val="21"/>
              </w:rPr>
              <w:t>以新带老削减量</w:t>
            </w:r>
          </w:p>
          <w:p w14:paraId="084F165E">
            <w:pPr>
              <w:pStyle w:val="50"/>
              <w:adjustRightInd/>
              <w:snapToGrid/>
              <w:spacing w:beforeLines="0" w:line="240" w:lineRule="auto"/>
              <w:rPr>
                <w:rFonts w:ascii="Times New Roman" w:hAnsi="Times New Roman"/>
                <w:snapToGrid w:val="0"/>
                <w:spacing w:val="-16"/>
                <w:kern w:val="21"/>
                <w:szCs w:val="21"/>
              </w:rPr>
            </w:pPr>
            <w:r>
              <w:rPr>
                <w:rFonts w:ascii="Times New Roman" w:hAnsi="Times New Roman"/>
                <w:snapToGrid w:val="0"/>
                <w:spacing w:val="-16"/>
                <w:kern w:val="21"/>
                <w:szCs w:val="21"/>
              </w:rPr>
              <w:t>（新建项目不填）</w:t>
            </w:r>
            <w:r>
              <w:rPr>
                <w:rFonts w:hint="eastAsia" w:ascii="Times New Roman" w:hAnsi="Times New Roman"/>
                <w:snapToGrid w:val="0"/>
                <w:spacing w:val="-16"/>
                <w:kern w:val="21"/>
                <w:szCs w:val="21"/>
              </w:rPr>
              <w:t>⑤</w:t>
            </w:r>
          </w:p>
        </w:tc>
        <w:tc>
          <w:tcPr>
            <w:tcW w:w="1817" w:type="dxa"/>
            <w:tcMar>
              <w:top w:w="0" w:type="dxa"/>
              <w:left w:w="28" w:type="dxa"/>
              <w:bottom w:w="0" w:type="dxa"/>
              <w:right w:w="28" w:type="dxa"/>
            </w:tcMar>
            <w:vAlign w:val="center"/>
          </w:tcPr>
          <w:p w14:paraId="685A12B1">
            <w:pPr>
              <w:pStyle w:val="50"/>
              <w:adjustRightInd/>
              <w:snapToGrid/>
              <w:spacing w:beforeLines="0" w:line="240" w:lineRule="auto"/>
              <w:rPr>
                <w:rFonts w:ascii="Times New Roman" w:hAnsi="Times New Roman"/>
                <w:snapToGrid w:val="0"/>
                <w:spacing w:val="-16"/>
                <w:kern w:val="21"/>
                <w:szCs w:val="21"/>
              </w:rPr>
            </w:pPr>
            <w:r>
              <w:rPr>
                <w:rFonts w:ascii="Times New Roman" w:hAnsi="Times New Roman"/>
                <w:snapToGrid w:val="0"/>
                <w:spacing w:val="-16"/>
                <w:kern w:val="21"/>
                <w:szCs w:val="21"/>
              </w:rPr>
              <w:t>本项目建成后</w:t>
            </w:r>
          </w:p>
          <w:p w14:paraId="3B26818E">
            <w:pPr>
              <w:pStyle w:val="50"/>
              <w:adjustRightInd/>
              <w:snapToGrid/>
              <w:spacing w:beforeLines="0" w:line="240" w:lineRule="auto"/>
              <w:rPr>
                <w:rFonts w:ascii="Times New Roman" w:hAnsi="Times New Roman"/>
                <w:snapToGrid w:val="0"/>
                <w:spacing w:val="-16"/>
                <w:kern w:val="21"/>
                <w:szCs w:val="21"/>
              </w:rPr>
            </w:pPr>
            <w:r>
              <w:rPr>
                <w:rFonts w:ascii="Times New Roman" w:hAnsi="Times New Roman"/>
                <w:snapToGrid w:val="0"/>
                <w:spacing w:val="-16"/>
                <w:kern w:val="21"/>
                <w:szCs w:val="21"/>
              </w:rPr>
              <w:t>全厂排放量</w:t>
            </w:r>
            <w:r>
              <w:rPr>
                <w:rFonts w:hint="eastAsia" w:ascii="Times New Roman" w:hAnsi="Times New Roman"/>
                <w:snapToGrid w:val="0"/>
                <w:spacing w:val="-16"/>
                <w:kern w:val="21"/>
                <w:szCs w:val="21"/>
              </w:rPr>
              <w:t>⑥</w:t>
            </w:r>
          </w:p>
        </w:tc>
        <w:tc>
          <w:tcPr>
            <w:tcW w:w="1270" w:type="dxa"/>
            <w:tcMar>
              <w:top w:w="0" w:type="dxa"/>
              <w:left w:w="28" w:type="dxa"/>
              <w:bottom w:w="0" w:type="dxa"/>
              <w:right w:w="28" w:type="dxa"/>
            </w:tcMar>
            <w:vAlign w:val="center"/>
          </w:tcPr>
          <w:p w14:paraId="0B684B40">
            <w:pPr>
              <w:pStyle w:val="50"/>
              <w:adjustRightInd/>
              <w:snapToGrid/>
              <w:spacing w:beforeLines="0" w:line="240" w:lineRule="auto"/>
              <w:rPr>
                <w:rFonts w:ascii="Times New Roman" w:hAnsi="Times New Roman"/>
                <w:snapToGrid w:val="0"/>
                <w:spacing w:val="-6"/>
                <w:kern w:val="21"/>
                <w:szCs w:val="21"/>
              </w:rPr>
            </w:pPr>
            <w:r>
              <w:rPr>
                <w:rFonts w:ascii="Times New Roman" w:hAnsi="Times New Roman"/>
                <w:snapToGrid w:val="0"/>
                <w:spacing w:val="-6"/>
                <w:kern w:val="21"/>
                <w:szCs w:val="21"/>
              </w:rPr>
              <w:t>变化量</w:t>
            </w:r>
          </w:p>
          <w:p w14:paraId="5D7CE199">
            <w:pPr>
              <w:pStyle w:val="50"/>
              <w:adjustRightInd/>
              <w:snapToGrid/>
              <w:spacing w:beforeLines="0" w:line="240" w:lineRule="auto"/>
              <w:rPr>
                <w:rFonts w:ascii="Times New Roman" w:hAnsi="Times New Roman"/>
                <w:snapToGrid w:val="0"/>
                <w:spacing w:val="-6"/>
                <w:kern w:val="21"/>
                <w:szCs w:val="21"/>
              </w:rPr>
            </w:pPr>
            <w:r>
              <w:rPr>
                <w:rFonts w:hint="eastAsia" w:ascii="Times New Roman" w:hAnsi="Times New Roman"/>
                <w:snapToGrid w:val="0"/>
                <w:spacing w:val="-6"/>
                <w:kern w:val="21"/>
                <w:szCs w:val="21"/>
              </w:rPr>
              <w:t>⑦</w:t>
            </w:r>
          </w:p>
        </w:tc>
      </w:tr>
      <w:tr w14:paraId="5F2116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67" w:type="dxa"/>
            <w:vMerge w:val="restart"/>
            <w:tcBorders>
              <w:top w:val="single" w:color="auto" w:sz="6" w:space="0"/>
            </w:tcBorders>
            <w:vAlign w:val="center"/>
          </w:tcPr>
          <w:p w14:paraId="6C892549">
            <w:pPr>
              <w:pStyle w:val="50"/>
              <w:adjustRightInd/>
              <w:snapToGrid/>
              <w:spacing w:beforeLines="0" w:line="240" w:lineRule="auto"/>
              <w:rPr>
                <w:rFonts w:ascii="Times New Roman" w:hAnsi="Times New Roman"/>
                <w:snapToGrid w:val="0"/>
                <w:kern w:val="21"/>
                <w:szCs w:val="21"/>
              </w:rPr>
            </w:pPr>
            <w:r>
              <w:rPr>
                <w:rFonts w:ascii="Times New Roman" w:hAnsi="Times New Roman"/>
                <w:snapToGrid w:val="0"/>
                <w:kern w:val="21"/>
                <w:szCs w:val="21"/>
              </w:rPr>
              <w:t>废气</w:t>
            </w:r>
          </w:p>
        </w:tc>
        <w:tc>
          <w:tcPr>
            <w:tcW w:w="1537" w:type="dxa"/>
            <w:vAlign w:val="center"/>
          </w:tcPr>
          <w:p w14:paraId="04786001">
            <w:pPr>
              <w:jc w:val="center"/>
              <w:rPr>
                <w:szCs w:val="21"/>
              </w:rPr>
            </w:pPr>
            <w:r>
              <w:rPr>
                <w:szCs w:val="21"/>
              </w:rPr>
              <w:t>颗粒物</w:t>
            </w:r>
          </w:p>
        </w:tc>
        <w:tc>
          <w:tcPr>
            <w:tcW w:w="1540" w:type="dxa"/>
            <w:vAlign w:val="center"/>
          </w:tcPr>
          <w:p w14:paraId="2223B351">
            <w:pPr>
              <w:pStyle w:val="50"/>
              <w:adjustRightInd/>
              <w:snapToGrid/>
              <w:spacing w:beforeLines="0" w:line="240" w:lineRule="auto"/>
              <w:rPr>
                <w:rFonts w:ascii="Times New Roman" w:hAnsi="Times New Roman"/>
                <w:snapToGrid w:val="0"/>
                <w:kern w:val="21"/>
                <w:szCs w:val="21"/>
              </w:rPr>
            </w:pPr>
          </w:p>
        </w:tc>
        <w:tc>
          <w:tcPr>
            <w:tcW w:w="1260" w:type="dxa"/>
            <w:vAlign w:val="center"/>
          </w:tcPr>
          <w:p w14:paraId="6CD2EBD5">
            <w:pPr>
              <w:pStyle w:val="50"/>
              <w:adjustRightInd/>
              <w:snapToGrid/>
              <w:spacing w:beforeLines="0" w:line="240" w:lineRule="auto"/>
              <w:rPr>
                <w:rFonts w:ascii="Times New Roman" w:hAnsi="Times New Roman"/>
                <w:snapToGrid w:val="0"/>
                <w:kern w:val="21"/>
                <w:szCs w:val="21"/>
              </w:rPr>
            </w:pPr>
          </w:p>
        </w:tc>
        <w:tc>
          <w:tcPr>
            <w:tcW w:w="1678" w:type="dxa"/>
            <w:vAlign w:val="center"/>
          </w:tcPr>
          <w:p w14:paraId="6ADCAEFE">
            <w:pPr>
              <w:pStyle w:val="50"/>
              <w:adjustRightInd/>
              <w:snapToGrid/>
              <w:spacing w:beforeLines="0" w:line="240" w:lineRule="auto"/>
              <w:rPr>
                <w:rFonts w:ascii="Times New Roman" w:hAnsi="Times New Roman"/>
                <w:snapToGrid w:val="0"/>
                <w:kern w:val="21"/>
                <w:szCs w:val="21"/>
              </w:rPr>
            </w:pPr>
          </w:p>
        </w:tc>
        <w:tc>
          <w:tcPr>
            <w:tcW w:w="1539" w:type="dxa"/>
            <w:vAlign w:val="center"/>
          </w:tcPr>
          <w:p w14:paraId="6D4BDABE">
            <w:pPr>
              <w:pStyle w:val="50"/>
              <w:adjustRightInd/>
              <w:snapToGrid/>
              <w:spacing w:beforeLines="0" w:line="240" w:lineRule="auto"/>
              <w:rPr>
                <w:rFonts w:ascii="Times New Roman" w:hAnsi="Times New Roman"/>
                <w:szCs w:val="21"/>
              </w:rPr>
            </w:pPr>
            <w:r>
              <w:rPr>
                <w:rFonts w:hint="eastAsia" w:ascii="Times New Roman" w:hAnsi="Times New Roman"/>
                <w:snapToGrid w:val="0"/>
                <w:kern w:val="21"/>
                <w:szCs w:val="21"/>
              </w:rPr>
              <w:t>0.08</w:t>
            </w:r>
            <w:r>
              <w:rPr>
                <w:rFonts w:ascii="Times New Roman" w:hAnsi="Times New Roman"/>
                <w:snapToGrid w:val="0"/>
                <w:kern w:val="21"/>
                <w:szCs w:val="21"/>
              </w:rPr>
              <w:t>t/a</w:t>
            </w:r>
          </w:p>
        </w:tc>
        <w:tc>
          <w:tcPr>
            <w:tcW w:w="1400" w:type="dxa"/>
            <w:vAlign w:val="center"/>
          </w:tcPr>
          <w:p w14:paraId="5FA549F2">
            <w:pPr>
              <w:pStyle w:val="50"/>
              <w:adjustRightInd/>
              <w:snapToGrid/>
              <w:spacing w:beforeLines="0" w:line="240" w:lineRule="auto"/>
              <w:rPr>
                <w:rFonts w:ascii="Times New Roman" w:hAnsi="Times New Roman"/>
                <w:snapToGrid w:val="0"/>
                <w:kern w:val="21"/>
                <w:szCs w:val="21"/>
              </w:rPr>
            </w:pPr>
          </w:p>
        </w:tc>
        <w:tc>
          <w:tcPr>
            <w:tcW w:w="1817" w:type="dxa"/>
            <w:vAlign w:val="center"/>
          </w:tcPr>
          <w:p w14:paraId="3042064D">
            <w:pPr>
              <w:pStyle w:val="50"/>
              <w:adjustRightInd/>
              <w:snapToGrid/>
              <w:spacing w:beforeLines="0" w:line="240" w:lineRule="auto"/>
              <w:rPr>
                <w:rFonts w:ascii="Times New Roman" w:hAnsi="Times New Roman"/>
                <w:szCs w:val="21"/>
              </w:rPr>
            </w:pPr>
            <w:r>
              <w:rPr>
                <w:rFonts w:hint="eastAsia" w:ascii="Times New Roman" w:hAnsi="Times New Roman"/>
                <w:snapToGrid w:val="0"/>
                <w:kern w:val="21"/>
                <w:szCs w:val="21"/>
              </w:rPr>
              <w:t>0.08</w:t>
            </w:r>
            <w:r>
              <w:rPr>
                <w:rFonts w:ascii="Times New Roman" w:hAnsi="Times New Roman"/>
                <w:snapToGrid w:val="0"/>
                <w:kern w:val="21"/>
                <w:szCs w:val="21"/>
              </w:rPr>
              <w:t>t/a</w:t>
            </w:r>
          </w:p>
        </w:tc>
        <w:tc>
          <w:tcPr>
            <w:tcW w:w="1270" w:type="dxa"/>
            <w:vAlign w:val="center"/>
          </w:tcPr>
          <w:p w14:paraId="05F79EE6">
            <w:pPr>
              <w:jc w:val="center"/>
              <w:rPr>
                <w:szCs w:val="21"/>
              </w:rPr>
            </w:pPr>
          </w:p>
        </w:tc>
      </w:tr>
      <w:tr w14:paraId="2829D0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67" w:type="dxa"/>
            <w:vMerge w:val="continue"/>
            <w:vAlign w:val="center"/>
          </w:tcPr>
          <w:p w14:paraId="0A01EF1D">
            <w:pPr>
              <w:pStyle w:val="50"/>
              <w:adjustRightInd/>
              <w:snapToGrid/>
              <w:spacing w:beforeLines="0" w:line="240" w:lineRule="auto"/>
              <w:rPr>
                <w:rFonts w:ascii="Times New Roman" w:hAnsi="Times New Roman"/>
                <w:snapToGrid w:val="0"/>
                <w:kern w:val="21"/>
                <w:szCs w:val="21"/>
              </w:rPr>
            </w:pPr>
          </w:p>
        </w:tc>
        <w:tc>
          <w:tcPr>
            <w:tcW w:w="1537" w:type="dxa"/>
            <w:vAlign w:val="center"/>
          </w:tcPr>
          <w:p w14:paraId="0AF40EAE">
            <w:pPr>
              <w:jc w:val="center"/>
              <w:rPr>
                <w:szCs w:val="21"/>
              </w:rPr>
            </w:pPr>
            <w:r>
              <w:rPr>
                <w:szCs w:val="21"/>
              </w:rPr>
              <w:t>SO</w:t>
            </w:r>
            <w:r>
              <w:rPr>
                <w:szCs w:val="21"/>
                <w:vertAlign w:val="subscript"/>
              </w:rPr>
              <w:t>2</w:t>
            </w:r>
          </w:p>
        </w:tc>
        <w:tc>
          <w:tcPr>
            <w:tcW w:w="1540" w:type="dxa"/>
            <w:vAlign w:val="center"/>
          </w:tcPr>
          <w:p w14:paraId="26F770A4">
            <w:pPr>
              <w:pStyle w:val="50"/>
              <w:adjustRightInd/>
              <w:snapToGrid/>
              <w:spacing w:beforeLines="0" w:line="240" w:lineRule="auto"/>
              <w:rPr>
                <w:rFonts w:ascii="Times New Roman" w:hAnsi="Times New Roman"/>
                <w:snapToGrid w:val="0"/>
                <w:kern w:val="21"/>
                <w:szCs w:val="21"/>
              </w:rPr>
            </w:pPr>
          </w:p>
        </w:tc>
        <w:tc>
          <w:tcPr>
            <w:tcW w:w="1260" w:type="dxa"/>
            <w:vAlign w:val="center"/>
          </w:tcPr>
          <w:p w14:paraId="27863812">
            <w:pPr>
              <w:pStyle w:val="50"/>
              <w:adjustRightInd/>
              <w:snapToGrid/>
              <w:spacing w:beforeLines="0" w:line="240" w:lineRule="auto"/>
              <w:rPr>
                <w:rFonts w:ascii="Times New Roman" w:hAnsi="Times New Roman"/>
                <w:snapToGrid w:val="0"/>
                <w:kern w:val="21"/>
                <w:szCs w:val="21"/>
              </w:rPr>
            </w:pPr>
          </w:p>
        </w:tc>
        <w:tc>
          <w:tcPr>
            <w:tcW w:w="1678" w:type="dxa"/>
            <w:vAlign w:val="center"/>
          </w:tcPr>
          <w:p w14:paraId="34223CE0">
            <w:pPr>
              <w:pStyle w:val="50"/>
              <w:adjustRightInd/>
              <w:snapToGrid/>
              <w:spacing w:beforeLines="0" w:line="240" w:lineRule="auto"/>
              <w:rPr>
                <w:rFonts w:ascii="Times New Roman" w:hAnsi="Times New Roman"/>
                <w:snapToGrid w:val="0"/>
                <w:kern w:val="21"/>
                <w:szCs w:val="21"/>
              </w:rPr>
            </w:pPr>
          </w:p>
        </w:tc>
        <w:tc>
          <w:tcPr>
            <w:tcW w:w="1539" w:type="dxa"/>
            <w:vAlign w:val="center"/>
          </w:tcPr>
          <w:p w14:paraId="24342D86">
            <w:pPr>
              <w:pStyle w:val="50"/>
              <w:adjustRightInd/>
              <w:snapToGrid/>
              <w:spacing w:beforeLines="0" w:line="240" w:lineRule="auto"/>
              <w:rPr>
                <w:rFonts w:ascii="Times New Roman" w:hAnsi="Times New Roman"/>
              </w:rPr>
            </w:pPr>
            <w:r>
              <w:rPr>
                <w:rFonts w:hint="eastAsia" w:ascii="Times New Roman" w:hAnsi="Times New Roman"/>
                <w:szCs w:val="21"/>
              </w:rPr>
              <w:t>0.29</w:t>
            </w:r>
            <w:r>
              <w:rPr>
                <w:rFonts w:ascii="Times New Roman" w:hAnsi="Times New Roman"/>
                <w:snapToGrid w:val="0"/>
                <w:kern w:val="21"/>
                <w:szCs w:val="21"/>
              </w:rPr>
              <w:t>t/a</w:t>
            </w:r>
          </w:p>
        </w:tc>
        <w:tc>
          <w:tcPr>
            <w:tcW w:w="1400" w:type="dxa"/>
            <w:vAlign w:val="center"/>
          </w:tcPr>
          <w:p w14:paraId="007C536D">
            <w:pPr>
              <w:pStyle w:val="50"/>
              <w:adjustRightInd/>
              <w:snapToGrid/>
              <w:spacing w:beforeLines="0" w:line="240" w:lineRule="auto"/>
              <w:rPr>
                <w:rFonts w:ascii="Times New Roman" w:hAnsi="Times New Roman"/>
                <w:snapToGrid w:val="0"/>
                <w:kern w:val="21"/>
                <w:szCs w:val="21"/>
              </w:rPr>
            </w:pPr>
          </w:p>
        </w:tc>
        <w:tc>
          <w:tcPr>
            <w:tcW w:w="1817" w:type="dxa"/>
            <w:vAlign w:val="center"/>
          </w:tcPr>
          <w:p w14:paraId="0B2912EB">
            <w:pPr>
              <w:pStyle w:val="50"/>
              <w:adjustRightInd/>
              <w:snapToGrid/>
              <w:spacing w:beforeLines="0" w:line="240" w:lineRule="auto"/>
              <w:rPr>
                <w:rFonts w:ascii="Times New Roman" w:hAnsi="Times New Roman"/>
              </w:rPr>
            </w:pPr>
            <w:r>
              <w:rPr>
                <w:rFonts w:hint="eastAsia" w:ascii="Times New Roman" w:hAnsi="Times New Roman"/>
                <w:szCs w:val="21"/>
              </w:rPr>
              <w:t>0.29</w:t>
            </w:r>
            <w:r>
              <w:rPr>
                <w:rFonts w:ascii="Times New Roman" w:hAnsi="Times New Roman"/>
                <w:snapToGrid w:val="0"/>
                <w:kern w:val="21"/>
                <w:szCs w:val="21"/>
              </w:rPr>
              <w:t>t/a</w:t>
            </w:r>
          </w:p>
        </w:tc>
        <w:tc>
          <w:tcPr>
            <w:tcW w:w="1270" w:type="dxa"/>
            <w:vAlign w:val="center"/>
          </w:tcPr>
          <w:p w14:paraId="2EE3F52A">
            <w:pPr>
              <w:jc w:val="center"/>
              <w:rPr>
                <w:szCs w:val="21"/>
              </w:rPr>
            </w:pPr>
          </w:p>
        </w:tc>
      </w:tr>
      <w:tr w14:paraId="3E5F22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67" w:type="dxa"/>
            <w:vMerge w:val="continue"/>
            <w:vAlign w:val="center"/>
          </w:tcPr>
          <w:p w14:paraId="6E59B0E3">
            <w:pPr>
              <w:pStyle w:val="50"/>
              <w:adjustRightInd/>
              <w:snapToGrid/>
              <w:spacing w:beforeLines="0" w:line="240" w:lineRule="auto"/>
              <w:rPr>
                <w:rFonts w:ascii="Times New Roman" w:hAnsi="Times New Roman"/>
                <w:snapToGrid w:val="0"/>
                <w:kern w:val="21"/>
                <w:szCs w:val="21"/>
              </w:rPr>
            </w:pPr>
          </w:p>
        </w:tc>
        <w:tc>
          <w:tcPr>
            <w:tcW w:w="1537" w:type="dxa"/>
            <w:vAlign w:val="center"/>
          </w:tcPr>
          <w:p w14:paraId="1901051F">
            <w:pPr>
              <w:jc w:val="center"/>
              <w:rPr>
                <w:szCs w:val="21"/>
              </w:rPr>
            </w:pPr>
            <w:r>
              <w:rPr>
                <w:szCs w:val="21"/>
              </w:rPr>
              <w:t>NO</w:t>
            </w:r>
            <w:r>
              <w:rPr>
                <w:szCs w:val="21"/>
                <w:vertAlign w:val="subscript"/>
              </w:rPr>
              <w:t>X</w:t>
            </w:r>
          </w:p>
        </w:tc>
        <w:tc>
          <w:tcPr>
            <w:tcW w:w="1540" w:type="dxa"/>
            <w:vAlign w:val="center"/>
          </w:tcPr>
          <w:p w14:paraId="1CF4C89D">
            <w:pPr>
              <w:pStyle w:val="50"/>
              <w:adjustRightInd/>
              <w:snapToGrid/>
              <w:spacing w:beforeLines="0" w:line="240" w:lineRule="auto"/>
              <w:rPr>
                <w:rFonts w:ascii="Times New Roman" w:hAnsi="Times New Roman"/>
                <w:snapToGrid w:val="0"/>
                <w:kern w:val="21"/>
                <w:szCs w:val="21"/>
              </w:rPr>
            </w:pPr>
          </w:p>
        </w:tc>
        <w:tc>
          <w:tcPr>
            <w:tcW w:w="1260" w:type="dxa"/>
            <w:vAlign w:val="center"/>
          </w:tcPr>
          <w:p w14:paraId="30DA7238">
            <w:pPr>
              <w:pStyle w:val="50"/>
              <w:adjustRightInd/>
              <w:snapToGrid/>
              <w:spacing w:beforeLines="0" w:line="240" w:lineRule="auto"/>
              <w:rPr>
                <w:rFonts w:ascii="Times New Roman" w:hAnsi="Times New Roman"/>
                <w:snapToGrid w:val="0"/>
                <w:kern w:val="21"/>
                <w:szCs w:val="21"/>
              </w:rPr>
            </w:pPr>
          </w:p>
        </w:tc>
        <w:tc>
          <w:tcPr>
            <w:tcW w:w="1678" w:type="dxa"/>
            <w:vAlign w:val="center"/>
          </w:tcPr>
          <w:p w14:paraId="5E3DF0C4">
            <w:pPr>
              <w:pStyle w:val="50"/>
              <w:adjustRightInd/>
              <w:snapToGrid/>
              <w:spacing w:beforeLines="0" w:line="240" w:lineRule="auto"/>
              <w:rPr>
                <w:rFonts w:ascii="Times New Roman" w:hAnsi="Times New Roman"/>
                <w:snapToGrid w:val="0"/>
                <w:kern w:val="21"/>
                <w:szCs w:val="21"/>
              </w:rPr>
            </w:pPr>
          </w:p>
        </w:tc>
        <w:tc>
          <w:tcPr>
            <w:tcW w:w="1539" w:type="dxa"/>
            <w:vAlign w:val="center"/>
          </w:tcPr>
          <w:p w14:paraId="6179D7AD">
            <w:pPr>
              <w:pStyle w:val="50"/>
              <w:adjustRightInd/>
              <w:snapToGrid/>
              <w:spacing w:beforeLines="0" w:line="240" w:lineRule="auto"/>
              <w:rPr>
                <w:rFonts w:ascii="Times New Roman" w:hAnsi="Times New Roman"/>
              </w:rPr>
            </w:pPr>
            <w:r>
              <w:rPr>
                <w:rFonts w:hint="eastAsia" w:ascii="Times New Roman" w:hAnsi="Times New Roman"/>
                <w:szCs w:val="21"/>
              </w:rPr>
              <w:t>1.51</w:t>
            </w:r>
            <w:r>
              <w:rPr>
                <w:rFonts w:ascii="Times New Roman" w:hAnsi="Times New Roman"/>
                <w:szCs w:val="21"/>
              </w:rPr>
              <w:t>t/a</w:t>
            </w:r>
          </w:p>
        </w:tc>
        <w:tc>
          <w:tcPr>
            <w:tcW w:w="1400" w:type="dxa"/>
            <w:vAlign w:val="center"/>
          </w:tcPr>
          <w:p w14:paraId="43350456">
            <w:pPr>
              <w:pStyle w:val="50"/>
              <w:adjustRightInd/>
              <w:snapToGrid/>
              <w:spacing w:beforeLines="0" w:line="240" w:lineRule="auto"/>
              <w:rPr>
                <w:rFonts w:ascii="Times New Roman" w:hAnsi="Times New Roman"/>
                <w:snapToGrid w:val="0"/>
                <w:kern w:val="21"/>
                <w:szCs w:val="21"/>
              </w:rPr>
            </w:pPr>
          </w:p>
        </w:tc>
        <w:tc>
          <w:tcPr>
            <w:tcW w:w="1817" w:type="dxa"/>
            <w:vAlign w:val="center"/>
          </w:tcPr>
          <w:p w14:paraId="14B269AE">
            <w:pPr>
              <w:pStyle w:val="50"/>
              <w:adjustRightInd/>
              <w:snapToGrid/>
              <w:spacing w:beforeLines="0" w:line="240" w:lineRule="auto"/>
              <w:rPr>
                <w:rFonts w:ascii="Times New Roman" w:hAnsi="Times New Roman"/>
              </w:rPr>
            </w:pPr>
            <w:r>
              <w:rPr>
                <w:rFonts w:hint="eastAsia" w:ascii="Times New Roman" w:hAnsi="Times New Roman"/>
                <w:szCs w:val="21"/>
              </w:rPr>
              <w:t>1.51</w:t>
            </w:r>
            <w:r>
              <w:rPr>
                <w:rFonts w:ascii="Times New Roman" w:hAnsi="Times New Roman"/>
                <w:szCs w:val="21"/>
              </w:rPr>
              <w:t>t/a</w:t>
            </w:r>
          </w:p>
        </w:tc>
        <w:tc>
          <w:tcPr>
            <w:tcW w:w="1270" w:type="dxa"/>
            <w:vAlign w:val="center"/>
          </w:tcPr>
          <w:p w14:paraId="05E1E8E9">
            <w:pPr>
              <w:jc w:val="center"/>
              <w:rPr>
                <w:szCs w:val="21"/>
              </w:rPr>
            </w:pPr>
          </w:p>
        </w:tc>
      </w:tr>
      <w:tr w14:paraId="1C028D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67" w:type="dxa"/>
            <w:vMerge w:val="continue"/>
            <w:vAlign w:val="center"/>
          </w:tcPr>
          <w:p w14:paraId="1D94C660">
            <w:pPr>
              <w:pStyle w:val="50"/>
              <w:adjustRightInd/>
              <w:snapToGrid/>
              <w:spacing w:beforeLines="0" w:line="240" w:lineRule="auto"/>
              <w:rPr>
                <w:rFonts w:ascii="Times New Roman" w:hAnsi="Times New Roman"/>
                <w:snapToGrid w:val="0"/>
                <w:kern w:val="21"/>
                <w:szCs w:val="21"/>
              </w:rPr>
            </w:pPr>
          </w:p>
        </w:tc>
        <w:tc>
          <w:tcPr>
            <w:tcW w:w="1537" w:type="dxa"/>
            <w:vAlign w:val="center"/>
          </w:tcPr>
          <w:p w14:paraId="69BDDCB4">
            <w:pPr>
              <w:jc w:val="center"/>
              <w:rPr>
                <w:szCs w:val="21"/>
              </w:rPr>
            </w:pPr>
            <w:r>
              <w:rPr>
                <w:rFonts w:hint="eastAsia"/>
                <w:szCs w:val="21"/>
              </w:rPr>
              <w:t>油烟</w:t>
            </w:r>
          </w:p>
        </w:tc>
        <w:tc>
          <w:tcPr>
            <w:tcW w:w="1540" w:type="dxa"/>
            <w:vAlign w:val="center"/>
          </w:tcPr>
          <w:p w14:paraId="3F95E89F">
            <w:pPr>
              <w:pStyle w:val="50"/>
              <w:adjustRightInd/>
              <w:snapToGrid/>
              <w:spacing w:beforeLines="0" w:line="240" w:lineRule="auto"/>
              <w:rPr>
                <w:rFonts w:ascii="Times New Roman" w:hAnsi="Times New Roman"/>
                <w:snapToGrid w:val="0"/>
                <w:kern w:val="21"/>
                <w:szCs w:val="21"/>
              </w:rPr>
            </w:pPr>
          </w:p>
        </w:tc>
        <w:tc>
          <w:tcPr>
            <w:tcW w:w="1260" w:type="dxa"/>
            <w:vAlign w:val="center"/>
          </w:tcPr>
          <w:p w14:paraId="555E75C7">
            <w:pPr>
              <w:pStyle w:val="50"/>
              <w:adjustRightInd/>
              <w:snapToGrid/>
              <w:spacing w:beforeLines="0" w:line="240" w:lineRule="auto"/>
              <w:rPr>
                <w:rFonts w:ascii="Times New Roman" w:hAnsi="Times New Roman"/>
                <w:snapToGrid w:val="0"/>
                <w:kern w:val="21"/>
                <w:szCs w:val="21"/>
              </w:rPr>
            </w:pPr>
          </w:p>
        </w:tc>
        <w:tc>
          <w:tcPr>
            <w:tcW w:w="1678" w:type="dxa"/>
            <w:vAlign w:val="center"/>
          </w:tcPr>
          <w:p w14:paraId="5027DBD2">
            <w:pPr>
              <w:pStyle w:val="50"/>
              <w:adjustRightInd/>
              <w:snapToGrid/>
              <w:spacing w:beforeLines="0" w:line="240" w:lineRule="auto"/>
              <w:rPr>
                <w:rFonts w:ascii="Times New Roman" w:hAnsi="Times New Roman"/>
                <w:snapToGrid w:val="0"/>
                <w:kern w:val="21"/>
                <w:szCs w:val="21"/>
              </w:rPr>
            </w:pPr>
          </w:p>
        </w:tc>
        <w:tc>
          <w:tcPr>
            <w:tcW w:w="1539" w:type="dxa"/>
            <w:vAlign w:val="center"/>
          </w:tcPr>
          <w:p w14:paraId="18AE4524">
            <w:pPr>
              <w:pStyle w:val="50"/>
              <w:adjustRightInd/>
              <w:snapToGrid/>
              <w:spacing w:beforeLines="0" w:line="240" w:lineRule="auto"/>
              <w:rPr>
                <w:rFonts w:ascii="Times New Roman" w:hAnsi="Times New Roman"/>
                <w:szCs w:val="21"/>
              </w:rPr>
            </w:pPr>
            <w:r>
              <w:rPr>
                <w:rFonts w:hint="eastAsia" w:ascii="Times New Roman" w:hAnsi="Times New Roman"/>
                <w:szCs w:val="21"/>
              </w:rPr>
              <w:t>0.02t/a</w:t>
            </w:r>
          </w:p>
        </w:tc>
        <w:tc>
          <w:tcPr>
            <w:tcW w:w="1400" w:type="dxa"/>
            <w:vAlign w:val="center"/>
          </w:tcPr>
          <w:p w14:paraId="0F130FB3">
            <w:pPr>
              <w:pStyle w:val="50"/>
              <w:adjustRightInd/>
              <w:snapToGrid/>
              <w:spacing w:beforeLines="0" w:line="240" w:lineRule="auto"/>
              <w:rPr>
                <w:rFonts w:ascii="Times New Roman" w:hAnsi="Times New Roman"/>
                <w:snapToGrid w:val="0"/>
                <w:kern w:val="21"/>
                <w:szCs w:val="21"/>
              </w:rPr>
            </w:pPr>
          </w:p>
        </w:tc>
        <w:tc>
          <w:tcPr>
            <w:tcW w:w="1817" w:type="dxa"/>
            <w:vAlign w:val="center"/>
          </w:tcPr>
          <w:p w14:paraId="30E69E14">
            <w:pPr>
              <w:pStyle w:val="50"/>
              <w:adjustRightInd/>
              <w:snapToGrid/>
              <w:spacing w:beforeLines="0" w:line="240" w:lineRule="auto"/>
              <w:rPr>
                <w:rFonts w:ascii="Times New Roman" w:hAnsi="Times New Roman"/>
                <w:szCs w:val="21"/>
              </w:rPr>
            </w:pPr>
            <w:r>
              <w:rPr>
                <w:rFonts w:hint="eastAsia" w:ascii="Times New Roman" w:hAnsi="Times New Roman"/>
                <w:szCs w:val="21"/>
              </w:rPr>
              <w:t>0.02t/a</w:t>
            </w:r>
          </w:p>
        </w:tc>
        <w:tc>
          <w:tcPr>
            <w:tcW w:w="1270" w:type="dxa"/>
            <w:vAlign w:val="center"/>
          </w:tcPr>
          <w:p w14:paraId="2577A86E">
            <w:pPr>
              <w:jc w:val="center"/>
              <w:rPr>
                <w:szCs w:val="21"/>
              </w:rPr>
            </w:pPr>
          </w:p>
        </w:tc>
      </w:tr>
      <w:tr w14:paraId="32143A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67" w:type="dxa"/>
            <w:vMerge w:val="restart"/>
            <w:vAlign w:val="center"/>
          </w:tcPr>
          <w:p w14:paraId="2042BDFF">
            <w:pPr>
              <w:pStyle w:val="50"/>
              <w:adjustRightInd/>
              <w:snapToGrid/>
              <w:spacing w:beforeLines="0" w:line="240" w:lineRule="auto"/>
              <w:rPr>
                <w:rFonts w:ascii="Times New Roman" w:hAnsi="Times New Roman"/>
                <w:snapToGrid w:val="0"/>
                <w:kern w:val="21"/>
                <w:szCs w:val="21"/>
              </w:rPr>
            </w:pPr>
            <w:r>
              <w:rPr>
                <w:rFonts w:ascii="Times New Roman" w:hAnsi="Times New Roman"/>
                <w:snapToGrid w:val="0"/>
                <w:kern w:val="21"/>
                <w:szCs w:val="21"/>
              </w:rPr>
              <w:t>废水</w:t>
            </w:r>
          </w:p>
        </w:tc>
        <w:tc>
          <w:tcPr>
            <w:tcW w:w="1537" w:type="dxa"/>
            <w:vAlign w:val="center"/>
          </w:tcPr>
          <w:p w14:paraId="01392A1D">
            <w:pPr>
              <w:pStyle w:val="50"/>
              <w:adjustRightInd/>
              <w:snapToGrid/>
              <w:spacing w:beforeLines="0" w:line="240" w:lineRule="auto"/>
              <w:rPr>
                <w:rFonts w:ascii="Times New Roman" w:hAnsi="Times New Roman"/>
                <w:snapToGrid w:val="0"/>
                <w:kern w:val="21"/>
                <w:szCs w:val="21"/>
              </w:rPr>
            </w:pPr>
            <w:r>
              <w:rPr>
                <w:rFonts w:ascii="Times New Roman" w:hAnsi="Times New Roman"/>
                <w:szCs w:val="21"/>
              </w:rPr>
              <w:t>COD</w:t>
            </w:r>
          </w:p>
        </w:tc>
        <w:tc>
          <w:tcPr>
            <w:tcW w:w="1540" w:type="dxa"/>
            <w:vAlign w:val="center"/>
          </w:tcPr>
          <w:p w14:paraId="118F4547">
            <w:pPr>
              <w:pStyle w:val="70"/>
              <w:overflowPunct/>
              <w:autoSpaceDE/>
              <w:autoSpaceDN/>
              <w:adjustRightInd/>
              <w:spacing w:line="240" w:lineRule="auto"/>
              <w:jc w:val="center"/>
              <w:rPr>
                <w:sz w:val="21"/>
              </w:rPr>
            </w:pPr>
          </w:p>
        </w:tc>
        <w:tc>
          <w:tcPr>
            <w:tcW w:w="1260" w:type="dxa"/>
            <w:vAlign w:val="center"/>
          </w:tcPr>
          <w:p w14:paraId="3E68535E">
            <w:pPr>
              <w:jc w:val="center"/>
              <w:rPr>
                <w:szCs w:val="21"/>
              </w:rPr>
            </w:pPr>
          </w:p>
        </w:tc>
        <w:tc>
          <w:tcPr>
            <w:tcW w:w="1678" w:type="dxa"/>
            <w:vAlign w:val="center"/>
          </w:tcPr>
          <w:p w14:paraId="3DCFE181">
            <w:pPr>
              <w:pStyle w:val="70"/>
              <w:overflowPunct/>
              <w:autoSpaceDE/>
              <w:autoSpaceDN/>
              <w:adjustRightInd/>
              <w:spacing w:line="240" w:lineRule="auto"/>
              <w:jc w:val="center"/>
              <w:rPr>
                <w:sz w:val="21"/>
              </w:rPr>
            </w:pPr>
          </w:p>
        </w:tc>
        <w:tc>
          <w:tcPr>
            <w:tcW w:w="1539" w:type="dxa"/>
            <w:vAlign w:val="center"/>
          </w:tcPr>
          <w:p w14:paraId="6B2089A0">
            <w:pPr>
              <w:jc w:val="center"/>
              <w:rPr>
                <w:szCs w:val="21"/>
              </w:rPr>
            </w:pPr>
            <w:r>
              <w:rPr>
                <w:rFonts w:hint="eastAsia"/>
                <w:szCs w:val="21"/>
              </w:rPr>
              <w:t>3.89</w:t>
            </w:r>
            <w:r>
              <w:rPr>
                <w:szCs w:val="21"/>
              </w:rPr>
              <w:t>t/a</w:t>
            </w:r>
          </w:p>
        </w:tc>
        <w:tc>
          <w:tcPr>
            <w:tcW w:w="1400" w:type="dxa"/>
            <w:vAlign w:val="center"/>
          </w:tcPr>
          <w:p w14:paraId="427498B0">
            <w:pPr>
              <w:pStyle w:val="50"/>
              <w:adjustRightInd/>
              <w:snapToGrid/>
              <w:spacing w:beforeLines="0" w:line="240" w:lineRule="auto"/>
              <w:rPr>
                <w:rFonts w:ascii="Times New Roman" w:hAnsi="Times New Roman"/>
                <w:snapToGrid w:val="0"/>
                <w:kern w:val="21"/>
                <w:szCs w:val="21"/>
              </w:rPr>
            </w:pPr>
          </w:p>
        </w:tc>
        <w:tc>
          <w:tcPr>
            <w:tcW w:w="1817" w:type="dxa"/>
            <w:vAlign w:val="center"/>
          </w:tcPr>
          <w:p w14:paraId="7FF7E5F3">
            <w:pPr>
              <w:jc w:val="center"/>
              <w:rPr>
                <w:szCs w:val="21"/>
              </w:rPr>
            </w:pPr>
            <w:r>
              <w:rPr>
                <w:rFonts w:hint="eastAsia"/>
                <w:szCs w:val="21"/>
              </w:rPr>
              <w:t>3.89</w:t>
            </w:r>
            <w:r>
              <w:rPr>
                <w:szCs w:val="21"/>
              </w:rPr>
              <w:t>t/a</w:t>
            </w:r>
          </w:p>
        </w:tc>
        <w:tc>
          <w:tcPr>
            <w:tcW w:w="1270" w:type="dxa"/>
            <w:vAlign w:val="center"/>
          </w:tcPr>
          <w:p w14:paraId="2DFB802A">
            <w:pPr>
              <w:jc w:val="center"/>
              <w:rPr>
                <w:szCs w:val="21"/>
              </w:rPr>
            </w:pPr>
          </w:p>
        </w:tc>
      </w:tr>
      <w:tr w14:paraId="5D49E2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67" w:type="dxa"/>
            <w:vMerge w:val="continue"/>
            <w:vAlign w:val="center"/>
          </w:tcPr>
          <w:p w14:paraId="7DE0307C">
            <w:pPr>
              <w:pStyle w:val="50"/>
              <w:adjustRightInd/>
              <w:snapToGrid/>
              <w:spacing w:beforeLines="0" w:line="240" w:lineRule="auto"/>
              <w:rPr>
                <w:rFonts w:ascii="Times New Roman" w:hAnsi="Times New Roman"/>
                <w:snapToGrid w:val="0"/>
                <w:kern w:val="21"/>
                <w:szCs w:val="21"/>
              </w:rPr>
            </w:pPr>
          </w:p>
        </w:tc>
        <w:tc>
          <w:tcPr>
            <w:tcW w:w="1537" w:type="dxa"/>
            <w:vAlign w:val="center"/>
          </w:tcPr>
          <w:p w14:paraId="000D14A1">
            <w:pPr>
              <w:pStyle w:val="70"/>
              <w:overflowPunct/>
              <w:autoSpaceDE/>
              <w:autoSpaceDN/>
              <w:adjustRightInd/>
              <w:spacing w:line="240" w:lineRule="auto"/>
              <w:jc w:val="center"/>
              <w:rPr>
                <w:sz w:val="21"/>
              </w:rPr>
            </w:pPr>
            <w:r>
              <w:rPr>
                <w:sz w:val="21"/>
              </w:rPr>
              <w:t>氨氮</w:t>
            </w:r>
          </w:p>
        </w:tc>
        <w:tc>
          <w:tcPr>
            <w:tcW w:w="1540" w:type="dxa"/>
            <w:vAlign w:val="center"/>
          </w:tcPr>
          <w:p w14:paraId="56B8ED13">
            <w:pPr>
              <w:pStyle w:val="70"/>
              <w:overflowPunct/>
              <w:autoSpaceDE/>
              <w:autoSpaceDN/>
              <w:adjustRightInd/>
              <w:spacing w:line="240" w:lineRule="auto"/>
              <w:jc w:val="center"/>
              <w:rPr>
                <w:sz w:val="21"/>
              </w:rPr>
            </w:pPr>
          </w:p>
        </w:tc>
        <w:tc>
          <w:tcPr>
            <w:tcW w:w="1260" w:type="dxa"/>
            <w:vAlign w:val="center"/>
          </w:tcPr>
          <w:p w14:paraId="19011BBE">
            <w:pPr>
              <w:jc w:val="center"/>
              <w:rPr>
                <w:szCs w:val="21"/>
              </w:rPr>
            </w:pPr>
          </w:p>
        </w:tc>
        <w:tc>
          <w:tcPr>
            <w:tcW w:w="1678" w:type="dxa"/>
            <w:vAlign w:val="center"/>
          </w:tcPr>
          <w:p w14:paraId="3B5F5287">
            <w:pPr>
              <w:pStyle w:val="70"/>
              <w:overflowPunct/>
              <w:autoSpaceDE/>
              <w:autoSpaceDN/>
              <w:adjustRightInd/>
              <w:spacing w:line="240" w:lineRule="auto"/>
              <w:jc w:val="center"/>
              <w:rPr>
                <w:sz w:val="21"/>
              </w:rPr>
            </w:pPr>
          </w:p>
        </w:tc>
        <w:tc>
          <w:tcPr>
            <w:tcW w:w="1539" w:type="dxa"/>
            <w:vAlign w:val="center"/>
          </w:tcPr>
          <w:p w14:paraId="2F1C4F25">
            <w:pPr>
              <w:jc w:val="center"/>
              <w:rPr>
                <w:szCs w:val="21"/>
              </w:rPr>
            </w:pPr>
            <w:r>
              <w:rPr>
                <w:rFonts w:hint="eastAsia"/>
                <w:szCs w:val="21"/>
              </w:rPr>
              <w:t>0.39</w:t>
            </w:r>
            <w:r>
              <w:rPr>
                <w:szCs w:val="21"/>
              </w:rPr>
              <w:t>t/a</w:t>
            </w:r>
          </w:p>
        </w:tc>
        <w:tc>
          <w:tcPr>
            <w:tcW w:w="1400" w:type="dxa"/>
            <w:vAlign w:val="center"/>
          </w:tcPr>
          <w:p w14:paraId="7CBC6EB0">
            <w:pPr>
              <w:pStyle w:val="50"/>
              <w:adjustRightInd/>
              <w:snapToGrid/>
              <w:spacing w:beforeLines="0" w:line="240" w:lineRule="auto"/>
              <w:rPr>
                <w:rFonts w:ascii="Times New Roman" w:hAnsi="Times New Roman"/>
                <w:snapToGrid w:val="0"/>
                <w:kern w:val="21"/>
                <w:szCs w:val="21"/>
              </w:rPr>
            </w:pPr>
          </w:p>
        </w:tc>
        <w:tc>
          <w:tcPr>
            <w:tcW w:w="1817" w:type="dxa"/>
            <w:vAlign w:val="center"/>
          </w:tcPr>
          <w:p w14:paraId="034371D8">
            <w:pPr>
              <w:jc w:val="center"/>
              <w:rPr>
                <w:szCs w:val="21"/>
              </w:rPr>
            </w:pPr>
            <w:r>
              <w:rPr>
                <w:rFonts w:hint="eastAsia"/>
                <w:szCs w:val="21"/>
              </w:rPr>
              <w:t>0.39</w:t>
            </w:r>
            <w:r>
              <w:rPr>
                <w:szCs w:val="21"/>
              </w:rPr>
              <w:t>t/a</w:t>
            </w:r>
          </w:p>
        </w:tc>
        <w:tc>
          <w:tcPr>
            <w:tcW w:w="1270" w:type="dxa"/>
            <w:vAlign w:val="center"/>
          </w:tcPr>
          <w:p w14:paraId="7AD197AD">
            <w:pPr>
              <w:jc w:val="center"/>
              <w:rPr>
                <w:szCs w:val="21"/>
              </w:rPr>
            </w:pPr>
          </w:p>
        </w:tc>
      </w:tr>
      <w:tr w14:paraId="320AF9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67" w:type="dxa"/>
            <w:vMerge w:val="continue"/>
            <w:vAlign w:val="center"/>
          </w:tcPr>
          <w:p w14:paraId="570009A8">
            <w:pPr>
              <w:pStyle w:val="50"/>
              <w:adjustRightInd/>
              <w:snapToGrid/>
              <w:spacing w:beforeLines="0" w:line="240" w:lineRule="auto"/>
              <w:rPr>
                <w:rFonts w:ascii="Times New Roman" w:hAnsi="Times New Roman"/>
                <w:snapToGrid w:val="0"/>
                <w:kern w:val="21"/>
                <w:szCs w:val="21"/>
              </w:rPr>
            </w:pPr>
          </w:p>
        </w:tc>
        <w:tc>
          <w:tcPr>
            <w:tcW w:w="1537" w:type="dxa"/>
            <w:vAlign w:val="center"/>
          </w:tcPr>
          <w:p w14:paraId="2A3A80AF">
            <w:pPr>
              <w:pStyle w:val="70"/>
              <w:overflowPunct/>
              <w:autoSpaceDE/>
              <w:autoSpaceDN/>
              <w:adjustRightInd/>
              <w:spacing w:line="240" w:lineRule="auto"/>
              <w:jc w:val="center"/>
              <w:rPr>
                <w:sz w:val="21"/>
              </w:rPr>
            </w:pPr>
            <w:r>
              <w:rPr>
                <w:sz w:val="21"/>
              </w:rPr>
              <w:t>总磷</w:t>
            </w:r>
          </w:p>
        </w:tc>
        <w:tc>
          <w:tcPr>
            <w:tcW w:w="1540" w:type="dxa"/>
            <w:vAlign w:val="center"/>
          </w:tcPr>
          <w:p w14:paraId="02B70323">
            <w:pPr>
              <w:pStyle w:val="70"/>
              <w:overflowPunct/>
              <w:autoSpaceDE/>
              <w:autoSpaceDN/>
              <w:adjustRightInd/>
              <w:spacing w:line="240" w:lineRule="auto"/>
              <w:jc w:val="center"/>
              <w:rPr>
                <w:sz w:val="21"/>
              </w:rPr>
            </w:pPr>
          </w:p>
        </w:tc>
        <w:tc>
          <w:tcPr>
            <w:tcW w:w="1260" w:type="dxa"/>
            <w:vAlign w:val="center"/>
          </w:tcPr>
          <w:p w14:paraId="65FCCC6F">
            <w:pPr>
              <w:jc w:val="center"/>
              <w:rPr>
                <w:szCs w:val="21"/>
              </w:rPr>
            </w:pPr>
          </w:p>
        </w:tc>
        <w:tc>
          <w:tcPr>
            <w:tcW w:w="1678" w:type="dxa"/>
            <w:vAlign w:val="center"/>
          </w:tcPr>
          <w:p w14:paraId="46323027">
            <w:pPr>
              <w:pStyle w:val="70"/>
              <w:overflowPunct/>
              <w:autoSpaceDE/>
              <w:autoSpaceDN/>
              <w:adjustRightInd/>
              <w:spacing w:line="240" w:lineRule="auto"/>
              <w:jc w:val="center"/>
              <w:rPr>
                <w:sz w:val="21"/>
              </w:rPr>
            </w:pPr>
          </w:p>
        </w:tc>
        <w:tc>
          <w:tcPr>
            <w:tcW w:w="1539" w:type="dxa"/>
            <w:vAlign w:val="center"/>
          </w:tcPr>
          <w:p w14:paraId="69C59E80">
            <w:pPr>
              <w:jc w:val="center"/>
              <w:rPr>
                <w:szCs w:val="21"/>
              </w:rPr>
            </w:pPr>
            <w:r>
              <w:rPr>
                <w:szCs w:val="21"/>
              </w:rPr>
              <w:t>0.0</w:t>
            </w:r>
            <w:r>
              <w:rPr>
                <w:rFonts w:hint="eastAsia"/>
                <w:szCs w:val="21"/>
              </w:rPr>
              <w:t>4</w:t>
            </w:r>
            <w:r>
              <w:rPr>
                <w:szCs w:val="21"/>
              </w:rPr>
              <w:t>t/a</w:t>
            </w:r>
          </w:p>
        </w:tc>
        <w:tc>
          <w:tcPr>
            <w:tcW w:w="1400" w:type="dxa"/>
            <w:vAlign w:val="center"/>
          </w:tcPr>
          <w:p w14:paraId="19803DDA">
            <w:pPr>
              <w:pStyle w:val="50"/>
              <w:adjustRightInd/>
              <w:snapToGrid/>
              <w:spacing w:beforeLines="0" w:line="240" w:lineRule="auto"/>
              <w:rPr>
                <w:rFonts w:ascii="Times New Roman" w:hAnsi="Times New Roman"/>
                <w:snapToGrid w:val="0"/>
                <w:kern w:val="21"/>
                <w:szCs w:val="21"/>
              </w:rPr>
            </w:pPr>
          </w:p>
        </w:tc>
        <w:tc>
          <w:tcPr>
            <w:tcW w:w="1817" w:type="dxa"/>
            <w:vAlign w:val="center"/>
          </w:tcPr>
          <w:p w14:paraId="7D003BF1">
            <w:pPr>
              <w:jc w:val="center"/>
              <w:rPr>
                <w:szCs w:val="21"/>
              </w:rPr>
            </w:pPr>
            <w:r>
              <w:rPr>
                <w:szCs w:val="21"/>
              </w:rPr>
              <w:t>0.0</w:t>
            </w:r>
            <w:r>
              <w:rPr>
                <w:rFonts w:hint="eastAsia"/>
                <w:szCs w:val="21"/>
              </w:rPr>
              <w:t>4</w:t>
            </w:r>
            <w:r>
              <w:rPr>
                <w:szCs w:val="21"/>
              </w:rPr>
              <w:t>t/a</w:t>
            </w:r>
          </w:p>
        </w:tc>
        <w:tc>
          <w:tcPr>
            <w:tcW w:w="1270" w:type="dxa"/>
            <w:vAlign w:val="center"/>
          </w:tcPr>
          <w:p w14:paraId="0B28C27F">
            <w:pPr>
              <w:jc w:val="center"/>
              <w:rPr>
                <w:szCs w:val="21"/>
              </w:rPr>
            </w:pPr>
          </w:p>
        </w:tc>
      </w:tr>
      <w:tr w14:paraId="3F5C87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67" w:type="dxa"/>
            <w:vMerge w:val="restart"/>
            <w:vAlign w:val="center"/>
          </w:tcPr>
          <w:p w14:paraId="313A601A">
            <w:pPr>
              <w:jc w:val="center"/>
              <w:rPr>
                <w:snapToGrid w:val="0"/>
                <w:kern w:val="21"/>
                <w:szCs w:val="21"/>
              </w:rPr>
            </w:pPr>
            <w:r>
              <w:rPr>
                <w:snapToGrid w:val="0"/>
                <w:kern w:val="21"/>
                <w:szCs w:val="21"/>
              </w:rPr>
              <w:t>一般工业固体废物</w:t>
            </w:r>
          </w:p>
        </w:tc>
        <w:tc>
          <w:tcPr>
            <w:tcW w:w="1537" w:type="dxa"/>
            <w:vAlign w:val="center"/>
          </w:tcPr>
          <w:p w14:paraId="278D0C4C">
            <w:pPr>
              <w:pStyle w:val="50"/>
              <w:spacing w:beforeLines="0" w:line="240" w:lineRule="auto"/>
              <w:rPr>
                <w:bCs/>
              </w:rPr>
            </w:pPr>
            <w:r>
              <w:rPr>
                <w:rFonts w:ascii="Times New Roman" w:hAnsi="Times New Roman"/>
                <w:szCs w:val="21"/>
              </w:rPr>
              <w:t>废离子交换树脂</w:t>
            </w:r>
          </w:p>
        </w:tc>
        <w:tc>
          <w:tcPr>
            <w:tcW w:w="1540" w:type="dxa"/>
            <w:vAlign w:val="center"/>
          </w:tcPr>
          <w:p w14:paraId="43665703">
            <w:pPr>
              <w:pStyle w:val="50"/>
              <w:adjustRightInd/>
              <w:snapToGrid/>
              <w:spacing w:beforeLines="0" w:line="240" w:lineRule="auto"/>
              <w:rPr>
                <w:rFonts w:ascii="Times New Roman" w:hAnsi="Times New Roman"/>
                <w:snapToGrid w:val="0"/>
                <w:kern w:val="21"/>
                <w:szCs w:val="21"/>
              </w:rPr>
            </w:pPr>
          </w:p>
        </w:tc>
        <w:tc>
          <w:tcPr>
            <w:tcW w:w="1260" w:type="dxa"/>
            <w:vAlign w:val="center"/>
          </w:tcPr>
          <w:p w14:paraId="491140A0">
            <w:pPr>
              <w:pStyle w:val="50"/>
              <w:adjustRightInd/>
              <w:snapToGrid/>
              <w:spacing w:beforeLines="0" w:line="240" w:lineRule="auto"/>
              <w:rPr>
                <w:rFonts w:ascii="Times New Roman" w:hAnsi="Times New Roman"/>
                <w:snapToGrid w:val="0"/>
                <w:kern w:val="21"/>
                <w:szCs w:val="21"/>
              </w:rPr>
            </w:pPr>
          </w:p>
        </w:tc>
        <w:tc>
          <w:tcPr>
            <w:tcW w:w="1678" w:type="dxa"/>
            <w:vAlign w:val="center"/>
          </w:tcPr>
          <w:p w14:paraId="14E5061C">
            <w:pPr>
              <w:pStyle w:val="50"/>
              <w:adjustRightInd/>
              <w:snapToGrid/>
              <w:spacing w:beforeLines="0" w:line="240" w:lineRule="auto"/>
              <w:rPr>
                <w:rFonts w:ascii="Times New Roman" w:hAnsi="Times New Roman"/>
                <w:snapToGrid w:val="0"/>
                <w:kern w:val="21"/>
                <w:szCs w:val="21"/>
              </w:rPr>
            </w:pPr>
          </w:p>
        </w:tc>
        <w:tc>
          <w:tcPr>
            <w:tcW w:w="1539" w:type="dxa"/>
            <w:vAlign w:val="center"/>
          </w:tcPr>
          <w:p w14:paraId="07146437">
            <w:pPr>
              <w:pStyle w:val="50"/>
              <w:adjustRightInd/>
              <w:snapToGrid/>
              <w:spacing w:beforeLines="0" w:line="240" w:lineRule="auto"/>
              <w:ind w:left="-105" w:leftChars="-50" w:right="-105" w:rightChars="-50"/>
              <w:rPr>
                <w:rFonts w:ascii="Times New Roman" w:hAnsi="Times New Roman"/>
                <w:szCs w:val="21"/>
              </w:rPr>
            </w:pPr>
            <w:r>
              <w:rPr>
                <w:rFonts w:hint="eastAsia" w:ascii="Times New Roman" w:hAnsi="Times New Roman"/>
                <w:szCs w:val="21"/>
              </w:rPr>
              <w:t>0.5</w:t>
            </w:r>
            <w:r>
              <w:rPr>
                <w:rFonts w:ascii="Times New Roman" w:hAnsi="Times New Roman"/>
                <w:szCs w:val="21"/>
              </w:rPr>
              <w:t>t/a</w:t>
            </w:r>
          </w:p>
        </w:tc>
        <w:tc>
          <w:tcPr>
            <w:tcW w:w="1400" w:type="dxa"/>
            <w:vAlign w:val="center"/>
          </w:tcPr>
          <w:p w14:paraId="6CA2BFF5">
            <w:pPr>
              <w:pStyle w:val="50"/>
              <w:adjustRightInd/>
              <w:snapToGrid/>
              <w:spacing w:beforeLines="0" w:line="240" w:lineRule="auto"/>
              <w:rPr>
                <w:rFonts w:ascii="Times New Roman" w:hAnsi="Times New Roman"/>
                <w:snapToGrid w:val="0"/>
                <w:kern w:val="21"/>
                <w:szCs w:val="21"/>
              </w:rPr>
            </w:pPr>
          </w:p>
        </w:tc>
        <w:tc>
          <w:tcPr>
            <w:tcW w:w="1817" w:type="dxa"/>
            <w:vAlign w:val="center"/>
          </w:tcPr>
          <w:p w14:paraId="47016D0E">
            <w:pPr>
              <w:pStyle w:val="50"/>
              <w:adjustRightInd/>
              <w:snapToGrid/>
              <w:spacing w:beforeLines="0" w:line="240" w:lineRule="auto"/>
              <w:ind w:left="-105" w:leftChars="-50" w:right="-105" w:rightChars="-50"/>
              <w:rPr>
                <w:rFonts w:ascii="Times New Roman" w:hAnsi="Times New Roman"/>
                <w:szCs w:val="21"/>
              </w:rPr>
            </w:pPr>
            <w:r>
              <w:rPr>
                <w:rFonts w:hint="eastAsia" w:ascii="Times New Roman" w:hAnsi="Times New Roman"/>
                <w:szCs w:val="21"/>
              </w:rPr>
              <w:t>0.5</w:t>
            </w:r>
            <w:r>
              <w:rPr>
                <w:rFonts w:ascii="Times New Roman" w:hAnsi="Times New Roman"/>
                <w:szCs w:val="21"/>
              </w:rPr>
              <w:t>t/a</w:t>
            </w:r>
          </w:p>
        </w:tc>
        <w:tc>
          <w:tcPr>
            <w:tcW w:w="1270" w:type="dxa"/>
            <w:vAlign w:val="center"/>
          </w:tcPr>
          <w:p w14:paraId="062F599C">
            <w:pPr>
              <w:jc w:val="center"/>
              <w:rPr>
                <w:szCs w:val="21"/>
              </w:rPr>
            </w:pPr>
          </w:p>
        </w:tc>
      </w:tr>
      <w:tr w14:paraId="0B76B8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67" w:type="dxa"/>
            <w:vMerge w:val="continue"/>
            <w:vAlign w:val="center"/>
          </w:tcPr>
          <w:p w14:paraId="4D6CA845">
            <w:pPr>
              <w:jc w:val="center"/>
              <w:rPr>
                <w:snapToGrid w:val="0"/>
                <w:kern w:val="21"/>
                <w:szCs w:val="21"/>
              </w:rPr>
            </w:pPr>
          </w:p>
        </w:tc>
        <w:tc>
          <w:tcPr>
            <w:tcW w:w="1537" w:type="dxa"/>
            <w:vAlign w:val="center"/>
          </w:tcPr>
          <w:p w14:paraId="6004C929">
            <w:pPr>
              <w:pStyle w:val="50"/>
              <w:spacing w:beforeLines="0" w:line="240" w:lineRule="auto"/>
              <w:rPr>
                <w:bCs/>
              </w:rPr>
            </w:pPr>
            <w:r>
              <w:rPr>
                <w:rFonts w:ascii="Times New Roman" w:hAnsi="Times New Roman"/>
                <w:szCs w:val="21"/>
              </w:rPr>
              <w:t>锅炉灰渣</w:t>
            </w:r>
          </w:p>
        </w:tc>
        <w:tc>
          <w:tcPr>
            <w:tcW w:w="1540" w:type="dxa"/>
            <w:vAlign w:val="center"/>
          </w:tcPr>
          <w:p w14:paraId="4C798127">
            <w:pPr>
              <w:pStyle w:val="50"/>
              <w:adjustRightInd/>
              <w:snapToGrid/>
              <w:spacing w:beforeLines="0" w:line="240" w:lineRule="auto"/>
              <w:rPr>
                <w:rFonts w:ascii="Times New Roman" w:hAnsi="Times New Roman"/>
                <w:snapToGrid w:val="0"/>
                <w:kern w:val="21"/>
                <w:szCs w:val="21"/>
              </w:rPr>
            </w:pPr>
          </w:p>
        </w:tc>
        <w:tc>
          <w:tcPr>
            <w:tcW w:w="1260" w:type="dxa"/>
            <w:vAlign w:val="center"/>
          </w:tcPr>
          <w:p w14:paraId="3394A166">
            <w:pPr>
              <w:pStyle w:val="50"/>
              <w:adjustRightInd/>
              <w:snapToGrid/>
              <w:spacing w:beforeLines="0" w:line="240" w:lineRule="auto"/>
              <w:rPr>
                <w:rFonts w:ascii="Times New Roman" w:hAnsi="Times New Roman"/>
                <w:snapToGrid w:val="0"/>
                <w:kern w:val="21"/>
                <w:szCs w:val="21"/>
              </w:rPr>
            </w:pPr>
          </w:p>
        </w:tc>
        <w:tc>
          <w:tcPr>
            <w:tcW w:w="1678" w:type="dxa"/>
            <w:vAlign w:val="center"/>
          </w:tcPr>
          <w:p w14:paraId="7E0C1C3D">
            <w:pPr>
              <w:pStyle w:val="50"/>
              <w:adjustRightInd/>
              <w:snapToGrid/>
              <w:spacing w:beforeLines="0" w:line="240" w:lineRule="auto"/>
              <w:rPr>
                <w:rFonts w:ascii="Times New Roman" w:hAnsi="Times New Roman"/>
                <w:snapToGrid w:val="0"/>
                <w:kern w:val="21"/>
                <w:szCs w:val="21"/>
              </w:rPr>
            </w:pPr>
          </w:p>
        </w:tc>
        <w:tc>
          <w:tcPr>
            <w:tcW w:w="1539" w:type="dxa"/>
            <w:vAlign w:val="center"/>
          </w:tcPr>
          <w:p w14:paraId="1D5A25D6">
            <w:pPr>
              <w:pStyle w:val="50"/>
              <w:adjustRightInd/>
              <w:snapToGrid/>
              <w:spacing w:beforeLines="0" w:line="240" w:lineRule="auto"/>
              <w:ind w:left="-105" w:leftChars="-50" w:right="-105" w:rightChars="-50"/>
              <w:rPr>
                <w:rFonts w:ascii="Times New Roman" w:hAnsi="Times New Roman"/>
                <w:szCs w:val="21"/>
              </w:rPr>
            </w:pPr>
            <w:r>
              <w:rPr>
                <w:rFonts w:hint="eastAsia" w:ascii="Times New Roman" w:hAnsi="Times New Roman"/>
                <w:szCs w:val="21"/>
              </w:rPr>
              <w:t>288</w:t>
            </w:r>
            <w:r>
              <w:rPr>
                <w:rFonts w:ascii="Times New Roman" w:hAnsi="Times New Roman"/>
                <w:szCs w:val="21"/>
              </w:rPr>
              <w:t>t/a</w:t>
            </w:r>
          </w:p>
        </w:tc>
        <w:tc>
          <w:tcPr>
            <w:tcW w:w="1400" w:type="dxa"/>
            <w:vAlign w:val="center"/>
          </w:tcPr>
          <w:p w14:paraId="2DF47906">
            <w:pPr>
              <w:pStyle w:val="50"/>
              <w:adjustRightInd/>
              <w:snapToGrid/>
              <w:spacing w:beforeLines="0" w:line="240" w:lineRule="auto"/>
              <w:rPr>
                <w:rFonts w:ascii="Times New Roman" w:hAnsi="Times New Roman"/>
                <w:snapToGrid w:val="0"/>
                <w:kern w:val="21"/>
                <w:szCs w:val="21"/>
              </w:rPr>
            </w:pPr>
          </w:p>
        </w:tc>
        <w:tc>
          <w:tcPr>
            <w:tcW w:w="1817" w:type="dxa"/>
            <w:vAlign w:val="center"/>
          </w:tcPr>
          <w:p w14:paraId="1EB5771A">
            <w:pPr>
              <w:pStyle w:val="50"/>
              <w:adjustRightInd/>
              <w:snapToGrid/>
              <w:spacing w:beforeLines="0" w:line="240" w:lineRule="auto"/>
              <w:ind w:left="-105" w:leftChars="-50" w:right="-105" w:rightChars="-50"/>
              <w:rPr>
                <w:rFonts w:ascii="Times New Roman" w:hAnsi="Times New Roman"/>
                <w:szCs w:val="21"/>
              </w:rPr>
            </w:pPr>
            <w:r>
              <w:rPr>
                <w:rFonts w:hint="eastAsia" w:ascii="Times New Roman" w:hAnsi="Times New Roman"/>
                <w:szCs w:val="21"/>
              </w:rPr>
              <w:t>288</w:t>
            </w:r>
            <w:r>
              <w:rPr>
                <w:rFonts w:ascii="Times New Roman" w:hAnsi="Times New Roman"/>
                <w:szCs w:val="21"/>
              </w:rPr>
              <w:t>t/a</w:t>
            </w:r>
          </w:p>
        </w:tc>
        <w:tc>
          <w:tcPr>
            <w:tcW w:w="1270" w:type="dxa"/>
            <w:vAlign w:val="center"/>
          </w:tcPr>
          <w:p w14:paraId="5D89F2CF">
            <w:pPr>
              <w:jc w:val="center"/>
              <w:rPr>
                <w:szCs w:val="21"/>
              </w:rPr>
            </w:pPr>
          </w:p>
        </w:tc>
      </w:tr>
      <w:tr w14:paraId="56B9A0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67" w:type="dxa"/>
            <w:vMerge w:val="continue"/>
            <w:vAlign w:val="center"/>
          </w:tcPr>
          <w:p w14:paraId="5685FE73">
            <w:pPr>
              <w:jc w:val="center"/>
              <w:rPr>
                <w:snapToGrid w:val="0"/>
                <w:kern w:val="21"/>
                <w:szCs w:val="21"/>
              </w:rPr>
            </w:pPr>
          </w:p>
        </w:tc>
        <w:tc>
          <w:tcPr>
            <w:tcW w:w="1537" w:type="dxa"/>
            <w:vAlign w:val="center"/>
          </w:tcPr>
          <w:p w14:paraId="1DE0B5B1">
            <w:pPr>
              <w:pStyle w:val="50"/>
              <w:spacing w:beforeLines="0" w:line="240" w:lineRule="auto"/>
              <w:rPr>
                <w:bCs/>
              </w:rPr>
            </w:pPr>
            <w:r>
              <w:rPr>
                <w:rFonts w:hint="eastAsia" w:ascii="Times New Roman" w:hAnsi="Times New Roman"/>
                <w:szCs w:val="21"/>
              </w:rPr>
              <w:t>废边角料及不合格产品</w:t>
            </w:r>
          </w:p>
        </w:tc>
        <w:tc>
          <w:tcPr>
            <w:tcW w:w="1540" w:type="dxa"/>
            <w:vAlign w:val="center"/>
          </w:tcPr>
          <w:p w14:paraId="4A5E433E">
            <w:pPr>
              <w:pStyle w:val="50"/>
              <w:adjustRightInd/>
              <w:snapToGrid/>
              <w:spacing w:beforeLines="0" w:line="240" w:lineRule="auto"/>
              <w:rPr>
                <w:rFonts w:ascii="Times New Roman" w:hAnsi="Times New Roman"/>
                <w:snapToGrid w:val="0"/>
                <w:kern w:val="21"/>
                <w:szCs w:val="21"/>
              </w:rPr>
            </w:pPr>
          </w:p>
        </w:tc>
        <w:tc>
          <w:tcPr>
            <w:tcW w:w="1260" w:type="dxa"/>
            <w:vAlign w:val="center"/>
          </w:tcPr>
          <w:p w14:paraId="745BFB6C">
            <w:pPr>
              <w:pStyle w:val="50"/>
              <w:adjustRightInd/>
              <w:snapToGrid/>
              <w:spacing w:beforeLines="0" w:line="240" w:lineRule="auto"/>
              <w:rPr>
                <w:rFonts w:ascii="Times New Roman" w:hAnsi="Times New Roman"/>
                <w:snapToGrid w:val="0"/>
                <w:kern w:val="21"/>
                <w:szCs w:val="21"/>
              </w:rPr>
            </w:pPr>
          </w:p>
        </w:tc>
        <w:tc>
          <w:tcPr>
            <w:tcW w:w="1678" w:type="dxa"/>
            <w:vAlign w:val="center"/>
          </w:tcPr>
          <w:p w14:paraId="26A30F26">
            <w:pPr>
              <w:pStyle w:val="50"/>
              <w:adjustRightInd/>
              <w:snapToGrid/>
              <w:spacing w:beforeLines="0" w:line="240" w:lineRule="auto"/>
              <w:rPr>
                <w:rFonts w:ascii="Times New Roman" w:hAnsi="Times New Roman"/>
                <w:snapToGrid w:val="0"/>
                <w:kern w:val="21"/>
                <w:szCs w:val="21"/>
              </w:rPr>
            </w:pPr>
          </w:p>
        </w:tc>
        <w:tc>
          <w:tcPr>
            <w:tcW w:w="1539" w:type="dxa"/>
            <w:vAlign w:val="center"/>
          </w:tcPr>
          <w:p w14:paraId="183111A0">
            <w:pPr>
              <w:pStyle w:val="50"/>
              <w:adjustRightInd/>
              <w:snapToGrid/>
              <w:spacing w:beforeLines="0" w:line="240" w:lineRule="auto"/>
              <w:ind w:left="-105" w:leftChars="-50" w:right="-105" w:rightChars="-50"/>
              <w:rPr>
                <w:rFonts w:ascii="Times New Roman" w:hAnsi="Times New Roman"/>
                <w:szCs w:val="21"/>
              </w:rPr>
            </w:pPr>
            <w:r>
              <w:rPr>
                <w:rFonts w:hint="eastAsia" w:ascii="Times New Roman" w:hAnsi="Times New Roman"/>
                <w:szCs w:val="21"/>
              </w:rPr>
              <w:t>385.09t</w:t>
            </w:r>
            <w:r>
              <w:rPr>
                <w:rFonts w:ascii="Times New Roman" w:hAnsi="Times New Roman"/>
                <w:szCs w:val="21"/>
              </w:rPr>
              <w:t>/a</w:t>
            </w:r>
          </w:p>
        </w:tc>
        <w:tc>
          <w:tcPr>
            <w:tcW w:w="1400" w:type="dxa"/>
            <w:vAlign w:val="center"/>
          </w:tcPr>
          <w:p w14:paraId="570A1B7E">
            <w:pPr>
              <w:pStyle w:val="50"/>
              <w:adjustRightInd/>
              <w:snapToGrid/>
              <w:spacing w:beforeLines="0" w:line="240" w:lineRule="auto"/>
              <w:rPr>
                <w:rFonts w:ascii="Times New Roman" w:hAnsi="Times New Roman"/>
                <w:snapToGrid w:val="0"/>
                <w:kern w:val="21"/>
                <w:szCs w:val="21"/>
              </w:rPr>
            </w:pPr>
          </w:p>
        </w:tc>
        <w:tc>
          <w:tcPr>
            <w:tcW w:w="1817" w:type="dxa"/>
            <w:vAlign w:val="center"/>
          </w:tcPr>
          <w:p w14:paraId="396C8FC0">
            <w:pPr>
              <w:pStyle w:val="50"/>
              <w:adjustRightInd/>
              <w:snapToGrid/>
              <w:spacing w:beforeLines="0" w:line="240" w:lineRule="auto"/>
              <w:ind w:left="-105" w:leftChars="-50" w:right="-105" w:rightChars="-50"/>
              <w:rPr>
                <w:rFonts w:ascii="Times New Roman" w:hAnsi="Times New Roman"/>
                <w:szCs w:val="21"/>
              </w:rPr>
            </w:pPr>
            <w:r>
              <w:rPr>
                <w:rFonts w:hint="eastAsia" w:ascii="Times New Roman" w:hAnsi="Times New Roman"/>
                <w:szCs w:val="21"/>
              </w:rPr>
              <w:t>385.09t</w:t>
            </w:r>
            <w:r>
              <w:rPr>
                <w:rFonts w:ascii="Times New Roman" w:hAnsi="Times New Roman"/>
                <w:szCs w:val="21"/>
              </w:rPr>
              <w:t>/a</w:t>
            </w:r>
          </w:p>
        </w:tc>
        <w:tc>
          <w:tcPr>
            <w:tcW w:w="1270" w:type="dxa"/>
            <w:vAlign w:val="center"/>
          </w:tcPr>
          <w:p w14:paraId="281CEC21">
            <w:pPr>
              <w:jc w:val="center"/>
              <w:rPr>
                <w:szCs w:val="21"/>
              </w:rPr>
            </w:pPr>
          </w:p>
        </w:tc>
      </w:tr>
      <w:tr w14:paraId="157961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67" w:type="dxa"/>
            <w:vMerge w:val="continue"/>
            <w:vAlign w:val="center"/>
          </w:tcPr>
          <w:p w14:paraId="0C346779">
            <w:pPr>
              <w:jc w:val="center"/>
              <w:rPr>
                <w:snapToGrid w:val="0"/>
                <w:kern w:val="21"/>
                <w:szCs w:val="21"/>
              </w:rPr>
            </w:pPr>
          </w:p>
        </w:tc>
        <w:tc>
          <w:tcPr>
            <w:tcW w:w="1537" w:type="dxa"/>
            <w:vAlign w:val="center"/>
          </w:tcPr>
          <w:p w14:paraId="41BAEB14">
            <w:pPr>
              <w:pStyle w:val="50"/>
              <w:spacing w:beforeLines="0" w:line="240" w:lineRule="auto"/>
              <w:rPr>
                <w:bCs/>
              </w:rPr>
            </w:pPr>
            <w:r>
              <w:rPr>
                <w:rFonts w:hint="eastAsia" w:ascii="Times New Roman" w:hAnsi="Times New Roman"/>
                <w:szCs w:val="21"/>
              </w:rPr>
              <w:t>废包装材料</w:t>
            </w:r>
          </w:p>
        </w:tc>
        <w:tc>
          <w:tcPr>
            <w:tcW w:w="1540" w:type="dxa"/>
            <w:vAlign w:val="center"/>
          </w:tcPr>
          <w:p w14:paraId="3AA83C1B">
            <w:pPr>
              <w:pStyle w:val="50"/>
              <w:adjustRightInd/>
              <w:snapToGrid/>
              <w:spacing w:beforeLines="0" w:line="240" w:lineRule="auto"/>
              <w:rPr>
                <w:rFonts w:ascii="Times New Roman" w:hAnsi="Times New Roman"/>
                <w:snapToGrid w:val="0"/>
                <w:kern w:val="21"/>
                <w:szCs w:val="21"/>
              </w:rPr>
            </w:pPr>
          </w:p>
        </w:tc>
        <w:tc>
          <w:tcPr>
            <w:tcW w:w="1260" w:type="dxa"/>
            <w:vAlign w:val="center"/>
          </w:tcPr>
          <w:p w14:paraId="6CA2D14C">
            <w:pPr>
              <w:pStyle w:val="50"/>
              <w:adjustRightInd/>
              <w:snapToGrid/>
              <w:spacing w:beforeLines="0" w:line="240" w:lineRule="auto"/>
              <w:rPr>
                <w:rFonts w:ascii="Times New Roman" w:hAnsi="Times New Roman"/>
                <w:snapToGrid w:val="0"/>
                <w:kern w:val="21"/>
                <w:szCs w:val="21"/>
              </w:rPr>
            </w:pPr>
          </w:p>
        </w:tc>
        <w:tc>
          <w:tcPr>
            <w:tcW w:w="1678" w:type="dxa"/>
            <w:vAlign w:val="center"/>
          </w:tcPr>
          <w:p w14:paraId="2D37DD61">
            <w:pPr>
              <w:pStyle w:val="50"/>
              <w:adjustRightInd/>
              <w:snapToGrid/>
              <w:spacing w:beforeLines="0" w:line="240" w:lineRule="auto"/>
              <w:rPr>
                <w:rFonts w:ascii="Times New Roman" w:hAnsi="Times New Roman"/>
                <w:snapToGrid w:val="0"/>
                <w:kern w:val="21"/>
                <w:szCs w:val="21"/>
              </w:rPr>
            </w:pPr>
          </w:p>
        </w:tc>
        <w:tc>
          <w:tcPr>
            <w:tcW w:w="1539" w:type="dxa"/>
            <w:vAlign w:val="center"/>
          </w:tcPr>
          <w:p w14:paraId="7ABC76D9">
            <w:pPr>
              <w:pStyle w:val="50"/>
              <w:adjustRightInd/>
              <w:snapToGrid/>
              <w:spacing w:beforeLines="0" w:line="240" w:lineRule="auto"/>
              <w:ind w:left="-105" w:leftChars="-50" w:right="-105" w:rightChars="-50"/>
              <w:rPr>
                <w:rFonts w:ascii="Times New Roman" w:hAnsi="Times New Roman"/>
                <w:szCs w:val="21"/>
              </w:rPr>
            </w:pPr>
            <w:r>
              <w:rPr>
                <w:rFonts w:hint="eastAsia" w:ascii="Times New Roman" w:hAnsi="Times New Roman"/>
                <w:szCs w:val="21"/>
              </w:rPr>
              <w:t>1</w:t>
            </w:r>
            <w:r>
              <w:rPr>
                <w:rFonts w:ascii="Times New Roman" w:hAnsi="Times New Roman"/>
                <w:szCs w:val="21"/>
              </w:rPr>
              <w:t>t/a</w:t>
            </w:r>
          </w:p>
        </w:tc>
        <w:tc>
          <w:tcPr>
            <w:tcW w:w="1400" w:type="dxa"/>
            <w:vAlign w:val="center"/>
          </w:tcPr>
          <w:p w14:paraId="2A85BBE6">
            <w:pPr>
              <w:pStyle w:val="50"/>
              <w:adjustRightInd/>
              <w:snapToGrid/>
              <w:spacing w:beforeLines="0" w:line="240" w:lineRule="auto"/>
              <w:rPr>
                <w:rFonts w:ascii="Times New Roman" w:hAnsi="Times New Roman"/>
                <w:snapToGrid w:val="0"/>
                <w:kern w:val="21"/>
                <w:szCs w:val="21"/>
              </w:rPr>
            </w:pPr>
          </w:p>
        </w:tc>
        <w:tc>
          <w:tcPr>
            <w:tcW w:w="1817" w:type="dxa"/>
            <w:vAlign w:val="center"/>
          </w:tcPr>
          <w:p w14:paraId="416520DD">
            <w:pPr>
              <w:pStyle w:val="50"/>
              <w:adjustRightInd/>
              <w:snapToGrid/>
              <w:spacing w:beforeLines="0" w:line="240" w:lineRule="auto"/>
              <w:ind w:left="-105" w:leftChars="-50" w:right="-105" w:rightChars="-50"/>
              <w:rPr>
                <w:rFonts w:ascii="Times New Roman" w:hAnsi="Times New Roman"/>
                <w:szCs w:val="21"/>
              </w:rPr>
            </w:pPr>
            <w:r>
              <w:rPr>
                <w:rFonts w:hint="eastAsia" w:ascii="Times New Roman" w:hAnsi="Times New Roman"/>
                <w:szCs w:val="21"/>
              </w:rPr>
              <w:t>1</w:t>
            </w:r>
            <w:r>
              <w:rPr>
                <w:rFonts w:ascii="Times New Roman" w:hAnsi="Times New Roman"/>
                <w:szCs w:val="21"/>
              </w:rPr>
              <w:t>t/a</w:t>
            </w:r>
          </w:p>
        </w:tc>
        <w:tc>
          <w:tcPr>
            <w:tcW w:w="1270" w:type="dxa"/>
            <w:vAlign w:val="center"/>
          </w:tcPr>
          <w:p w14:paraId="74A56459">
            <w:pPr>
              <w:jc w:val="center"/>
              <w:rPr>
                <w:szCs w:val="21"/>
              </w:rPr>
            </w:pPr>
          </w:p>
        </w:tc>
      </w:tr>
      <w:tr w14:paraId="0F1190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67" w:type="dxa"/>
            <w:vMerge w:val="continue"/>
            <w:vAlign w:val="center"/>
          </w:tcPr>
          <w:p w14:paraId="3BE37788">
            <w:pPr>
              <w:jc w:val="center"/>
              <w:rPr>
                <w:snapToGrid w:val="0"/>
                <w:kern w:val="21"/>
                <w:szCs w:val="21"/>
              </w:rPr>
            </w:pPr>
          </w:p>
        </w:tc>
        <w:tc>
          <w:tcPr>
            <w:tcW w:w="1537" w:type="dxa"/>
            <w:vAlign w:val="center"/>
          </w:tcPr>
          <w:p w14:paraId="3ADF208D">
            <w:pPr>
              <w:pStyle w:val="70"/>
              <w:overflowPunct/>
              <w:autoSpaceDE/>
              <w:autoSpaceDN/>
              <w:adjustRightInd/>
              <w:spacing w:line="240" w:lineRule="auto"/>
              <w:jc w:val="center"/>
              <w:rPr>
                <w:bCs/>
                <w:sz w:val="21"/>
              </w:rPr>
            </w:pPr>
            <w:r>
              <w:rPr>
                <w:rFonts w:hint="eastAsia"/>
                <w:bCs/>
                <w:sz w:val="21"/>
              </w:rPr>
              <w:t>卤渣</w:t>
            </w:r>
          </w:p>
        </w:tc>
        <w:tc>
          <w:tcPr>
            <w:tcW w:w="1540" w:type="dxa"/>
            <w:vAlign w:val="center"/>
          </w:tcPr>
          <w:p w14:paraId="6888486C">
            <w:pPr>
              <w:pStyle w:val="50"/>
              <w:adjustRightInd/>
              <w:snapToGrid/>
              <w:spacing w:beforeLines="0" w:line="240" w:lineRule="auto"/>
              <w:rPr>
                <w:rFonts w:ascii="Times New Roman" w:hAnsi="Times New Roman"/>
                <w:snapToGrid w:val="0"/>
                <w:kern w:val="21"/>
                <w:szCs w:val="21"/>
              </w:rPr>
            </w:pPr>
          </w:p>
        </w:tc>
        <w:tc>
          <w:tcPr>
            <w:tcW w:w="1260" w:type="dxa"/>
            <w:vAlign w:val="center"/>
          </w:tcPr>
          <w:p w14:paraId="424C95EB">
            <w:pPr>
              <w:pStyle w:val="50"/>
              <w:adjustRightInd/>
              <w:snapToGrid/>
              <w:spacing w:beforeLines="0" w:line="240" w:lineRule="auto"/>
              <w:rPr>
                <w:rFonts w:ascii="Times New Roman" w:hAnsi="Times New Roman"/>
                <w:snapToGrid w:val="0"/>
                <w:kern w:val="21"/>
                <w:szCs w:val="21"/>
              </w:rPr>
            </w:pPr>
          </w:p>
        </w:tc>
        <w:tc>
          <w:tcPr>
            <w:tcW w:w="1678" w:type="dxa"/>
            <w:vAlign w:val="center"/>
          </w:tcPr>
          <w:p w14:paraId="51D38F0D">
            <w:pPr>
              <w:pStyle w:val="50"/>
              <w:adjustRightInd/>
              <w:snapToGrid/>
              <w:spacing w:beforeLines="0" w:line="240" w:lineRule="auto"/>
              <w:rPr>
                <w:rFonts w:ascii="Times New Roman" w:hAnsi="Times New Roman"/>
                <w:snapToGrid w:val="0"/>
                <w:kern w:val="21"/>
                <w:szCs w:val="21"/>
              </w:rPr>
            </w:pPr>
          </w:p>
        </w:tc>
        <w:tc>
          <w:tcPr>
            <w:tcW w:w="1539" w:type="dxa"/>
            <w:vAlign w:val="center"/>
          </w:tcPr>
          <w:p w14:paraId="590B441E">
            <w:pPr>
              <w:pStyle w:val="50"/>
              <w:adjustRightInd/>
              <w:snapToGrid/>
              <w:spacing w:beforeLines="0" w:line="240" w:lineRule="auto"/>
              <w:rPr>
                <w:rFonts w:ascii="Times New Roman" w:hAnsi="Times New Roman"/>
                <w:snapToGrid w:val="0"/>
                <w:kern w:val="21"/>
                <w:szCs w:val="21"/>
              </w:rPr>
            </w:pPr>
            <w:r>
              <w:rPr>
                <w:rFonts w:hint="eastAsia" w:ascii="Times New Roman" w:hAnsi="Times New Roman"/>
                <w:szCs w:val="21"/>
              </w:rPr>
              <w:t>19</w:t>
            </w:r>
            <w:r>
              <w:rPr>
                <w:rFonts w:ascii="Times New Roman" w:hAnsi="Times New Roman"/>
                <w:szCs w:val="21"/>
              </w:rPr>
              <w:t>t/a</w:t>
            </w:r>
          </w:p>
        </w:tc>
        <w:tc>
          <w:tcPr>
            <w:tcW w:w="1400" w:type="dxa"/>
            <w:vAlign w:val="center"/>
          </w:tcPr>
          <w:p w14:paraId="580A9AED">
            <w:pPr>
              <w:pStyle w:val="50"/>
              <w:adjustRightInd/>
              <w:snapToGrid/>
              <w:spacing w:beforeLines="0" w:line="240" w:lineRule="auto"/>
              <w:rPr>
                <w:rFonts w:ascii="Times New Roman" w:hAnsi="Times New Roman"/>
                <w:snapToGrid w:val="0"/>
                <w:kern w:val="21"/>
                <w:szCs w:val="21"/>
              </w:rPr>
            </w:pPr>
          </w:p>
        </w:tc>
        <w:tc>
          <w:tcPr>
            <w:tcW w:w="1817" w:type="dxa"/>
            <w:vAlign w:val="center"/>
          </w:tcPr>
          <w:p w14:paraId="147198FC">
            <w:pPr>
              <w:pStyle w:val="50"/>
              <w:adjustRightInd/>
              <w:snapToGrid/>
              <w:spacing w:beforeLines="0" w:line="240" w:lineRule="auto"/>
              <w:rPr>
                <w:rFonts w:ascii="Times New Roman" w:hAnsi="Times New Roman"/>
                <w:snapToGrid w:val="0"/>
                <w:kern w:val="21"/>
                <w:szCs w:val="21"/>
              </w:rPr>
            </w:pPr>
            <w:r>
              <w:rPr>
                <w:rFonts w:hint="eastAsia" w:ascii="Times New Roman" w:hAnsi="Times New Roman"/>
                <w:szCs w:val="21"/>
              </w:rPr>
              <w:t>19</w:t>
            </w:r>
            <w:r>
              <w:rPr>
                <w:rFonts w:ascii="Times New Roman" w:hAnsi="Times New Roman"/>
                <w:szCs w:val="21"/>
              </w:rPr>
              <w:t>t/a</w:t>
            </w:r>
          </w:p>
        </w:tc>
        <w:tc>
          <w:tcPr>
            <w:tcW w:w="1270" w:type="dxa"/>
            <w:vAlign w:val="center"/>
          </w:tcPr>
          <w:p w14:paraId="6D57834B">
            <w:pPr>
              <w:jc w:val="center"/>
              <w:rPr>
                <w:szCs w:val="21"/>
              </w:rPr>
            </w:pPr>
          </w:p>
        </w:tc>
      </w:tr>
      <w:tr w14:paraId="2550B0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67" w:type="dxa"/>
            <w:vMerge w:val="continue"/>
            <w:vAlign w:val="center"/>
          </w:tcPr>
          <w:p w14:paraId="0361956D">
            <w:pPr>
              <w:jc w:val="center"/>
              <w:rPr>
                <w:snapToGrid w:val="0"/>
                <w:kern w:val="21"/>
                <w:szCs w:val="21"/>
              </w:rPr>
            </w:pPr>
          </w:p>
        </w:tc>
        <w:tc>
          <w:tcPr>
            <w:tcW w:w="1537" w:type="dxa"/>
            <w:vAlign w:val="center"/>
          </w:tcPr>
          <w:p w14:paraId="0D7E9CE5">
            <w:pPr>
              <w:pStyle w:val="70"/>
              <w:overflowPunct/>
              <w:autoSpaceDE/>
              <w:autoSpaceDN/>
              <w:adjustRightInd/>
              <w:spacing w:line="240" w:lineRule="auto"/>
              <w:jc w:val="center"/>
              <w:rPr>
                <w:bCs/>
                <w:sz w:val="21"/>
              </w:rPr>
            </w:pPr>
            <w:r>
              <w:rPr>
                <w:rFonts w:hint="eastAsia"/>
                <w:bCs/>
                <w:sz w:val="21"/>
              </w:rPr>
              <w:t>废滤料及废RO膜</w:t>
            </w:r>
          </w:p>
        </w:tc>
        <w:tc>
          <w:tcPr>
            <w:tcW w:w="1540" w:type="dxa"/>
            <w:vAlign w:val="center"/>
          </w:tcPr>
          <w:p w14:paraId="241D4248">
            <w:pPr>
              <w:pStyle w:val="50"/>
              <w:adjustRightInd/>
              <w:snapToGrid/>
              <w:spacing w:beforeLines="0" w:line="240" w:lineRule="auto"/>
              <w:rPr>
                <w:rFonts w:ascii="Times New Roman" w:hAnsi="Times New Roman"/>
                <w:snapToGrid w:val="0"/>
                <w:kern w:val="21"/>
                <w:szCs w:val="21"/>
              </w:rPr>
            </w:pPr>
          </w:p>
        </w:tc>
        <w:tc>
          <w:tcPr>
            <w:tcW w:w="1260" w:type="dxa"/>
            <w:vAlign w:val="center"/>
          </w:tcPr>
          <w:p w14:paraId="4F8251DB">
            <w:pPr>
              <w:pStyle w:val="50"/>
              <w:adjustRightInd/>
              <w:snapToGrid/>
              <w:spacing w:beforeLines="0" w:line="240" w:lineRule="auto"/>
              <w:rPr>
                <w:rFonts w:ascii="Times New Roman" w:hAnsi="Times New Roman"/>
                <w:snapToGrid w:val="0"/>
                <w:kern w:val="21"/>
                <w:szCs w:val="21"/>
              </w:rPr>
            </w:pPr>
          </w:p>
        </w:tc>
        <w:tc>
          <w:tcPr>
            <w:tcW w:w="1678" w:type="dxa"/>
            <w:vAlign w:val="center"/>
          </w:tcPr>
          <w:p w14:paraId="4CDFA2AD">
            <w:pPr>
              <w:pStyle w:val="50"/>
              <w:adjustRightInd/>
              <w:snapToGrid/>
              <w:spacing w:beforeLines="0" w:line="240" w:lineRule="auto"/>
              <w:rPr>
                <w:rFonts w:ascii="Times New Roman" w:hAnsi="Times New Roman"/>
                <w:snapToGrid w:val="0"/>
                <w:kern w:val="21"/>
                <w:szCs w:val="21"/>
              </w:rPr>
            </w:pPr>
          </w:p>
        </w:tc>
        <w:tc>
          <w:tcPr>
            <w:tcW w:w="1539" w:type="dxa"/>
            <w:vAlign w:val="center"/>
          </w:tcPr>
          <w:p w14:paraId="74B756EC">
            <w:pPr>
              <w:pStyle w:val="50"/>
              <w:adjustRightInd/>
              <w:snapToGrid/>
              <w:spacing w:beforeLines="0" w:line="240" w:lineRule="auto"/>
              <w:ind w:left="-105" w:leftChars="-50" w:right="-105" w:rightChars="-50"/>
              <w:rPr>
                <w:rFonts w:ascii="Times New Roman" w:hAnsi="Times New Roman"/>
                <w:szCs w:val="21"/>
              </w:rPr>
            </w:pPr>
            <w:r>
              <w:rPr>
                <w:rFonts w:hint="eastAsia" w:ascii="Times New Roman" w:hAnsi="Times New Roman"/>
                <w:szCs w:val="21"/>
              </w:rPr>
              <w:t>0.5</w:t>
            </w:r>
            <w:r>
              <w:rPr>
                <w:rFonts w:ascii="Times New Roman" w:hAnsi="Times New Roman"/>
                <w:szCs w:val="21"/>
              </w:rPr>
              <w:t>t/a</w:t>
            </w:r>
          </w:p>
        </w:tc>
        <w:tc>
          <w:tcPr>
            <w:tcW w:w="1400" w:type="dxa"/>
            <w:vAlign w:val="center"/>
          </w:tcPr>
          <w:p w14:paraId="1AC4FAAA">
            <w:pPr>
              <w:pStyle w:val="50"/>
              <w:adjustRightInd/>
              <w:snapToGrid/>
              <w:spacing w:beforeLines="0" w:line="240" w:lineRule="auto"/>
              <w:rPr>
                <w:rFonts w:ascii="Times New Roman" w:hAnsi="Times New Roman"/>
                <w:snapToGrid w:val="0"/>
                <w:kern w:val="21"/>
                <w:szCs w:val="21"/>
              </w:rPr>
            </w:pPr>
          </w:p>
        </w:tc>
        <w:tc>
          <w:tcPr>
            <w:tcW w:w="1817" w:type="dxa"/>
            <w:vAlign w:val="center"/>
          </w:tcPr>
          <w:p w14:paraId="069C608C">
            <w:pPr>
              <w:pStyle w:val="50"/>
              <w:adjustRightInd/>
              <w:snapToGrid/>
              <w:spacing w:beforeLines="0" w:line="240" w:lineRule="auto"/>
              <w:ind w:left="-105" w:leftChars="-50" w:right="-105" w:rightChars="-50"/>
              <w:rPr>
                <w:rFonts w:ascii="Times New Roman" w:hAnsi="Times New Roman"/>
                <w:szCs w:val="21"/>
              </w:rPr>
            </w:pPr>
            <w:r>
              <w:rPr>
                <w:rFonts w:hint="eastAsia" w:ascii="Times New Roman" w:hAnsi="Times New Roman"/>
                <w:szCs w:val="21"/>
              </w:rPr>
              <w:t>0.5</w:t>
            </w:r>
            <w:r>
              <w:rPr>
                <w:rFonts w:ascii="Times New Roman" w:hAnsi="Times New Roman"/>
                <w:szCs w:val="21"/>
              </w:rPr>
              <w:t>t/a</w:t>
            </w:r>
          </w:p>
        </w:tc>
        <w:tc>
          <w:tcPr>
            <w:tcW w:w="1270" w:type="dxa"/>
            <w:vAlign w:val="center"/>
          </w:tcPr>
          <w:p w14:paraId="5BF804D3">
            <w:pPr>
              <w:jc w:val="center"/>
              <w:rPr>
                <w:szCs w:val="21"/>
              </w:rPr>
            </w:pPr>
          </w:p>
        </w:tc>
      </w:tr>
      <w:tr w14:paraId="30245F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67" w:type="dxa"/>
            <w:vMerge w:val="continue"/>
            <w:vAlign w:val="center"/>
          </w:tcPr>
          <w:p w14:paraId="1A7DF1E7">
            <w:pPr>
              <w:jc w:val="center"/>
              <w:rPr>
                <w:snapToGrid w:val="0"/>
                <w:kern w:val="21"/>
                <w:szCs w:val="21"/>
              </w:rPr>
            </w:pPr>
          </w:p>
        </w:tc>
        <w:tc>
          <w:tcPr>
            <w:tcW w:w="1537" w:type="dxa"/>
            <w:vAlign w:val="center"/>
          </w:tcPr>
          <w:p w14:paraId="5C3B08C6">
            <w:pPr>
              <w:pStyle w:val="70"/>
              <w:overflowPunct/>
              <w:autoSpaceDE/>
              <w:autoSpaceDN/>
              <w:adjustRightInd/>
              <w:spacing w:line="240" w:lineRule="auto"/>
              <w:jc w:val="center"/>
              <w:rPr>
                <w:bCs/>
                <w:sz w:val="21"/>
              </w:rPr>
            </w:pPr>
            <w:r>
              <w:rPr>
                <w:rFonts w:hint="eastAsia"/>
                <w:bCs/>
                <w:sz w:val="21"/>
              </w:rPr>
              <w:t>废油</w:t>
            </w:r>
          </w:p>
        </w:tc>
        <w:tc>
          <w:tcPr>
            <w:tcW w:w="1540" w:type="dxa"/>
            <w:vAlign w:val="center"/>
          </w:tcPr>
          <w:p w14:paraId="220A9E20">
            <w:pPr>
              <w:pStyle w:val="50"/>
              <w:adjustRightInd/>
              <w:snapToGrid/>
              <w:spacing w:beforeLines="0" w:line="240" w:lineRule="auto"/>
              <w:rPr>
                <w:rFonts w:ascii="Times New Roman" w:hAnsi="Times New Roman"/>
                <w:snapToGrid w:val="0"/>
                <w:kern w:val="21"/>
                <w:szCs w:val="21"/>
              </w:rPr>
            </w:pPr>
          </w:p>
        </w:tc>
        <w:tc>
          <w:tcPr>
            <w:tcW w:w="1260" w:type="dxa"/>
            <w:vAlign w:val="center"/>
          </w:tcPr>
          <w:p w14:paraId="13595121">
            <w:pPr>
              <w:pStyle w:val="50"/>
              <w:adjustRightInd/>
              <w:snapToGrid/>
              <w:spacing w:beforeLines="0" w:line="240" w:lineRule="auto"/>
              <w:rPr>
                <w:rFonts w:ascii="Times New Roman" w:hAnsi="Times New Roman"/>
                <w:snapToGrid w:val="0"/>
                <w:kern w:val="21"/>
                <w:szCs w:val="21"/>
              </w:rPr>
            </w:pPr>
          </w:p>
        </w:tc>
        <w:tc>
          <w:tcPr>
            <w:tcW w:w="1678" w:type="dxa"/>
            <w:vAlign w:val="center"/>
          </w:tcPr>
          <w:p w14:paraId="57557C16">
            <w:pPr>
              <w:pStyle w:val="50"/>
              <w:adjustRightInd/>
              <w:snapToGrid/>
              <w:spacing w:beforeLines="0" w:line="240" w:lineRule="auto"/>
              <w:rPr>
                <w:rFonts w:ascii="Times New Roman" w:hAnsi="Times New Roman"/>
                <w:snapToGrid w:val="0"/>
                <w:kern w:val="21"/>
                <w:szCs w:val="21"/>
              </w:rPr>
            </w:pPr>
          </w:p>
        </w:tc>
        <w:tc>
          <w:tcPr>
            <w:tcW w:w="1539" w:type="dxa"/>
            <w:vAlign w:val="center"/>
          </w:tcPr>
          <w:p w14:paraId="4C547237">
            <w:pPr>
              <w:pStyle w:val="50"/>
              <w:adjustRightInd/>
              <w:snapToGrid/>
              <w:spacing w:beforeLines="0" w:line="240" w:lineRule="auto"/>
              <w:ind w:left="-105" w:leftChars="-50" w:right="-105" w:rightChars="-50"/>
              <w:rPr>
                <w:rFonts w:ascii="Times New Roman" w:hAnsi="Times New Roman"/>
                <w:szCs w:val="21"/>
              </w:rPr>
            </w:pPr>
            <w:r>
              <w:rPr>
                <w:rFonts w:hint="eastAsia" w:ascii="Times New Roman" w:hAnsi="Times New Roman"/>
                <w:szCs w:val="21"/>
              </w:rPr>
              <w:t>3.84t/a</w:t>
            </w:r>
          </w:p>
        </w:tc>
        <w:tc>
          <w:tcPr>
            <w:tcW w:w="1400" w:type="dxa"/>
            <w:vAlign w:val="center"/>
          </w:tcPr>
          <w:p w14:paraId="4E471A97">
            <w:pPr>
              <w:pStyle w:val="50"/>
              <w:adjustRightInd/>
              <w:snapToGrid/>
              <w:spacing w:beforeLines="0" w:line="240" w:lineRule="auto"/>
              <w:rPr>
                <w:rFonts w:ascii="Times New Roman" w:hAnsi="Times New Roman"/>
                <w:snapToGrid w:val="0"/>
                <w:kern w:val="21"/>
                <w:szCs w:val="21"/>
              </w:rPr>
            </w:pPr>
          </w:p>
        </w:tc>
        <w:tc>
          <w:tcPr>
            <w:tcW w:w="1817" w:type="dxa"/>
            <w:vAlign w:val="center"/>
          </w:tcPr>
          <w:p w14:paraId="55BCB147">
            <w:pPr>
              <w:pStyle w:val="50"/>
              <w:adjustRightInd/>
              <w:snapToGrid/>
              <w:spacing w:beforeLines="0" w:line="240" w:lineRule="auto"/>
              <w:ind w:left="-105" w:leftChars="-50" w:right="-105" w:rightChars="-50"/>
              <w:rPr>
                <w:rFonts w:ascii="Times New Roman" w:hAnsi="Times New Roman"/>
                <w:szCs w:val="21"/>
              </w:rPr>
            </w:pPr>
            <w:r>
              <w:rPr>
                <w:rFonts w:hint="eastAsia" w:ascii="Times New Roman" w:hAnsi="Times New Roman"/>
                <w:szCs w:val="21"/>
              </w:rPr>
              <w:t>3.84t/a</w:t>
            </w:r>
          </w:p>
        </w:tc>
        <w:tc>
          <w:tcPr>
            <w:tcW w:w="1270" w:type="dxa"/>
            <w:vAlign w:val="center"/>
          </w:tcPr>
          <w:p w14:paraId="08ED0C0D">
            <w:pPr>
              <w:jc w:val="center"/>
              <w:rPr>
                <w:szCs w:val="21"/>
              </w:rPr>
            </w:pPr>
          </w:p>
        </w:tc>
      </w:tr>
      <w:tr w14:paraId="74854C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67" w:type="dxa"/>
            <w:vMerge w:val="continue"/>
            <w:vAlign w:val="center"/>
          </w:tcPr>
          <w:p w14:paraId="22D32DB8">
            <w:pPr>
              <w:jc w:val="center"/>
              <w:rPr>
                <w:snapToGrid w:val="0"/>
                <w:kern w:val="21"/>
                <w:szCs w:val="21"/>
              </w:rPr>
            </w:pPr>
          </w:p>
        </w:tc>
        <w:tc>
          <w:tcPr>
            <w:tcW w:w="1537" w:type="dxa"/>
            <w:vAlign w:val="center"/>
          </w:tcPr>
          <w:p w14:paraId="08284131">
            <w:pPr>
              <w:pStyle w:val="70"/>
              <w:overflowPunct/>
              <w:autoSpaceDE/>
              <w:autoSpaceDN/>
              <w:adjustRightInd/>
              <w:spacing w:line="240" w:lineRule="auto"/>
              <w:jc w:val="center"/>
              <w:rPr>
                <w:bCs/>
                <w:sz w:val="21"/>
              </w:rPr>
            </w:pPr>
            <w:r>
              <w:rPr>
                <w:bCs/>
                <w:sz w:val="21"/>
              </w:rPr>
              <w:t>生活垃圾</w:t>
            </w:r>
          </w:p>
        </w:tc>
        <w:tc>
          <w:tcPr>
            <w:tcW w:w="1540" w:type="dxa"/>
            <w:vAlign w:val="center"/>
          </w:tcPr>
          <w:p w14:paraId="5E2CE6C2">
            <w:pPr>
              <w:pStyle w:val="50"/>
              <w:adjustRightInd/>
              <w:snapToGrid/>
              <w:spacing w:beforeLines="0" w:line="240" w:lineRule="auto"/>
              <w:rPr>
                <w:rFonts w:ascii="Times New Roman" w:hAnsi="Times New Roman"/>
                <w:snapToGrid w:val="0"/>
                <w:kern w:val="21"/>
                <w:szCs w:val="21"/>
              </w:rPr>
            </w:pPr>
          </w:p>
        </w:tc>
        <w:tc>
          <w:tcPr>
            <w:tcW w:w="1260" w:type="dxa"/>
            <w:vAlign w:val="center"/>
          </w:tcPr>
          <w:p w14:paraId="175B6318">
            <w:pPr>
              <w:pStyle w:val="50"/>
              <w:adjustRightInd/>
              <w:snapToGrid/>
              <w:spacing w:beforeLines="0" w:line="240" w:lineRule="auto"/>
              <w:rPr>
                <w:rFonts w:ascii="Times New Roman" w:hAnsi="Times New Roman"/>
                <w:snapToGrid w:val="0"/>
                <w:kern w:val="21"/>
                <w:szCs w:val="21"/>
              </w:rPr>
            </w:pPr>
          </w:p>
        </w:tc>
        <w:tc>
          <w:tcPr>
            <w:tcW w:w="1678" w:type="dxa"/>
            <w:vAlign w:val="center"/>
          </w:tcPr>
          <w:p w14:paraId="07ACF334">
            <w:pPr>
              <w:pStyle w:val="50"/>
              <w:adjustRightInd/>
              <w:snapToGrid/>
              <w:spacing w:beforeLines="0" w:line="240" w:lineRule="auto"/>
              <w:rPr>
                <w:rFonts w:ascii="Times New Roman" w:hAnsi="Times New Roman"/>
                <w:snapToGrid w:val="0"/>
                <w:kern w:val="21"/>
                <w:szCs w:val="21"/>
              </w:rPr>
            </w:pPr>
          </w:p>
        </w:tc>
        <w:tc>
          <w:tcPr>
            <w:tcW w:w="1539" w:type="dxa"/>
            <w:vAlign w:val="center"/>
          </w:tcPr>
          <w:p w14:paraId="6C986E17">
            <w:pPr>
              <w:pStyle w:val="21"/>
              <w:widowControl w:val="0"/>
              <w:spacing w:before="24" w:beforeLines="10" w:beforeAutospacing="0" w:after="0" w:afterAutospacing="0"/>
              <w:ind w:left="-105" w:leftChars="-50" w:right="-105" w:rightChars="-50"/>
              <w:jc w:val="center"/>
              <w:rPr>
                <w:rFonts w:ascii="Times New Roman" w:hAnsi="Times New Roman"/>
                <w:szCs w:val="21"/>
              </w:rPr>
            </w:pPr>
            <w:r>
              <w:rPr>
                <w:rFonts w:hint="eastAsia" w:ascii="Times New Roman" w:hAnsi="Times New Roman"/>
                <w:kern w:val="0"/>
                <w:sz w:val="20"/>
                <w:szCs w:val="21"/>
                <w:lang w:bidi="ar"/>
              </w:rPr>
              <w:t>7.5</w:t>
            </w:r>
            <w:r>
              <w:rPr>
                <w:rFonts w:ascii="Times New Roman" w:hAnsi="Times New Roman"/>
                <w:kern w:val="0"/>
                <w:sz w:val="20"/>
                <w:szCs w:val="21"/>
                <w:lang w:bidi="ar"/>
              </w:rPr>
              <w:t>t/a</w:t>
            </w:r>
          </w:p>
        </w:tc>
        <w:tc>
          <w:tcPr>
            <w:tcW w:w="1400" w:type="dxa"/>
            <w:vAlign w:val="center"/>
          </w:tcPr>
          <w:p w14:paraId="294A0070">
            <w:pPr>
              <w:pStyle w:val="21"/>
              <w:widowControl w:val="0"/>
              <w:spacing w:before="24" w:beforeLines="10" w:beforeAutospacing="0" w:after="0" w:afterAutospacing="0"/>
              <w:jc w:val="center"/>
              <w:rPr>
                <w:rFonts w:ascii="Times New Roman" w:hAnsi="Times New Roman"/>
                <w:snapToGrid w:val="0"/>
                <w:kern w:val="21"/>
                <w:szCs w:val="21"/>
              </w:rPr>
            </w:pPr>
          </w:p>
        </w:tc>
        <w:tc>
          <w:tcPr>
            <w:tcW w:w="1817" w:type="dxa"/>
            <w:vAlign w:val="center"/>
          </w:tcPr>
          <w:p w14:paraId="550219F8">
            <w:pPr>
              <w:pStyle w:val="21"/>
              <w:widowControl w:val="0"/>
              <w:spacing w:before="24" w:beforeLines="10" w:beforeAutospacing="0" w:after="0" w:afterAutospacing="0"/>
              <w:ind w:left="-105" w:leftChars="-50" w:right="-105" w:rightChars="-50"/>
              <w:jc w:val="center"/>
              <w:rPr>
                <w:rFonts w:ascii="Times New Roman" w:hAnsi="Times New Roman"/>
                <w:szCs w:val="21"/>
              </w:rPr>
            </w:pPr>
            <w:r>
              <w:rPr>
                <w:rFonts w:hint="eastAsia" w:ascii="Times New Roman" w:hAnsi="Times New Roman"/>
                <w:kern w:val="0"/>
                <w:sz w:val="20"/>
                <w:szCs w:val="21"/>
                <w:lang w:bidi="ar"/>
              </w:rPr>
              <w:t>7.5</w:t>
            </w:r>
            <w:r>
              <w:rPr>
                <w:rFonts w:ascii="Times New Roman" w:hAnsi="Times New Roman"/>
                <w:kern w:val="0"/>
                <w:sz w:val="20"/>
                <w:szCs w:val="21"/>
                <w:lang w:bidi="ar"/>
              </w:rPr>
              <w:t>t/a</w:t>
            </w:r>
          </w:p>
        </w:tc>
        <w:tc>
          <w:tcPr>
            <w:tcW w:w="1270" w:type="dxa"/>
            <w:vAlign w:val="center"/>
          </w:tcPr>
          <w:p w14:paraId="3F12417E">
            <w:pPr>
              <w:jc w:val="center"/>
              <w:rPr>
                <w:szCs w:val="21"/>
              </w:rPr>
            </w:pPr>
          </w:p>
        </w:tc>
      </w:tr>
    </w:tbl>
    <w:p w14:paraId="23AF9E5C">
      <w:pPr>
        <w:pStyle w:val="50"/>
        <w:spacing w:beforeLines="0" w:line="360" w:lineRule="auto"/>
        <w:jc w:val="left"/>
        <w:rPr>
          <w:rFonts w:ascii="Times New Roman" w:hAnsi="Times New Roman"/>
          <w:snapToGrid w:val="0"/>
          <w:color w:val="000000"/>
          <w:spacing w:val="-6"/>
          <w:kern w:val="21"/>
          <w:sz w:val="24"/>
          <w:szCs w:val="24"/>
        </w:rPr>
      </w:pPr>
      <w:r>
        <w:rPr>
          <w:rFonts w:ascii="Times New Roman" w:hAnsi="Times New Roman"/>
          <w:snapToGrid w:val="0"/>
          <w:color w:val="000000"/>
          <w:kern w:val="21"/>
          <w:sz w:val="24"/>
          <w:szCs w:val="24"/>
        </w:rPr>
        <w:t>注：</w:t>
      </w:r>
      <w:r>
        <w:rPr>
          <w:rFonts w:ascii="Times New Roman" w:hAnsi="Times New Roman"/>
          <w:snapToGrid w:val="0"/>
          <w:color w:val="000000"/>
          <w:spacing w:val="-16"/>
          <w:kern w:val="21"/>
          <w:sz w:val="24"/>
          <w:szCs w:val="24"/>
        </w:rPr>
        <w:fldChar w:fldCharType="begin"/>
      </w:r>
      <w:r>
        <w:rPr>
          <w:rFonts w:ascii="Times New Roman" w:hAnsi="Times New Roman"/>
          <w:snapToGrid w:val="0"/>
          <w:color w:val="000000"/>
          <w:spacing w:val="-16"/>
          <w:kern w:val="21"/>
          <w:sz w:val="24"/>
          <w:szCs w:val="24"/>
        </w:rPr>
        <w:instrText xml:space="preserve"> = 6 \* GB3 \* MERGEFORMAT </w:instrText>
      </w:r>
      <w:r>
        <w:rPr>
          <w:rFonts w:ascii="Times New Roman" w:hAnsi="Times New Roman"/>
          <w:snapToGrid w:val="0"/>
          <w:color w:val="000000"/>
          <w:spacing w:val="-16"/>
          <w:kern w:val="21"/>
          <w:sz w:val="24"/>
          <w:szCs w:val="24"/>
        </w:rPr>
        <w:fldChar w:fldCharType="separate"/>
      </w:r>
      <w:r>
        <w:rPr>
          <w:rFonts w:hint="eastAsia" w:cs="宋体"/>
          <w:color w:val="000000"/>
          <w:sz w:val="24"/>
          <w:szCs w:val="24"/>
        </w:rPr>
        <w:t>⑥</w:t>
      </w:r>
      <w:r>
        <w:rPr>
          <w:rFonts w:ascii="Times New Roman" w:hAnsi="Times New Roman"/>
          <w:snapToGrid w:val="0"/>
          <w:color w:val="000000"/>
          <w:spacing w:val="-16"/>
          <w:kern w:val="21"/>
          <w:sz w:val="24"/>
          <w:szCs w:val="24"/>
        </w:rPr>
        <w:fldChar w:fldCharType="end"/>
      </w:r>
      <w:r>
        <w:rPr>
          <w:rFonts w:ascii="Times New Roman" w:hAnsi="Times New Roman"/>
          <w:snapToGrid w:val="0"/>
          <w:color w:val="000000"/>
          <w:spacing w:val="-16"/>
          <w:kern w:val="21"/>
          <w:sz w:val="24"/>
          <w:szCs w:val="24"/>
        </w:rPr>
        <w:t>=</w:t>
      </w:r>
      <w:r>
        <w:rPr>
          <w:rFonts w:ascii="Times New Roman" w:hAnsi="Times New Roman"/>
          <w:snapToGrid w:val="0"/>
          <w:color w:val="000000"/>
          <w:spacing w:val="-6"/>
          <w:kern w:val="21"/>
          <w:sz w:val="24"/>
          <w:szCs w:val="24"/>
        </w:rPr>
        <w:fldChar w:fldCharType="begin"/>
      </w:r>
      <w:r>
        <w:rPr>
          <w:rFonts w:ascii="Times New Roman" w:hAnsi="Times New Roman"/>
          <w:snapToGrid w:val="0"/>
          <w:color w:val="000000"/>
          <w:spacing w:val="-6"/>
          <w:kern w:val="21"/>
          <w:sz w:val="24"/>
          <w:szCs w:val="24"/>
        </w:rPr>
        <w:instrText xml:space="preserve"> = 1 \* GB3 \* MERGEFORMAT </w:instrText>
      </w:r>
      <w:r>
        <w:rPr>
          <w:rFonts w:ascii="Times New Roman" w:hAnsi="Times New Roman"/>
          <w:snapToGrid w:val="0"/>
          <w:color w:val="000000"/>
          <w:spacing w:val="-6"/>
          <w:kern w:val="21"/>
          <w:sz w:val="24"/>
          <w:szCs w:val="24"/>
        </w:rPr>
        <w:fldChar w:fldCharType="separate"/>
      </w:r>
      <w:r>
        <w:rPr>
          <w:rFonts w:hint="eastAsia" w:cs="宋体"/>
          <w:color w:val="000000"/>
          <w:sz w:val="24"/>
          <w:szCs w:val="24"/>
        </w:rPr>
        <w:t>①</w:t>
      </w:r>
      <w:r>
        <w:rPr>
          <w:rFonts w:ascii="Times New Roman" w:hAnsi="Times New Roman"/>
          <w:snapToGrid w:val="0"/>
          <w:color w:val="000000"/>
          <w:spacing w:val="-6"/>
          <w:kern w:val="21"/>
          <w:sz w:val="24"/>
          <w:szCs w:val="24"/>
        </w:rPr>
        <w:fldChar w:fldCharType="end"/>
      </w:r>
      <w:r>
        <w:rPr>
          <w:rFonts w:ascii="Times New Roman" w:hAnsi="Times New Roman"/>
          <w:snapToGrid w:val="0"/>
          <w:color w:val="000000"/>
          <w:spacing w:val="-6"/>
          <w:kern w:val="21"/>
          <w:sz w:val="24"/>
          <w:szCs w:val="24"/>
        </w:rPr>
        <w:t>+</w:t>
      </w:r>
      <w:r>
        <w:rPr>
          <w:rFonts w:ascii="Times New Roman" w:hAnsi="Times New Roman"/>
          <w:snapToGrid w:val="0"/>
          <w:color w:val="000000"/>
          <w:spacing w:val="-6"/>
          <w:kern w:val="21"/>
          <w:sz w:val="24"/>
          <w:szCs w:val="24"/>
        </w:rPr>
        <w:fldChar w:fldCharType="begin"/>
      </w:r>
      <w:r>
        <w:rPr>
          <w:rFonts w:ascii="Times New Roman" w:hAnsi="Times New Roman"/>
          <w:snapToGrid w:val="0"/>
          <w:color w:val="000000"/>
          <w:spacing w:val="-6"/>
          <w:kern w:val="21"/>
          <w:sz w:val="24"/>
          <w:szCs w:val="24"/>
        </w:rPr>
        <w:instrText xml:space="preserve"> = 3 \* GB3 \* MERGEFORMAT </w:instrText>
      </w:r>
      <w:r>
        <w:rPr>
          <w:rFonts w:ascii="Times New Roman" w:hAnsi="Times New Roman"/>
          <w:snapToGrid w:val="0"/>
          <w:color w:val="000000"/>
          <w:spacing w:val="-6"/>
          <w:kern w:val="21"/>
          <w:sz w:val="24"/>
          <w:szCs w:val="24"/>
        </w:rPr>
        <w:fldChar w:fldCharType="separate"/>
      </w:r>
      <w:r>
        <w:rPr>
          <w:rFonts w:hint="eastAsia" w:cs="宋体"/>
          <w:color w:val="000000"/>
          <w:sz w:val="24"/>
          <w:szCs w:val="24"/>
        </w:rPr>
        <w:t>③</w:t>
      </w:r>
      <w:r>
        <w:rPr>
          <w:rFonts w:ascii="Times New Roman" w:hAnsi="Times New Roman"/>
          <w:snapToGrid w:val="0"/>
          <w:color w:val="000000"/>
          <w:spacing w:val="-6"/>
          <w:kern w:val="21"/>
          <w:sz w:val="24"/>
          <w:szCs w:val="24"/>
        </w:rPr>
        <w:fldChar w:fldCharType="end"/>
      </w:r>
      <w:r>
        <w:rPr>
          <w:rFonts w:ascii="Times New Roman" w:hAnsi="Times New Roman"/>
          <w:snapToGrid w:val="0"/>
          <w:color w:val="000000"/>
          <w:spacing w:val="-6"/>
          <w:kern w:val="21"/>
          <w:sz w:val="24"/>
          <w:szCs w:val="24"/>
        </w:rPr>
        <w:t>+</w:t>
      </w:r>
      <w:r>
        <w:rPr>
          <w:rFonts w:ascii="Times New Roman" w:hAnsi="Times New Roman"/>
          <w:snapToGrid w:val="0"/>
          <w:color w:val="000000"/>
          <w:spacing w:val="-6"/>
          <w:kern w:val="21"/>
          <w:sz w:val="24"/>
          <w:szCs w:val="24"/>
        </w:rPr>
        <w:fldChar w:fldCharType="begin"/>
      </w:r>
      <w:r>
        <w:rPr>
          <w:rFonts w:ascii="Times New Roman" w:hAnsi="Times New Roman"/>
          <w:snapToGrid w:val="0"/>
          <w:color w:val="000000"/>
          <w:spacing w:val="-6"/>
          <w:kern w:val="21"/>
          <w:sz w:val="24"/>
          <w:szCs w:val="24"/>
        </w:rPr>
        <w:instrText xml:space="preserve"> = 4 \* GB3 \* MERGEFORMAT </w:instrText>
      </w:r>
      <w:r>
        <w:rPr>
          <w:rFonts w:ascii="Times New Roman" w:hAnsi="Times New Roman"/>
          <w:snapToGrid w:val="0"/>
          <w:color w:val="000000"/>
          <w:spacing w:val="-6"/>
          <w:kern w:val="21"/>
          <w:sz w:val="24"/>
          <w:szCs w:val="24"/>
        </w:rPr>
        <w:fldChar w:fldCharType="separate"/>
      </w:r>
      <w:r>
        <w:rPr>
          <w:rFonts w:hint="eastAsia" w:cs="宋体"/>
          <w:color w:val="000000"/>
          <w:sz w:val="24"/>
          <w:szCs w:val="24"/>
        </w:rPr>
        <w:t>④</w:t>
      </w:r>
      <w:r>
        <w:rPr>
          <w:rFonts w:ascii="Times New Roman" w:hAnsi="Times New Roman"/>
          <w:snapToGrid w:val="0"/>
          <w:color w:val="000000"/>
          <w:spacing w:val="-6"/>
          <w:kern w:val="21"/>
          <w:sz w:val="24"/>
          <w:szCs w:val="24"/>
        </w:rPr>
        <w:fldChar w:fldCharType="end"/>
      </w:r>
      <w:r>
        <w:rPr>
          <w:rFonts w:ascii="Times New Roman" w:hAnsi="Times New Roman"/>
          <w:snapToGrid w:val="0"/>
          <w:color w:val="000000"/>
          <w:spacing w:val="-6"/>
          <w:kern w:val="21"/>
          <w:sz w:val="24"/>
          <w:szCs w:val="24"/>
        </w:rPr>
        <w:t>-</w:t>
      </w:r>
      <w:r>
        <w:rPr>
          <w:rFonts w:ascii="Times New Roman" w:hAnsi="Times New Roman"/>
          <w:snapToGrid w:val="0"/>
          <w:color w:val="000000"/>
          <w:spacing w:val="-16"/>
          <w:kern w:val="21"/>
          <w:sz w:val="24"/>
          <w:szCs w:val="24"/>
        </w:rPr>
        <w:fldChar w:fldCharType="begin"/>
      </w:r>
      <w:r>
        <w:rPr>
          <w:rFonts w:ascii="Times New Roman" w:hAnsi="Times New Roman"/>
          <w:snapToGrid w:val="0"/>
          <w:color w:val="000000"/>
          <w:spacing w:val="-16"/>
          <w:kern w:val="21"/>
          <w:sz w:val="24"/>
          <w:szCs w:val="24"/>
        </w:rPr>
        <w:instrText xml:space="preserve"> = 5 \* GB3 \* MERGEFORMAT </w:instrText>
      </w:r>
      <w:r>
        <w:rPr>
          <w:rFonts w:ascii="Times New Roman" w:hAnsi="Times New Roman"/>
          <w:snapToGrid w:val="0"/>
          <w:color w:val="000000"/>
          <w:spacing w:val="-16"/>
          <w:kern w:val="21"/>
          <w:sz w:val="24"/>
          <w:szCs w:val="24"/>
        </w:rPr>
        <w:fldChar w:fldCharType="separate"/>
      </w:r>
      <w:r>
        <w:rPr>
          <w:rFonts w:hint="eastAsia" w:cs="宋体"/>
          <w:color w:val="000000"/>
          <w:sz w:val="24"/>
          <w:szCs w:val="24"/>
        </w:rPr>
        <w:t>⑤</w:t>
      </w:r>
      <w:r>
        <w:rPr>
          <w:rFonts w:ascii="Times New Roman" w:hAnsi="Times New Roman"/>
          <w:snapToGrid w:val="0"/>
          <w:color w:val="000000"/>
          <w:spacing w:val="-16"/>
          <w:kern w:val="21"/>
          <w:sz w:val="24"/>
          <w:szCs w:val="24"/>
        </w:rPr>
        <w:fldChar w:fldCharType="end"/>
      </w:r>
      <w:r>
        <w:rPr>
          <w:rFonts w:ascii="Times New Roman" w:hAnsi="Times New Roman"/>
          <w:snapToGrid w:val="0"/>
          <w:color w:val="000000"/>
          <w:spacing w:val="-16"/>
          <w:kern w:val="21"/>
          <w:sz w:val="24"/>
          <w:szCs w:val="24"/>
        </w:rPr>
        <w:t>；</w:t>
      </w:r>
      <w:r>
        <w:rPr>
          <w:rFonts w:ascii="Times New Roman" w:hAnsi="Times New Roman"/>
          <w:snapToGrid w:val="0"/>
          <w:color w:val="000000"/>
          <w:spacing w:val="-6"/>
          <w:kern w:val="21"/>
          <w:sz w:val="24"/>
          <w:szCs w:val="24"/>
        </w:rPr>
        <w:fldChar w:fldCharType="begin"/>
      </w:r>
      <w:r>
        <w:rPr>
          <w:rFonts w:ascii="Times New Roman" w:hAnsi="Times New Roman"/>
          <w:snapToGrid w:val="0"/>
          <w:color w:val="000000"/>
          <w:spacing w:val="-6"/>
          <w:kern w:val="21"/>
          <w:sz w:val="24"/>
          <w:szCs w:val="24"/>
        </w:rPr>
        <w:instrText xml:space="preserve"> = 7 \* GB3 \* MERGEFORMAT </w:instrText>
      </w:r>
      <w:r>
        <w:rPr>
          <w:rFonts w:ascii="Times New Roman" w:hAnsi="Times New Roman"/>
          <w:snapToGrid w:val="0"/>
          <w:color w:val="000000"/>
          <w:spacing w:val="-6"/>
          <w:kern w:val="21"/>
          <w:sz w:val="24"/>
          <w:szCs w:val="24"/>
        </w:rPr>
        <w:fldChar w:fldCharType="separate"/>
      </w:r>
      <w:r>
        <w:rPr>
          <w:rFonts w:hint="eastAsia" w:cs="宋体"/>
          <w:color w:val="000000"/>
          <w:sz w:val="24"/>
          <w:szCs w:val="24"/>
        </w:rPr>
        <w:t>⑦</w:t>
      </w:r>
      <w:r>
        <w:rPr>
          <w:rFonts w:ascii="Times New Roman" w:hAnsi="Times New Roman"/>
          <w:snapToGrid w:val="0"/>
          <w:color w:val="000000"/>
          <w:spacing w:val="-6"/>
          <w:kern w:val="21"/>
          <w:sz w:val="24"/>
          <w:szCs w:val="24"/>
        </w:rPr>
        <w:fldChar w:fldCharType="end"/>
      </w:r>
      <w:r>
        <w:rPr>
          <w:rFonts w:ascii="Times New Roman" w:hAnsi="Times New Roman"/>
          <w:snapToGrid w:val="0"/>
          <w:color w:val="000000"/>
          <w:spacing w:val="-6"/>
          <w:kern w:val="21"/>
          <w:sz w:val="24"/>
          <w:szCs w:val="24"/>
        </w:rPr>
        <w:t>=</w:t>
      </w:r>
      <w:r>
        <w:rPr>
          <w:rFonts w:ascii="Times New Roman" w:hAnsi="Times New Roman"/>
          <w:snapToGrid w:val="0"/>
          <w:color w:val="000000"/>
          <w:spacing w:val="-16"/>
          <w:kern w:val="21"/>
          <w:sz w:val="24"/>
          <w:szCs w:val="24"/>
        </w:rPr>
        <w:fldChar w:fldCharType="begin"/>
      </w:r>
      <w:r>
        <w:rPr>
          <w:rFonts w:ascii="Times New Roman" w:hAnsi="Times New Roman"/>
          <w:snapToGrid w:val="0"/>
          <w:color w:val="000000"/>
          <w:spacing w:val="-16"/>
          <w:kern w:val="21"/>
          <w:sz w:val="24"/>
          <w:szCs w:val="24"/>
        </w:rPr>
        <w:instrText xml:space="preserve"> = 6 \* GB3 \* MERGEFORMAT </w:instrText>
      </w:r>
      <w:r>
        <w:rPr>
          <w:rFonts w:ascii="Times New Roman" w:hAnsi="Times New Roman"/>
          <w:snapToGrid w:val="0"/>
          <w:color w:val="000000"/>
          <w:spacing w:val="-16"/>
          <w:kern w:val="21"/>
          <w:sz w:val="24"/>
          <w:szCs w:val="24"/>
        </w:rPr>
        <w:fldChar w:fldCharType="separate"/>
      </w:r>
      <w:r>
        <w:rPr>
          <w:rFonts w:hint="eastAsia" w:cs="宋体"/>
          <w:color w:val="000000"/>
          <w:sz w:val="24"/>
          <w:szCs w:val="24"/>
        </w:rPr>
        <w:t>⑥</w:t>
      </w:r>
      <w:r>
        <w:rPr>
          <w:rFonts w:ascii="Times New Roman" w:hAnsi="Times New Roman"/>
          <w:snapToGrid w:val="0"/>
          <w:color w:val="000000"/>
          <w:spacing w:val="-16"/>
          <w:kern w:val="21"/>
          <w:sz w:val="24"/>
          <w:szCs w:val="24"/>
        </w:rPr>
        <w:fldChar w:fldCharType="end"/>
      </w:r>
      <w:r>
        <w:rPr>
          <w:rFonts w:ascii="Times New Roman" w:hAnsi="Times New Roman"/>
          <w:snapToGrid w:val="0"/>
          <w:color w:val="000000"/>
          <w:spacing w:val="-16"/>
          <w:kern w:val="21"/>
          <w:sz w:val="24"/>
          <w:szCs w:val="24"/>
        </w:rPr>
        <w:t>-</w:t>
      </w:r>
      <w:r>
        <w:rPr>
          <w:rFonts w:ascii="Times New Roman" w:hAnsi="Times New Roman"/>
          <w:snapToGrid w:val="0"/>
          <w:color w:val="000000"/>
          <w:spacing w:val="-6"/>
          <w:kern w:val="21"/>
          <w:sz w:val="24"/>
          <w:szCs w:val="24"/>
        </w:rPr>
        <w:fldChar w:fldCharType="begin"/>
      </w:r>
      <w:r>
        <w:rPr>
          <w:rFonts w:ascii="Times New Roman" w:hAnsi="Times New Roman"/>
          <w:snapToGrid w:val="0"/>
          <w:color w:val="000000"/>
          <w:spacing w:val="-6"/>
          <w:kern w:val="21"/>
          <w:sz w:val="24"/>
          <w:szCs w:val="24"/>
        </w:rPr>
        <w:instrText xml:space="preserve"> = 1 \* GB3 \* MERGEFORMAT </w:instrText>
      </w:r>
      <w:r>
        <w:rPr>
          <w:rFonts w:ascii="Times New Roman" w:hAnsi="Times New Roman"/>
          <w:snapToGrid w:val="0"/>
          <w:color w:val="000000"/>
          <w:spacing w:val="-6"/>
          <w:kern w:val="21"/>
          <w:sz w:val="24"/>
          <w:szCs w:val="24"/>
        </w:rPr>
        <w:fldChar w:fldCharType="separate"/>
      </w:r>
      <w:r>
        <w:rPr>
          <w:rFonts w:hint="eastAsia" w:cs="宋体"/>
          <w:color w:val="000000"/>
          <w:sz w:val="24"/>
          <w:szCs w:val="24"/>
        </w:rPr>
        <w:t>①</w:t>
      </w:r>
      <w:r>
        <w:rPr>
          <w:rFonts w:ascii="Times New Roman" w:hAnsi="Times New Roman"/>
          <w:snapToGrid w:val="0"/>
          <w:color w:val="000000"/>
          <w:spacing w:val="-6"/>
          <w:kern w:val="21"/>
          <w:sz w:val="24"/>
          <w:szCs w:val="24"/>
        </w:rPr>
        <w:fldChar w:fldCharType="end"/>
      </w:r>
    </w:p>
    <w:sectPr>
      <w:pgSz w:w="16838" w:h="11906" w:orient="landscape"/>
      <w:pgMar w:top="1440" w:right="1701" w:bottom="1440" w:left="1701"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新宋体">
    <w:panose1 w:val="02010609030101010101"/>
    <w:charset w:val="86"/>
    <w:family w:val="modern"/>
    <w:pitch w:val="default"/>
    <w:sig w:usb0="0000000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2FF" w:usb1="420024FF" w:usb2="00000000" w:usb3="00000000" w:csb0="2000019F" w:csb1="00000000"/>
  </w:font>
  <w:font w:name="MS PGothic">
    <w:panose1 w:val="020B0600070205080204"/>
    <w:charset w:val="80"/>
    <w:family w:val="auto"/>
    <w:pitch w:val="default"/>
    <w:sig w:usb0="E00002FF" w:usb1="6AC7FDFB" w:usb2="00000012" w:usb3="00000000" w:csb0="4002009F" w:csb1="DFD7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3E101">
    <w:pPr>
      <w:pStyle w:val="16"/>
      <w:jc w:val="center"/>
    </w:pPr>
  </w:p>
  <w:p w14:paraId="6A67763E">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1864C4">
    <w:pPr>
      <w:pStyle w:val="16"/>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w:t>
    </w:r>
    <w:r>
      <w:rPr>
        <w:sz w:val="21"/>
        <w:szCs w:val="21"/>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B7531">
    <w:pPr>
      <w:pStyle w:val="16"/>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21</w:t>
    </w:r>
    <w:r>
      <w:rPr>
        <w:sz w:val="21"/>
        <w:szCs w:val="21"/>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48A7284"/>
    <w:multiLevelType w:val="multilevel"/>
    <w:tmpl w:val="548A7284"/>
    <w:lvl w:ilvl="0" w:tentative="0">
      <w:start w:val="1"/>
      <w:numFmt w:val="decimal"/>
      <w:pStyle w:val="97"/>
      <w:isLgl/>
      <w:suff w:val="space"/>
      <w:lvlText w:val="第%1章 "/>
      <w:lvlJc w:val="left"/>
      <w:pPr>
        <w:ind w:left="0" w:firstLine="0"/>
      </w:pPr>
      <w:rPr>
        <w:rFonts w:hint="eastAsia"/>
      </w:rPr>
    </w:lvl>
    <w:lvl w:ilvl="1" w:tentative="0">
      <w:start w:val="1"/>
      <w:numFmt w:val="decimal"/>
      <w:pStyle w:val="96"/>
      <w:isLgl/>
      <w:suff w:val="space"/>
      <w:lvlText w:val="%1.%2 "/>
      <w:lvlJc w:val="left"/>
      <w:pPr>
        <w:ind w:left="0" w:firstLine="0"/>
      </w:pPr>
      <w:rPr>
        <w:rFonts w:hint="eastAsia"/>
      </w:rPr>
    </w:lvl>
    <w:lvl w:ilvl="2" w:tentative="0">
      <w:start w:val="1"/>
      <w:numFmt w:val="decimal"/>
      <w:pStyle w:val="95"/>
      <w:isLgl/>
      <w:suff w:val="space"/>
      <w:lvlText w:val="%1.%2.%3 "/>
      <w:lvlJc w:val="left"/>
      <w:pPr>
        <w:ind w:left="0" w:firstLine="0"/>
      </w:pPr>
      <w:rPr>
        <w:rFonts w:hint="eastAsia"/>
      </w:rPr>
    </w:lvl>
    <w:lvl w:ilvl="3" w:tentative="0">
      <w:start w:val="1"/>
      <w:numFmt w:val="decimal"/>
      <w:pStyle w:val="98"/>
      <w:isLgl/>
      <w:suff w:val="space"/>
      <w:lvlText w:val="%1.%2.%3.%4 "/>
      <w:lvlJc w:val="left"/>
      <w:pPr>
        <w:ind w:left="0" w:firstLine="0"/>
      </w:pPr>
      <w:rPr>
        <w:rFonts w:hint="eastAsia"/>
      </w:rPr>
    </w:lvl>
    <w:lvl w:ilvl="4" w:tentative="0">
      <w:start w:val="1"/>
      <w:numFmt w:val="decimal"/>
      <w:lvlRestart w:val="2"/>
      <w:pStyle w:val="100"/>
      <w:isLgl/>
      <w:suff w:val="space"/>
      <w:lvlText w:val="表%1.%2-%5 "/>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VmODYyMGY3ODk3ZGU1NWU2MzQ0NjdlMDJjZjMxNmUifQ=="/>
  </w:docVars>
  <w:rsids>
    <w:rsidRoot w:val="00C0426A"/>
    <w:rsid w:val="000000E1"/>
    <w:rsid w:val="00000384"/>
    <w:rsid w:val="000006AB"/>
    <w:rsid w:val="00001235"/>
    <w:rsid w:val="000014A9"/>
    <w:rsid w:val="000022C8"/>
    <w:rsid w:val="00002B6D"/>
    <w:rsid w:val="00003FCC"/>
    <w:rsid w:val="0000441D"/>
    <w:rsid w:val="00004BDB"/>
    <w:rsid w:val="00005E00"/>
    <w:rsid w:val="00006EB1"/>
    <w:rsid w:val="00007BE5"/>
    <w:rsid w:val="000122D0"/>
    <w:rsid w:val="00012356"/>
    <w:rsid w:val="000123CF"/>
    <w:rsid w:val="000130F0"/>
    <w:rsid w:val="0001348A"/>
    <w:rsid w:val="00014340"/>
    <w:rsid w:val="00015A1F"/>
    <w:rsid w:val="00015BB0"/>
    <w:rsid w:val="00017F89"/>
    <w:rsid w:val="00021E12"/>
    <w:rsid w:val="000224B7"/>
    <w:rsid w:val="00023724"/>
    <w:rsid w:val="00024481"/>
    <w:rsid w:val="00025204"/>
    <w:rsid w:val="00025A1D"/>
    <w:rsid w:val="00026A2C"/>
    <w:rsid w:val="00026A7E"/>
    <w:rsid w:val="00026DE3"/>
    <w:rsid w:val="000275E4"/>
    <w:rsid w:val="0003029B"/>
    <w:rsid w:val="000303DC"/>
    <w:rsid w:val="0003057F"/>
    <w:rsid w:val="000327B7"/>
    <w:rsid w:val="00032A9F"/>
    <w:rsid w:val="00032BFA"/>
    <w:rsid w:val="00032D02"/>
    <w:rsid w:val="0003314E"/>
    <w:rsid w:val="000332B9"/>
    <w:rsid w:val="00033402"/>
    <w:rsid w:val="00033925"/>
    <w:rsid w:val="00035FDE"/>
    <w:rsid w:val="000368CA"/>
    <w:rsid w:val="00036D60"/>
    <w:rsid w:val="00036F18"/>
    <w:rsid w:val="000403A0"/>
    <w:rsid w:val="00040FAB"/>
    <w:rsid w:val="0004133E"/>
    <w:rsid w:val="00041481"/>
    <w:rsid w:val="00041DF7"/>
    <w:rsid w:val="0004231E"/>
    <w:rsid w:val="000428F9"/>
    <w:rsid w:val="0004324C"/>
    <w:rsid w:val="00043302"/>
    <w:rsid w:val="0004381A"/>
    <w:rsid w:val="00044079"/>
    <w:rsid w:val="000455A2"/>
    <w:rsid w:val="00046136"/>
    <w:rsid w:val="00047117"/>
    <w:rsid w:val="00047226"/>
    <w:rsid w:val="0005042F"/>
    <w:rsid w:val="00050A8E"/>
    <w:rsid w:val="000510FC"/>
    <w:rsid w:val="000513EB"/>
    <w:rsid w:val="00051EC6"/>
    <w:rsid w:val="00052790"/>
    <w:rsid w:val="00053ABF"/>
    <w:rsid w:val="00053CC4"/>
    <w:rsid w:val="0005435D"/>
    <w:rsid w:val="00054CF1"/>
    <w:rsid w:val="00054FDD"/>
    <w:rsid w:val="000561D5"/>
    <w:rsid w:val="0005719D"/>
    <w:rsid w:val="000571AE"/>
    <w:rsid w:val="00057AC4"/>
    <w:rsid w:val="00057D9D"/>
    <w:rsid w:val="00061341"/>
    <w:rsid w:val="00061A2B"/>
    <w:rsid w:val="0006232A"/>
    <w:rsid w:val="00062606"/>
    <w:rsid w:val="00062692"/>
    <w:rsid w:val="00063457"/>
    <w:rsid w:val="00064D0C"/>
    <w:rsid w:val="0006572B"/>
    <w:rsid w:val="000665A5"/>
    <w:rsid w:val="00070034"/>
    <w:rsid w:val="00070A32"/>
    <w:rsid w:val="00070F4C"/>
    <w:rsid w:val="000713B5"/>
    <w:rsid w:val="00071E2D"/>
    <w:rsid w:val="00072397"/>
    <w:rsid w:val="00073780"/>
    <w:rsid w:val="00073A88"/>
    <w:rsid w:val="00073B30"/>
    <w:rsid w:val="00074FBE"/>
    <w:rsid w:val="000750CA"/>
    <w:rsid w:val="00076B05"/>
    <w:rsid w:val="0008064C"/>
    <w:rsid w:val="000808FA"/>
    <w:rsid w:val="000820A1"/>
    <w:rsid w:val="00082780"/>
    <w:rsid w:val="00082A7E"/>
    <w:rsid w:val="00082BB1"/>
    <w:rsid w:val="00083A73"/>
    <w:rsid w:val="000841F1"/>
    <w:rsid w:val="000847DE"/>
    <w:rsid w:val="00084E5B"/>
    <w:rsid w:val="0008524B"/>
    <w:rsid w:val="00085F0E"/>
    <w:rsid w:val="00087183"/>
    <w:rsid w:val="0008777A"/>
    <w:rsid w:val="00087EB8"/>
    <w:rsid w:val="0009007B"/>
    <w:rsid w:val="00090B2E"/>
    <w:rsid w:val="00090B96"/>
    <w:rsid w:val="00090CAD"/>
    <w:rsid w:val="00091404"/>
    <w:rsid w:val="00091EAE"/>
    <w:rsid w:val="00092501"/>
    <w:rsid w:val="00092D93"/>
    <w:rsid w:val="0009305E"/>
    <w:rsid w:val="00093107"/>
    <w:rsid w:val="0009433D"/>
    <w:rsid w:val="00095519"/>
    <w:rsid w:val="0009554F"/>
    <w:rsid w:val="000957BC"/>
    <w:rsid w:val="00095A1A"/>
    <w:rsid w:val="0009675A"/>
    <w:rsid w:val="00096A33"/>
    <w:rsid w:val="00096C0E"/>
    <w:rsid w:val="00097294"/>
    <w:rsid w:val="00097BBF"/>
    <w:rsid w:val="000A0F15"/>
    <w:rsid w:val="000A1299"/>
    <w:rsid w:val="000A19B5"/>
    <w:rsid w:val="000A19B7"/>
    <w:rsid w:val="000A2589"/>
    <w:rsid w:val="000A2DEC"/>
    <w:rsid w:val="000A3333"/>
    <w:rsid w:val="000A3931"/>
    <w:rsid w:val="000A44C6"/>
    <w:rsid w:val="000A59B2"/>
    <w:rsid w:val="000A5ED3"/>
    <w:rsid w:val="000A61DB"/>
    <w:rsid w:val="000A7CE7"/>
    <w:rsid w:val="000B0216"/>
    <w:rsid w:val="000B03F5"/>
    <w:rsid w:val="000B0F8E"/>
    <w:rsid w:val="000B0FCB"/>
    <w:rsid w:val="000B1EC8"/>
    <w:rsid w:val="000B264B"/>
    <w:rsid w:val="000B2DAA"/>
    <w:rsid w:val="000B31F7"/>
    <w:rsid w:val="000B39B7"/>
    <w:rsid w:val="000B4062"/>
    <w:rsid w:val="000B45A4"/>
    <w:rsid w:val="000B5458"/>
    <w:rsid w:val="000B55AF"/>
    <w:rsid w:val="000B5B93"/>
    <w:rsid w:val="000B6678"/>
    <w:rsid w:val="000B671F"/>
    <w:rsid w:val="000C003F"/>
    <w:rsid w:val="000C0D66"/>
    <w:rsid w:val="000C1120"/>
    <w:rsid w:val="000C1252"/>
    <w:rsid w:val="000C1375"/>
    <w:rsid w:val="000C1AF2"/>
    <w:rsid w:val="000C2459"/>
    <w:rsid w:val="000C2967"/>
    <w:rsid w:val="000C2C75"/>
    <w:rsid w:val="000C2F5D"/>
    <w:rsid w:val="000C436C"/>
    <w:rsid w:val="000C493E"/>
    <w:rsid w:val="000C4DEA"/>
    <w:rsid w:val="000C5CE0"/>
    <w:rsid w:val="000C5F29"/>
    <w:rsid w:val="000C61E6"/>
    <w:rsid w:val="000C7C56"/>
    <w:rsid w:val="000D0169"/>
    <w:rsid w:val="000D06E9"/>
    <w:rsid w:val="000D0ECA"/>
    <w:rsid w:val="000D22EE"/>
    <w:rsid w:val="000D243F"/>
    <w:rsid w:val="000D24E0"/>
    <w:rsid w:val="000D3152"/>
    <w:rsid w:val="000D385C"/>
    <w:rsid w:val="000D4366"/>
    <w:rsid w:val="000D573D"/>
    <w:rsid w:val="000D5F41"/>
    <w:rsid w:val="000D6463"/>
    <w:rsid w:val="000D6E4C"/>
    <w:rsid w:val="000D6FC9"/>
    <w:rsid w:val="000E0B11"/>
    <w:rsid w:val="000E0B9B"/>
    <w:rsid w:val="000E0D49"/>
    <w:rsid w:val="000E0D4F"/>
    <w:rsid w:val="000E1D2A"/>
    <w:rsid w:val="000E24C3"/>
    <w:rsid w:val="000E2925"/>
    <w:rsid w:val="000E2D27"/>
    <w:rsid w:val="000E34CD"/>
    <w:rsid w:val="000E4C70"/>
    <w:rsid w:val="000E4D7D"/>
    <w:rsid w:val="000E51C4"/>
    <w:rsid w:val="000E55E2"/>
    <w:rsid w:val="000E5CC4"/>
    <w:rsid w:val="000E5E2A"/>
    <w:rsid w:val="000E6CE0"/>
    <w:rsid w:val="000E765A"/>
    <w:rsid w:val="000E7850"/>
    <w:rsid w:val="000F03BC"/>
    <w:rsid w:val="000F1A26"/>
    <w:rsid w:val="000F1CE3"/>
    <w:rsid w:val="000F2080"/>
    <w:rsid w:val="000F2E83"/>
    <w:rsid w:val="000F3DC7"/>
    <w:rsid w:val="000F3EA9"/>
    <w:rsid w:val="000F4380"/>
    <w:rsid w:val="000F593A"/>
    <w:rsid w:val="000F66BD"/>
    <w:rsid w:val="000F7BC2"/>
    <w:rsid w:val="001001EC"/>
    <w:rsid w:val="0010206A"/>
    <w:rsid w:val="00103289"/>
    <w:rsid w:val="001034DB"/>
    <w:rsid w:val="001039C1"/>
    <w:rsid w:val="00104F8A"/>
    <w:rsid w:val="001055E3"/>
    <w:rsid w:val="00105C3A"/>
    <w:rsid w:val="001071B2"/>
    <w:rsid w:val="001073D3"/>
    <w:rsid w:val="001075EA"/>
    <w:rsid w:val="0010772D"/>
    <w:rsid w:val="00107D8D"/>
    <w:rsid w:val="001104CA"/>
    <w:rsid w:val="00110604"/>
    <w:rsid w:val="00110D9F"/>
    <w:rsid w:val="0011156A"/>
    <w:rsid w:val="00113030"/>
    <w:rsid w:val="00113291"/>
    <w:rsid w:val="001150A9"/>
    <w:rsid w:val="001165B3"/>
    <w:rsid w:val="00117786"/>
    <w:rsid w:val="00117AB9"/>
    <w:rsid w:val="001200DF"/>
    <w:rsid w:val="00120E1C"/>
    <w:rsid w:val="00121875"/>
    <w:rsid w:val="001218B4"/>
    <w:rsid w:val="00121DA9"/>
    <w:rsid w:val="00122099"/>
    <w:rsid w:val="00122293"/>
    <w:rsid w:val="00122C29"/>
    <w:rsid w:val="00122E6C"/>
    <w:rsid w:val="001239C7"/>
    <w:rsid w:val="00123B74"/>
    <w:rsid w:val="001240F1"/>
    <w:rsid w:val="0012432E"/>
    <w:rsid w:val="00124460"/>
    <w:rsid w:val="00124CF3"/>
    <w:rsid w:val="00126EEE"/>
    <w:rsid w:val="00127245"/>
    <w:rsid w:val="001276BE"/>
    <w:rsid w:val="00131B56"/>
    <w:rsid w:val="001329E5"/>
    <w:rsid w:val="00133D0E"/>
    <w:rsid w:val="00134204"/>
    <w:rsid w:val="00134ED3"/>
    <w:rsid w:val="001351E5"/>
    <w:rsid w:val="001356A6"/>
    <w:rsid w:val="00135791"/>
    <w:rsid w:val="0013585D"/>
    <w:rsid w:val="001359A0"/>
    <w:rsid w:val="00136708"/>
    <w:rsid w:val="001378EF"/>
    <w:rsid w:val="00140863"/>
    <w:rsid w:val="001428CC"/>
    <w:rsid w:val="00142E23"/>
    <w:rsid w:val="00143B23"/>
    <w:rsid w:val="0014428B"/>
    <w:rsid w:val="0014466A"/>
    <w:rsid w:val="00145316"/>
    <w:rsid w:val="0014536F"/>
    <w:rsid w:val="00145633"/>
    <w:rsid w:val="001458F1"/>
    <w:rsid w:val="00145E35"/>
    <w:rsid w:val="001470EC"/>
    <w:rsid w:val="00147F6A"/>
    <w:rsid w:val="00150275"/>
    <w:rsid w:val="00150AFC"/>
    <w:rsid w:val="00151FF5"/>
    <w:rsid w:val="001523DF"/>
    <w:rsid w:val="00152B94"/>
    <w:rsid w:val="00152F35"/>
    <w:rsid w:val="00153552"/>
    <w:rsid w:val="00153C79"/>
    <w:rsid w:val="00154095"/>
    <w:rsid w:val="00154A25"/>
    <w:rsid w:val="001554AD"/>
    <w:rsid w:val="001555DC"/>
    <w:rsid w:val="001557DB"/>
    <w:rsid w:val="00156DA3"/>
    <w:rsid w:val="00156EBD"/>
    <w:rsid w:val="00161081"/>
    <w:rsid w:val="00161734"/>
    <w:rsid w:val="00161A8F"/>
    <w:rsid w:val="00161A90"/>
    <w:rsid w:val="00162064"/>
    <w:rsid w:val="00162CB1"/>
    <w:rsid w:val="00163325"/>
    <w:rsid w:val="0016337C"/>
    <w:rsid w:val="00164141"/>
    <w:rsid w:val="00164885"/>
    <w:rsid w:val="00165016"/>
    <w:rsid w:val="00165397"/>
    <w:rsid w:val="001654CE"/>
    <w:rsid w:val="00165581"/>
    <w:rsid w:val="00165EBF"/>
    <w:rsid w:val="00166374"/>
    <w:rsid w:val="00166DE7"/>
    <w:rsid w:val="001678B3"/>
    <w:rsid w:val="00167D65"/>
    <w:rsid w:val="00167F62"/>
    <w:rsid w:val="001700D0"/>
    <w:rsid w:val="0017099E"/>
    <w:rsid w:val="00170D02"/>
    <w:rsid w:val="001714FA"/>
    <w:rsid w:val="00172045"/>
    <w:rsid w:val="00173E8F"/>
    <w:rsid w:val="001741D6"/>
    <w:rsid w:val="00174DB9"/>
    <w:rsid w:val="00175CE5"/>
    <w:rsid w:val="00176593"/>
    <w:rsid w:val="00177EE7"/>
    <w:rsid w:val="00177F06"/>
    <w:rsid w:val="00180237"/>
    <w:rsid w:val="00180278"/>
    <w:rsid w:val="00180B93"/>
    <w:rsid w:val="0018107E"/>
    <w:rsid w:val="001812E7"/>
    <w:rsid w:val="00181B0D"/>
    <w:rsid w:val="00182F4A"/>
    <w:rsid w:val="00183651"/>
    <w:rsid w:val="00183B84"/>
    <w:rsid w:val="00184043"/>
    <w:rsid w:val="001859F3"/>
    <w:rsid w:val="00185E01"/>
    <w:rsid w:val="00187BE3"/>
    <w:rsid w:val="0019000F"/>
    <w:rsid w:val="0019068E"/>
    <w:rsid w:val="00192413"/>
    <w:rsid w:val="00192F25"/>
    <w:rsid w:val="00193A03"/>
    <w:rsid w:val="00193EA6"/>
    <w:rsid w:val="0019440C"/>
    <w:rsid w:val="00194428"/>
    <w:rsid w:val="0019479F"/>
    <w:rsid w:val="00195362"/>
    <w:rsid w:val="001955CA"/>
    <w:rsid w:val="00195E8E"/>
    <w:rsid w:val="0019613A"/>
    <w:rsid w:val="00196C46"/>
    <w:rsid w:val="0019719C"/>
    <w:rsid w:val="00197334"/>
    <w:rsid w:val="00197C0E"/>
    <w:rsid w:val="001A3997"/>
    <w:rsid w:val="001A443C"/>
    <w:rsid w:val="001A5DBB"/>
    <w:rsid w:val="001A5F6C"/>
    <w:rsid w:val="001A64AD"/>
    <w:rsid w:val="001A68D7"/>
    <w:rsid w:val="001A6FF5"/>
    <w:rsid w:val="001A78BE"/>
    <w:rsid w:val="001A790A"/>
    <w:rsid w:val="001A7F5B"/>
    <w:rsid w:val="001B0A1A"/>
    <w:rsid w:val="001B2290"/>
    <w:rsid w:val="001B27B0"/>
    <w:rsid w:val="001B28D1"/>
    <w:rsid w:val="001B37D4"/>
    <w:rsid w:val="001B5072"/>
    <w:rsid w:val="001B549A"/>
    <w:rsid w:val="001B5D25"/>
    <w:rsid w:val="001B5F7C"/>
    <w:rsid w:val="001B6E22"/>
    <w:rsid w:val="001B78E9"/>
    <w:rsid w:val="001B7DEE"/>
    <w:rsid w:val="001B7FCF"/>
    <w:rsid w:val="001C0739"/>
    <w:rsid w:val="001C0985"/>
    <w:rsid w:val="001C1674"/>
    <w:rsid w:val="001C1A49"/>
    <w:rsid w:val="001C2781"/>
    <w:rsid w:val="001C28DB"/>
    <w:rsid w:val="001C2F84"/>
    <w:rsid w:val="001C345A"/>
    <w:rsid w:val="001C3D43"/>
    <w:rsid w:val="001C4745"/>
    <w:rsid w:val="001C49AE"/>
    <w:rsid w:val="001C50B1"/>
    <w:rsid w:val="001C5755"/>
    <w:rsid w:val="001C5F03"/>
    <w:rsid w:val="001C6A96"/>
    <w:rsid w:val="001C77A1"/>
    <w:rsid w:val="001D0B01"/>
    <w:rsid w:val="001D12D1"/>
    <w:rsid w:val="001D1CCD"/>
    <w:rsid w:val="001D1FBD"/>
    <w:rsid w:val="001D21FE"/>
    <w:rsid w:val="001D2652"/>
    <w:rsid w:val="001D2BD8"/>
    <w:rsid w:val="001D3181"/>
    <w:rsid w:val="001D36A8"/>
    <w:rsid w:val="001D36BA"/>
    <w:rsid w:val="001D37A6"/>
    <w:rsid w:val="001D404E"/>
    <w:rsid w:val="001D4200"/>
    <w:rsid w:val="001D4BDD"/>
    <w:rsid w:val="001D6332"/>
    <w:rsid w:val="001D73C2"/>
    <w:rsid w:val="001D7A4C"/>
    <w:rsid w:val="001E05AA"/>
    <w:rsid w:val="001E10F5"/>
    <w:rsid w:val="001E156A"/>
    <w:rsid w:val="001E1605"/>
    <w:rsid w:val="001E2C32"/>
    <w:rsid w:val="001E3583"/>
    <w:rsid w:val="001E42B7"/>
    <w:rsid w:val="001E4752"/>
    <w:rsid w:val="001E483C"/>
    <w:rsid w:val="001E4983"/>
    <w:rsid w:val="001E4B90"/>
    <w:rsid w:val="001E50E3"/>
    <w:rsid w:val="001E54FA"/>
    <w:rsid w:val="001E73A7"/>
    <w:rsid w:val="001E7E38"/>
    <w:rsid w:val="001F1513"/>
    <w:rsid w:val="001F19F5"/>
    <w:rsid w:val="001F1DA9"/>
    <w:rsid w:val="001F2588"/>
    <w:rsid w:val="001F31CA"/>
    <w:rsid w:val="001F38B9"/>
    <w:rsid w:val="001F3AF4"/>
    <w:rsid w:val="001F3B6B"/>
    <w:rsid w:val="001F3F65"/>
    <w:rsid w:val="001F4E7C"/>
    <w:rsid w:val="001F5775"/>
    <w:rsid w:val="001F5B86"/>
    <w:rsid w:val="001F6C73"/>
    <w:rsid w:val="001F740C"/>
    <w:rsid w:val="002000B6"/>
    <w:rsid w:val="002006AD"/>
    <w:rsid w:val="002015F9"/>
    <w:rsid w:val="00203CC6"/>
    <w:rsid w:val="0020491B"/>
    <w:rsid w:val="00204C9C"/>
    <w:rsid w:val="00204CFE"/>
    <w:rsid w:val="00204E02"/>
    <w:rsid w:val="00205158"/>
    <w:rsid w:val="00205BC4"/>
    <w:rsid w:val="00205D82"/>
    <w:rsid w:val="002062DE"/>
    <w:rsid w:val="00206487"/>
    <w:rsid w:val="002064A1"/>
    <w:rsid w:val="00206866"/>
    <w:rsid w:val="0021127A"/>
    <w:rsid w:val="002124A6"/>
    <w:rsid w:val="002128EC"/>
    <w:rsid w:val="00214702"/>
    <w:rsid w:val="00214AB4"/>
    <w:rsid w:val="00214DC1"/>
    <w:rsid w:val="002150CC"/>
    <w:rsid w:val="00215361"/>
    <w:rsid w:val="0021553B"/>
    <w:rsid w:val="00216246"/>
    <w:rsid w:val="00216F38"/>
    <w:rsid w:val="002219D0"/>
    <w:rsid w:val="00222395"/>
    <w:rsid w:val="00222461"/>
    <w:rsid w:val="002228F0"/>
    <w:rsid w:val="00222C50"/>
    <w:rsid w:val="00222FCB"/>
    <w:rsid w:val="00223028"/>
    <w:rsid w:val="00223E06"/>
    <w:rsid w:val="00223EAF"/>
    <w:rsid w:val="00223FC9"/>
    <w:rsid w:val="002247B1"/>
    <w:rsid w:val="002267FD"/>
    <w:rsid w:val="00227EE9"/>
    <w:rsid w:val="00227EFF"/>
    <w:rsid w:val="00230340"/>
    <w:rsid w:val="002309EE"/>
    <w:rsid w:val="00231630"/>
    <w:rsid w:val="002339DB"/>
    <w:rsid w:val="00233A54"/>
    <w:rsid w:val="002341D5"/>
    <w:rsid w:val="00234DFB"/>
    <w:rsid w:val="002353DC"/>
    <w:rsid w:val="00235866"/>
    <w:rsid w:val="00235D80"/>
    <w:rsid w:val="00236228"/>
    <w:rsid w:val="00236A1D"/>
    <w:rsid w:val="00237449"/>
    <w:rsid w:val="002377CE"/>
    <w:rsid w:val="0024042A"/>
    <w:rsid w:val="0024105D"/>
    <w:rsid w:val="00242432"/>
    <w:rsid w:val="00243292"/>
    <w:rsid w:val="002433DB"/>
    <w:rsid w:val="002434C4"/>
    <w:rsid w:val="00243720"/>
    <w:rsid w:val="00243D4F"/>
    <w:rsid w:val="00243E91"/>
    <w:rsid w:val="00244242"/>
    <w:rsid w:val="002449E0"/>
    <w:rsid w:val="00245E86"/>
    <w:rsid w:val="002462E6"/>
    <w:rsid w:val="0024797F"/>
    <w:rsid w:val="0025051B"/>
    <w:rsid w:val="00250E0E"/>
    <w:rsid w:val="00250E7A"/>
    <w:rsid w:val="002511A0"/>
    <w:rsid w:val="0025166D"/>
    <w:rsid w:val="00251DF1"/>
    <w:rsid w:val="002527DF"/>
    <w:rsid w:val="0025302B"/>
    <w:rsid w:val="0025388A"/>
    <w:rsid w:val="00253C12"/>
    <w:rsid w:val="00254661"/>
    <w:rsid w:val="00254C9A"/>
    <w:rsid w:val="002572CD"/>
    <w:rsid w:val="002575F1"/>
    <w:rsid w:val="00260AFC"/>
    <w:rsid w:val="00260E19"/>
    <w:rsid w:val="00260F41"/>
    <w:rsid w:val="0026162D"/>
    <w:rsid w:val="002619BE"/>
    <w:rsid w:val="00261E78"/>
    <w:rsid w:val="00261E93"/>
    <w:rsid w:val="0026212F"/>
    <w:rsid w:val="0026348E"/>
    <w:rsid w:val="00263D24"/>
    <w:rsid w:val="002642A4"/>
    <w:rsid w:val="002644CA"/>
    <w:rsid w:val="002658CC"/>
    <w:rsid w:val="00265A1D"/>
    <w:rsid w:val="00265BC4"/>
    <w:rsid w:val="002660BC"/>
    <w:rsid w:val="002662C8"/>
    <w:rsid w:val="002665FC"/>
    <w:rsid w:val="002666B7"/>
    <w:rsid w:val="002669EA"/>
    <w:rsid w:val="00266E69"/>
    <w:rsid w:val="0026753C"/>
    <w:rsid w:val="00267744"/>
    <w:rsid w:val="00267D72"/>
    <w:rsid w:val="00270D5B"/>
    <w:rsid w:val="0027139C"/>
    <w:rsid w:val="0027140E"/>
    <w:rsid w:val="002723C8"/>
    <w:rsid w:val="00272DF2"/>
    <w:rsid w:val="00273542"/>
    <w:rsid w:val="00273E72"/>
    <w:rsid w:val="00274817"/>
    <w:rsid w:val="00275111"/>
    <w:rsid w:val="002753BD"/>
    <w:rsid w:val="002769A3"/>
    <w:rsid w:val="00276C8A"/>
    <w:rsid w:val="00276D44"/>
    <w:rsid w:val="00277816"/>
    <w:rsid w:val="00280D14"/>
    <w:rsid w:val="00281208"/>
    <w:rsid w:val="00282366"/>
    <w:rsid w:val="002836BD"/>
    <w:rsid w:val="00283939"/>
    <w:rsid w:val="00284F7B"/>
    <w:rsid w:val="00285078"/>
    <w:rsid w:val="002851F6"/>
    <w:rsid w:val="00285D12"/>
    <w:rsid w:val="00286967"/>
    <w:rsid w:val="00287CAD"/>
    <w:rsid w:val="0029021D"/>
    <w:rsid w:val="00290597"/>
    <w:rsid w:val="00290BDC"/>
    <w:rsid w:val="00290E56"/>
    <w:rsid w:val="00291955"/>
    <w:rsid w:val="002929CC"/>
    <w:rsid w:val="00293EEF"/>
    <w:rsid w:val="00293F84"/>
    <w:rsid w:val="0029478B"/>
    <w:rsid w:val="0029543F"/>
    <w:rsid w:val="00295ABF"/>
    <w:rsid w:val="00295D19"/>
    <w:rsid w:val="00296A75"/>
    <w:rsid w:val="00297267"/>
    <w:rsid w:val="002A0533"/>
    <w:rsid w:val="002A05DB"/>
    <w:rsid w:val="002A0838"/>
    <w:rsid w:val="002A136F"/>
    <w:rsid w:val="002A2407"/>
    <w:rsid w:val="002A48DD"/>
    <w:rsid w:val="002A65CE"/>
    <w:rsid w:val="002A6BE7"/>
    <w:rsid w:val="002A6F84"/>
    <w:rsid w:val="002A7B90"/>
    <w:rsid w:val="002A7D1F"/>
    <w:rsid w:val="002B0079"/>
    <w:rsid w:val="002B0A8F"/>
    <w:rsid w:val="002B0C31"/>
    <w:rsid w:val="002B0D32"/>
    <w:rsid w:val="002B1627"/>
    <w:rsid w:val="002B1EF8"/>
    <w:rsid w:val="002B2D71"/>
    <w:rsid w:val="002B5119"/>
    <w:rsid w:val="002B5146"/>
    <w:rsid w:val="002B60EF"/>
    <w:rsid w:val="002B749F"/>
    <w:rsid w:val="002B7BE9"/>
    <w:rsid w:val="002C0824"/>
    <w:rsid w:val="002C09FC"/>
    <w:rsid w:val="002C1FBF"/>
    <w:rsid w:val="002C283B"/>
    <w:rsid w:val="002C33EB"/>
    <w:rsid w:val="002C4B39"/>
    <w:rsid w:val="002C536D"/>
    <w:rsid w:val="002C5B95"/>
    <w:rsid w:val="002C6986"/>
    <w:rsid w:val="002C7E90"/>
    <w:rsid w:val="002D1731"/>
    <w:rsid w:val="002D23CF"/>
    <w:rsid w:val="002D36F2"/>
    <w:rsid w:val="002D3CFE"/>
    <w:rsid w:val="002D444C"/>
    <w:rsid w:val="002D4E6C"/>
    <w:rsid w:val="002D51C3"/>
    <w:rsid w:val="002D5564"/>
    <w:rsid w:val="002D5A7A"/>
    <w:rsid w:val="002D5C2F"/>
    <w:rsid w:val="002D66A7"/>
    <w:rsid w:val="002D71DF"/>
    <w:rsid w:val="002D7641"/>
    <w:rsid w:val="002D7C37"/>
    <w:rsid w:val="002E012D"/>
    <w:rsid w:val="002E047B"/>
    <w:rsid w:val="002E1138"/>
    <w:rsid w:val="002E17EF"/>
    <w:rsid w:val="002E24A7"/>
    <w:rsid w:val="002E37B6"/>
    <w:rsid w:val="002E3E87"/>
    <w:rsid w:val="002E3F28"/>
    <w:rsid w:val="002E41D0"/>
    <w:rsid w:val="002E450F"/>
    <w:rsid w:val="002E46EA"/>
    <w:rsid w:val="002E5927"/>
    <w:rsid w:val="002E593F"/>
    <w:rsid w:val="002E5D1A"/>
    <w:rsid w:val="002E5DEA"/>
    <w:rsid w:val="002E686B"/>
    <w:rsid w:val="002E7AB9"/>
    <w:rsid w:val="002F0AFE"/>
    <w:rsid w:val="002F0C3A"/>
    <w:rsid w:val="002F1F0F"/>
    <w:rsid w:val="002F28A7"/>
    <w:rsid w:val="002F2BEA"/>
    <w:rsid w:val="002F2C21"/>
    <w:rsid w:val="002F35BA"/>
    <w:rsid w:val="002F3DB0"/>
    <w:rsid w:val="002F4A0F"/>
    <w:rsid w:val="002F4B1C"/>
    <w:rsid w:val="002F4F82"/>
    <w:rsid w:val="002F59FB"/>
    <w:rsid w:val="002F6AB7"/>
    <w:rsid w:val="002F6F33"/>
    <w:rsid w:val="002F7283"/>
    <w:rsid w:val="002F72D0"/>
    <w:rsid w:val="0030020E"/>
    <w:rsid w:val="00300376"/>
    <w:rsid w:val="003006B4"/>
    <w:rsid w:val="00300A0B"/>
    <w:rsid w:val="003020A5"/>
    <w:rsid w:val="00303475"/>
    <w:rsid w:val="0030387B"/>
    <w:rsid w:val="00303CD4"/>
    <w:rsid w:val="00303E7E"/>
    <w:rsid w:val="00304E76"/>
    <w:rsid w:val="003058BB"/>
    <w:rsid w:val="003066C9"/>
    <w:rsid w:val="003070C2"/>
    <w:rsid w:val="00307A1D"/>
    <w:rsid w:val="00307E14"/>
    <w:rsid w:val="00311451"/>
    <w:rsid w:val="00311AE4"/>
    <w:rsid w:val="00311D79"/>
    <w:rsid w:val="00311E22"/>
    <w:rsid w:val="00312064"/>
    <w:rsid w:val="0031225F"/>
    <w:rsid w:val="00312ADB"/>
    <w:rsid w:val="00313D97"/>
    <w:rsid w:val="0031408A"/>
    <w:rsid w:val="00314373"/>
    <w:rsid w:val="00315135"/>
    <w:rsid w:val="0031534E"/>
    <w:rsid w:val="003153AA"/>
    <w:rsid w:val="00315558"/>
    <w:rsid w:val="00315C11"/>
    <w:rsid w:val="00316175"/>
    <w:rsid w:val="00316F51"/>
    <w:rsid w:val="003170E1"/>
    <w:rsid w:val="0031787C"/>
    <w:rsid w:val="00317BBD"/>
    <w:rsid w:val="00317C0F"/>
    <w:rsid w:val="00320517"/>
    <w:rsid w:val="00321278"/>
    <w:rsid w:val="0032146B"/>
    <w:rsid w:val="0032297F"/>
    <w:rsid w:val="00322D0E"/>
    <w:rsid w:val="00322E5A"/>
    <w:rsid w:val="0032348E"/>
    <w:rsid w:val="003240FB"/>
    <w:rsid w:val="003241A2"/>
    <w:rsid w:val="003244C3"/>
    <w:rsid w:val="00326083"/>
    <w:rsid w:val="00326107"/>
    <w:rsid w:val="003261C1"/>
    <w:rsid w:val="00326496"/>
    <w:rsid w:val="00326777"/>
    <w:rsid w:val="00326C51"/>
    <w:rsid w:val="003272C2"/>
    <w:rsid w:val="00327705"/>
    <w:rsid w:val="00327D26"/>
    <w:rsid w:val="003300EF"/>
    <w:rsid w:val="00331760"/>
    <w:rsid w:val="003318C2"/>
    <w:rsid w:val="00331F61"/>
    <w:rsid w:val="0033223D"/>
    <w:rsid w:val="0033252B"/>
    <w:rsid w:val="003339D2"/>
    <w:rsid w:val="00333BE7"/>
    <w:rsid w:val="00333D92"/>
    <w:rsid w:val="0033499D"/>
    <w:rsid w:val="00335407"/>
    <w:rsid w:val="0033710F"/>
    <w:rsid w:val="0034075C"/>
    <w:rsid w:val="00340BF4"/>
    <w:rsid w:val="0034169C"/>
    <w:rsid w:val="00342A0B"/>
    <w:rsid w:val="00343B0E"/>
    <w:rsid w:val="00343B2F"/>
    <w:rsid w:val="00343E14"/>
    <w:rsid w:val="0034468A"/>
    <w:rsid w:val="00344B81"/>
    <w:rsid w:val="0034582E"/>
    <w:rsid w:val="003463C4"/>
    <w:rsid w:val="00346C07"/>
    <w:rsid w:val="0034782E"/>
    <w:rsid w:val="00347B4E"/>
    <w:rsid w:val="00347D12"/>
    <w:rsid w:val="00347FE0"/>
    <w:rsid w:val="003504FA"/>
    <w:rsid w:val="00351514"/>
    <w:rsid w:val="00351693"/>
    <w:rsid w:val="00351797"/>
    <w:rsid w:val="003519DE"/>
    <w:rsid w:val="003522B5"/>
    <w:rsid w:val="00352A20"/>
    <w:rsid w:val="0035415C"/>
    <w:rsid w:val="00356A6C"/>
    <w:rsid w:val="00356DDF"/>
    <w:rsid w:val="00356E78"/>
    <w:rsid w:val="003576FA"/>
    <w:rsid w:val="0036032C"/>
    <w:rsid w:val="003611C0"/>
    <w:rsid w:val="00361D15"/>
    <w:rsid w:val="00361FD9"/>
    <w:rsid w:val="0036234E"/>
    <w:rsid w:val="003628FC"/>
    <w:rsid w:val="00362969"/>
    <w:rsid w:val="00363456"/>
    <w:rsid w:val="00363FC6"/>
    <w:rsid w:val="0036456B"/>
    <w:rsid w:val="0036473B"/>
    <w:rsid w:val="00365258"/>
    <w:rsid w:val="00365884"/>
    <w:rsid w:val="00366705"/>
    <w:rsid w:val="00367787"/>
    <w:rsid w:val="00367BE9"/>
    <w:rsid w:val="00367D8C"/>
    <w:rsid w:val="00371380"/>
    <w:rsid w:val="003713C8"/>
    <w:rsid w:val="00371A86"/>
    <w:rsid w:val="003725C6"/>
    <w:rsid w:val="003731AC"/>
    <w:rsid w:val="0037384D"/>
    <w:rsid w:val="0037389B"/>
    <w:rsid w:val="003739E1"/>
    <w:rsid w:val="00374983"/>
    <w:rsid w:val="00374EBA"/>
    <w:rsid w:val="00377079"/>
    <w:rsid w:val="003772D7"/>
    <w:rsid w:val="003774A5"/>
    <w:rsid w:val="003776F6"/>
    <w:rsid w:val="0037774F"/>
    <w:rsid w:val="003777BC"/>
    <w:rsid w:val="00377CD1"/>
    <w:rsid w:val="00380D26"/>
    <w:rsid w:val="003817C1"/>
    <w:rsid w:val="0038343F"/>
    <w:rsid w:val="00384442"/>
    <w:rsid w:val="00385364"/>
    <w:rsid w:val="0038682B"/>
    <w:rsid w:val="00386992"/>
    <w:rsid w:val="00386AE5"/>
    <w:rsid w:val="00387BF3"/>
    <w:rsid w:val="00387DCC"/>
    <w:rsid w:val="0039059B"/>
    <w:rsid w:val="0039183A"/>
    <w:rsid w:val="0039282C"/>
    <w:rsid w:val="0039312E"/>
    <w:rsid w:val="0039326A"/>
    <w:rsid w:val="003933E7"/>
    <w:rsid w:val="00393DD1"/>
    <w:rsid w:val="0039431B"/>
    <w:rsid w:val="0039447A"/>
    <w:rsid w:val="0039494A"/>
    <w:rsid w:val="0039494F"/>
    <w:rsid w:val="00395164"/>
    <w:rsid w:val="0039585B"/>
    <w:rsid w:val="00396085"/>
    <w:rsid w:val="00396284"/>
    <w:rsid w:val="0039727C"/>
    <w:rsid w:val="003A036B"/>
    <w:rsid w:val="003A03E9"/>
    <w:rsid w:val="003A0410"/>
    <w:rsid w:val="003A0F30"/>
    <w:rsid w:val="003A1AA1"/>
    <w:rsid w:val="003A2D7A"/>
    <w:rsid w:val="003A3093"/>
    <w:rsid w:val="003A34C1"/>
    <w:rsid w:val="003A35A1"/>
    <w:rsid w:val="003A5896"/>
    <w:rsid w:val="003A77AB"/>
    <w:rsid w:val="003B05C7"/>
    <w:rsid w:val="003B1E97"/>
    <w:rsid w:val="003B1F81"/>
    <w:rsid w:val="003B2E8E"/>
    <w:rsid w:val="003B3127"/>
    <w:rsid w:val="003B32BA"/>
    <w:rsid w:val="003B32CA"/>
    <w:rsid w:val="003B32FB"/>
    <w:rsid w:val="003B3B61"/>
    <w:rsid w:val="003B4022"/>
    <w:rsid w:val="003B69F4"/>
    <w:rsid w:val="003B717B"/>
    <w:rsid w:val="003C04D5"/>
    <w:rsid w:val="003C0D40"/>
    <w:rsid w:val="003C183D"/>
    <w:rsid w:val="003C2559"/>
    <w:rsid w:val="003C353C"/>
    <w:rsid w:val="003C3A3A"/>
    <w:rsid w:val="003C6934"/>
    <w:rsid w:val="003C6DE1"/>
    <w:rsid w:val="003C74C7"/>
    <w:rsid w:val="003C78E5"/>
    <w:rsid w:val="003D0211"/>
    <w:rsid w:val="003D0FBF"/>
    <w:rsid w:val="003D1600"/>
    <w:rsid w:val="003D1863"/>
    <w:rsid w:val="003D219E"/>
    <w:rsid w:val="003D3650"/>
    <w:rsid w:val="003D3A49"/>
    <w:rsid w:val="003D42AB"/>
    <w:rsid w:val="003D65FE"/>
    <w:rsid w:val="003D6D1B"/>
    <w:rsid w:val="003E0138"/>
    <w:rsid w:val="003E1BD9"/>
    <w:rsid w:val="003E2289"/>
    <w:rsid w:val="003E2454"/>
    <w:rsid w:val="003E29A9"/>
    <w:rsid w:val="003E3AA3"/>
    <w:rsid w:val="003E3BF1"/>
    <w:rsid w:val="003E4415"/>
    <w:rsid w:val="003E5017"/>
    <w:rsid w:val="003E506C"/>
    <w:rsid w:val="003E6A7F"/>
    <w:rsid w:val="003E6E9F"/>
    <w:rsid w:val="003E7701"/>
    <w:rsid w:val="003E7E24"/>
    <w:rsid w:val="003F0B5E"/>
    <w:rsid w:val="003F0EB8"/>
    <w:rsid w:val="003F1743"/>
    <w:rsid w:val="003F2979"/>
    <w:rsid w:val="003F2A72"/>
    <w:rsid w:val="003F3559"/>
    <w:rsid w:val="003F3887"/>
    <w:rsid w:val="003F4446"/>
    <w:rsid w:val="003F459A"/>
    <w:rsid w:val="003F4F44"/>
    <w:rsid w:val="003F6011"/>
    <w:rsid w:val="003F6669"/>
    <w:rsid w:val="003F674E"/>
    <w:rsid w:val="003F6AC2"/>
    <w:rsid w:val="003F6B88"/>
    <w:rsid w:val="003F75BC"/>
    <w:rsid w:val="003F7C18"/>
    <w:rsid w:val="00400835"/>
    <w:rsid w:val="0040096A"/>
    <w:rsid w:val="004009EA"/>
    <w:rsid w:val="00400EDC"/>
    <w:rsid w:val="0040106C"/>
    <w:rsid w:val="004012D5"/>
    <w:rsid w:val="00402C7B"/>
    <w:rsid w:val="00402D5A"/>
    <w:rsid w:val="00404247"/>
    <w:rsid w:val="004045B5"/>
    <w:rsid w:val="00404DBD"/>
    <w:rsid w:val="00405F50"/>
    <w:rsid w:val="00407B0B"/>
    <w:rsid w:val="00407CC0"/>
    <w:rsid w:val="00412E0C"/>
    <w:rsid w:val="00413EFC"/>
    <w:rsid w:val="00414048"/>
    <w:rsid w:val="00415D36"/>
    <w:rsid w:val="0041631E"/>
    <w:rsid w:val="00417052"/>
    <w:rsid w:val="004201F3"/>
    <w:rsid w:val="00420857"/>
    <w:rsid w:val="00420BC5"/>
    <w:rsid w:val="00420E3B"/>
    <w:rsid w:val="0042102F"/>
    <w:rsid w:val="00422DE0"/>
    <w:rsid w:val="00423878"/>
    <w:rsid w:val="00424287"/>
    <w:rsid w:val="004245FE"/>
    <w:rsid w:val="00425FF7"/>
    <w:rsid w:val="004260EF"/>
    <w:rsid w:val="00426BDC"/>
    <w:rsid w:val="00426F32"/>
    <w:rsid w:val="0042707B"/>
    <w:rsid w:val="00427BD8"/>
    <w:rsid w:val="00430F60"/>
    <w:rsid w:val="00431036"/>
    <w:rsid w:val="00431608"/>
    <w:rsid w:val="00433AE7"/>
    <w:rsid w:val="00434C50"/>
    <w:rsid w:val="0043500A"/>
    <w:rsid w:val="004358FD"/>
    <w:rsid w:val="004359FF"/>
    <w:rsid w:val="00435A77"/>
    <w:rsid w:val="00435DB6"/>
    <w:rsid w:val="00436BB8"/>
    <w:rsid w:val="00436C9D"/>
    <w:rsid w:val="00436F88"/>
    <w:rsid w:val="004376CD"/>
    <w:rsid w:val="00440655"/>
    <w:rsid w:val="0044085E"/>
    <w:rsid w:val="0044144F"/>
    <w:rsid w:val="0044173D"/>
    <w:rsid w:val="0044222C"/>
    <w:rsid w:val="00442560"/>
    <w:rsid w:val="00442E6E"/>
    <w:rsid w:val="00444528"/>
    <w:rsid w:val="00444B86"/>
    <w:rsid w:val="00445A7A"/>
    <w:rsid w:val="00446E75"/>
    <w:rsid w:val="00447566"/>
    <w:rsid w:val="00450BE8"/>
    <w:rsid w:val="00451501"/>
    <w:rsid w:val="00451890"/>
    <w:rsid w:val="00451D9B"/>
    <w:rsid w:val="00452229"/>
    <w:rsid w:val="00452FFB"/>
    <w:rsid w:val="00453778"/>
    <w:rsid w:val="004542B8"/>
    <w:rsid w:val="00454D3E"/>
    <w:rsid w:val="00455CB3"/>
    <w:rsid w:val="004573F3"/>
    <w:rsid w:val="00457ACC"/>
    <w:rsid w:val="004601BF"/>
    <w:rsid w:val="00460D12"/>
    <w:rsid w:val="00462000"/>
    <w:rsid w:val="00462157"/>
    <w:rsid w:val="0046284B"/>
    <w:rsid w:val="004629E4"/>
    <w:rsid w:val="00462B0E"/>
    <w:rsid w:val="00462E31"/>
    <w:rsid w:val="00463117"/>
    <w:rsid w:val="004637AE"/>
    <w:rsid w:val="00463C38"/>
    <w:rsid w:val="0046440D"/>
    <w:rsid w:val="00464FE9"/>
    <w:rsid w:val="0046559C"/>
    <w:rsid w:val="004656B8"/>
    <w:rsid w:val="00465DE3"/>
    <w:rsid w:val="004664CC"/>
    <w:rsid w:val="00466541"/>
    <w:rsid w:val="004665A7"/>
    <w:rsid w:val="00467FDE"/>
    <w:rsid w:val="00470C44"/>
    <w:rsid w:val="00470EFE"/>
    <w:rsid w:val="00471041"/>
    <w:rsid w:val="00471351"/>
    <w:rsid w:val="00472EF7"/>
    <w:rsid w:val="004736C3"/>
    <w:rsid w:val="00473C85"/>
    <w:rsid w:val="00473CB1"/>
    <w:rsid w:val="00473CF8"/>
    <w:rsid w:val="00473D72"/>
    <w:rsid w:val="0047418C"/>
    <w:rsid w:val="0047419E"/>
    <w:rsid w:val="0047449A"/>
    <w:rsid w:val="004748B2"/>
    <w:rsid w:val="0047568C"/>
    <w:rsid w:val="00475CA8"/>
    <w:rsid w:val="004762DA"/>
    <w:rsid w:val="004810D5"/>
    <w:rsid w:val="00481760"/>
    <w:rsid w:val="00483980"/>
    <w:rsid w:val="00483B48"/>
    <w:rsid w:val="00483E03"/>
    <w:rsid w:val="00483F7C"/>
    <w:rsid w:val="004840C2"/>
    <w:rsid w:val="004845A7"/>
    <w:rsid w:val="00484959"/>
    <w:rsid w:val="004851EA"/>
    <w:rsid w:val="004857FC"/>
    <w:rsid w:val="00486B6F"/>
    <w:rsid w:val="004871E7"/>
    <w:rsid w:val="004900AB"/>
    <w:rsid w:val="00490273"/>
    <w:rsid w:val="004906D9"/>
    <w:rsid w:val="0049164C"/>
    <w:rsid w:val="004919E5"/>
    <w:rsid w:val="004938AD"/>
    <w:rsid w:val="0049422B"/>
    <w:rsid w:val="004943A8"/>
    <w:rsid w:val="00494FDA"/>
    <w:rsid w:val="00496263"/>
    <w:rsid w:val="00496B9D"/>
    <w:rsid w:val="00496DD2"/>
    <w:rsid w:val="00497E46"/>
    <w:rsid w:val="004A205B"/>
    <w:rsid w:val="004A219D"/>
    <w:rsid w:val="004A248E"/>
    <w:rsid w:val="004A25EB"/>
    <w:rsid w:val="004A2AB4"/>
    <w:rsid w:val="004A2E58"/>
    <w:rsid w:val="004A2EB8"/>
    <w:rsid w:val="004A427D"/>
    <w:rsid w:val="004A4733"/>
    <w:rsid w:val="004A4ADC"/>
    <w:rsid w:val="004A5023"/>
    <w:rsid w:val="004A56F8"/>
    <w:rsid w:val="004A69A6"/>
    <w:rsid w:val="004A6FAE"/>
    <w:rsid w:val="004A7A03"/>
    <w:rsid w:val="004B07DA"/>
    <w:rsid w:val="004B0F48"/>
    <w:rsid w:val="004B24D0"/>
    <w:rsid w:val="004B360E"/>
    <w:rsid w:val="004B3713"/>
    <w:rsid w:val="004B3B8D"/>
    <w:rsid w:val="004B3F3F"/>
    <w:rsid w:val="004B4092"/>
    <w:rsid w:val="004B4816"/>
    <w:rsid w:val="004B4C8C"/>
    <w:rsid w:val="004B4FC8"/>
    <w:rsid w:val="004B50A9"/>
    <w:rsid w:val="004B58C6"/>
    <w:rsid w:val="004B5994"/>
    <w:rsid w:val="004B6268"/>
    <w:rsid w:val="004B6740"/>
    <w:rsid w:val="004B6B04"/>
    <w:rsid w:val="004B6C86"/>
    <w:rsid w:val="004B6E4A"/>
    <w:rsid w:val="004B7514"/>
    <w:rsid w:val="004B76F7"/>
    <w:rsid w:val="004B79CF"/>
    <w:rsid w:val="004B7B24"/>
    <w:rsid w:val="004C14C3"/>
    <w:rsid w:val="004C188F"/>
    <w:rsid w:val="004C1BE3"/>
    <w:rsid w:val="004C27EE"/>
    <w:rsid w:val="004C2D37"/>
    <w:rsid w:val="004C37A6"/>
    <w:rsid w:val="004C3C81"/>
    <w:rsid w:val="004C3D7E"/>
    <w:rsid w:val="004C3F60"/>
    <w:rsid w:val="004C42A2"/>
    <w:rsid w:val="004C43E8"/>
    <w:rsid w:val="004C4CA8"/>
    <w:rsid w:val="004C4D7D"/>
    <w:rsid w:val="004C4D9F"/>
    <w:rsid w:val="004C5A3F"/>
    <w:rsid w:val="004C60DB"/>
    <w:rsid w:val="004C6AFF"/>
    <w:rsid w:val="004C6B82"/>
    <w:rsid w:val="004C71E5"/>
    <w:rsid w:val="004C7794"/>
    <w:rsid w:val="004D02DF"/>
    <w:rsid w:val="004D0737"/>
    <w:rsid w:val="004D101C"/>
    <w:rsid w:val="004D1543"/>
    <w:rsid w:val="004D1D7E"/>
    <w:rsid w:val="004D379D"/>
    <w:rsid w:val="004D3EFE"/>
    <w:rsid w:val="004D4108"/>
    <w:rsid w:val="004D436C"/>
    <w:rsid w:val="004D471C"/>
    <w:rsid w:val="004D4725"/>
    <w:rsid w:val="004D4A4B"/>
    <w:rsid w:val="004D579E"/>
    <w:rsid w:val="004D6DD6"/>
    <w:rsid w:val="004D76BC"/>
    <w:rsid w:val="004D7A0A"/>
    <w:rsid w:val="004E059E"/>
    <w:rsid w:val="004E1C24"/>
    <w:rsid w:val="004E276C"/>
    <w:rsid w:val="004E4F9B"/>
    <w:rsid w:val="004E65A0"/>
    <w:rsid w:val="004E6738"/>
    <w:rsid w:val="004E6E4A"/>
    <w:rsid w:val="004F07D5"/>
    <w:rsid w:val="004F0EDA"/>
    <w:rsid w:val="004F1393"/>
    <w:rsid w:val="004F1B89"/>
    <w:rsid w:val="004F2076"/>
    <w:rsid w:val="004F2150"/>
    <w:rsid w:val="004F252F"/>
    <w:rsid w:val="004F276B"/>
    <w:rsid w:val="004F27EC"/>
    <w:rsid w:val="004F2ED8"/>
    <w:rsid w:val="004F3652"/>
    <w:rsid w:val="004F3978"/>
    <w:rsid w:val="004F40BC"/>
    <w:rsid w:val="004F431C"/>
    <w:rsid w:val="004F4680"/>
    <w:rsid w:val="004F4787"/>
    <w:rsid w:val="004F50F5"/>
    <w:rsid w:val="004F5246"/>
    <w:rsid w:val="004F53D9"/>
    <w:rsid w:val="004F696E"/>
    <w:rsid w:val="004F6A4F"/>
    <w:rsid w:val="004F7309"/>
    <w:rsid w:val="004F73C8"/>
    <w:rsid w:val="004F74B1"/>
    <w:rsid w:val="004F7691"/>
    <w:rsid w:val="004F7996"/>
    <w:rsid w:val="004F7DD3"/>
    <w:rsid w:val="004F7F5B"/>
    <w:rsid w:val="005008EF"/>
    <w:rsid w:val="005031AE"/>
    <w:rsid w:val="0050343F"/>
    <w:rsid w:val="005036F4"/>
    <w:rsid w:val="005045BE"/>
    <w:rsid w:val="005051E1"/>
    <w:rsid w:val="00505697"/>
    <w:rsid w:val="0050589D"/>
    <w:rsid w:val="00506CE7"/>
    <w:rsid w:val="00507096"/>
    <w:rsid w:val="0050778C"/>
    <w:rsid w:val="00507A6C"/>
    <w:rsid w:val="00507DB6"/>
    <w:rsid w:val="00510CCD"/>
    <w:rsid w:val="00510DB0"/>
    <w:rsid w:val="005113E5"/>
    <w:rsid w:val="00512960"/>
    <w:rsid w:val="00512F6B"/>
    <w:rsid w:val="00514850"/>
    <w:rsid w:val="00515B3B"/>
    <w:rsid w:val="00515B68"/>
    <w:rsid w:val="00515CB6"/>
    <w:rsid w:val="00515D3F"/>
    <w:rsid w:val="00516458"/>
    <w:rsid w:val="00516FF3"/>
    <w:rsid w:val="00517D93"/>
    <w:rsid w:val="00521D97"/>
    <w:rsid w:val="005221F9"/>
    <w:rsid w:val="00522983"/>
    <w:rsid w:val="005230F3"/>
    <w:rsid w:val="00523498"/>
    <w:rsid w:val="0052377E"/>
    <w:rsid w:val="00524AB8"/>
    <w:rsid w:val="0052531C"/>
    <w:rsid w:val="00527F6A"/>
    <w:rsid w:val="00530F44"/>
    <w:rsid w:val="00531050"/>
    <w:rsid w:val="005317FA"/>
    <w:rsid w:val="005319BA"/>
    <w:rsid w:val="005324F9"/>
    <w:rsid w:val="00533621"/>
    <w:rsid w:val="00533BEA"/>
    <w:rsid w:val="00535933"/>
    <w:rsid w:val="00536C48"/>
    <w:rsid w:val="00540AD7"/>
    <w:rsid w:val="00541753"/>
    <w:rsid w:val="00541CCC"/>
    <w:rsid w:val="00541D44"/>
    <w:rsid w:val="0054203D"/>
    <w:rsid w:val="00542906"/>
    <w:rsid w:val="00543570"/>
    <w:rsid w:val="005437AD"/>
    <w:rsid w:val="00543924"/>
    <w:rsid w:val="00544FDD"/>
    <w:rsid w:val="00545153"/>
    <w:rsid w:val="00545A4D"/>
    <w:rsid w:val="005474AF"/>
    <w:rsid w:val="0055079F"/>
    <w:rsid w:val="00550A3A"/>
    <w:rsid w:val="00550AA3"/>
    <w:rsid w:val="00550BA2"/>
    <w:rsid w:val="005524F6"/>
    <w:rsid w:val="005531AB"/>
    <w:rsid w:val="00554258"/>
    <w:rsid w:val="00554C01"/>
    <w:rsid w:val="00554E4A"/>
    <w:rsid w:val="00556818"/>
    <w:rsid w:val="0055771B"/>
    <w:rsid w:val="00560114"/>
    <w:rsid w:val="005603EA"/>
    <w:rsid w:val="005611AD"/>
    <w:rsid w:val="00561B3E"/>
    <w:rsid w:val="00562517"/>
    <w:rsid w:val="00562DCF"/>
    <w:rsid w:val="00562E0A"/>
    <w:rsid w:val="00563556"/>
    <w:rsid w:val="00563AF2"/>
    <w:rsid w:val="005642B8"/>
    <w:rsid w:val="0056495D"/>
    <w:rsid w:val="00566519"/>
    <w:rsid w:val="0056657E"/>
    <w:rsid w:val="00566AFF"/>
    <w:rsid w:val="00567BFA"/>
    <w:rsid w:val="00573012"/>
    <w:rsid w:val="0057470E"/>
    <w:rsid w:val="00574D29"/>
    <w:rsid w:val="00575972"/>
    <w:rsid w:val="00577F89"/>
    <w:rsid w:val="00577FD4"/>
    <w:rsid w:val="00580470"/>
    <w:rsid w:val="00580F9A"/>
    <w:rsid w:val="005816D8"/>
    <w:rsid w:val="005817B6"/>
    <w:rsid w:val="005818E2"/>
    <w:rsid w:val="00581A75"/>
    <w:rsid w:val="00581DE5"/>
    <w:rsid w:val="005823AA"/>
    <w:rsid w:val="00583413"/>
    <w:rsid w:val="0058389D"/>
    <w:rsid w:val="00583E01"/>
    <w:rsid w:val="00584735"/>
    <w:rsid w:val="00585962"/>
    <w:rsid w:val="0058640B"/>
    <w:rsid w:val="0058677E"/>
    <w:rsid w:val="00586F7A"/>
    <w:rsid w:val="00587E3D"/>
    <w:rsid w:val="00587F78"/>
    <w:rsid w:val="0059124A"/>
    <w:rsid w:val="00591A3B"/>
    <w:rsid w:val="00592339"/>
    <w:rsid w:val="005925F4"/>
    <w:rsid w:val="0059440B"/>
    <w:rsid w:val="00594884"/>
    <w:rsid w:val="00594BF4"/>
    <w:rsid w:val="00594CBB"/>
    <w:rsid w:val="00594EAE"/>
    <w:rsid w:val="0059523E"/>
    <w:rsid w:val="0059560F"/>
    <w:rsid w:val="00596318"/>
    <w:rsid w:val="00596BE2"/>
    <w:rsid w:val="00596D1A"/>
    <w:rsid w:val="005A06DB"/>
    <w:rsid w:val="005A14CF"/>
    <w:rsid w:val="005A2037"/>
    <w:rsid w:val="005A241E"/>
    <w:rsid w:val="005A3930"/>
    <w:rsid w:val="005A3B0B"/>
    <w:rsid w:val="005A40AF"/>
    <w:rsid w:val="005A5539"/>
    <w:rsid w:val="005A59C2"/>
    <w:rsid w:val="005A5DAE"/>
    <w:rsid w:val="005A62CC"/>
    <w:rsid w:val="005A6490"/>
    <w:rsid w:val="005A798B"/>
    <w:rsid w:val="005A7AE2"/>
    <w:rsid w:val="005B0151"/>
    <w:rsid w:val="005B0A12"/>
    <w:rsid w:val="005B0F41"/>
    <w:rsid w:val="005B16F8"/>
    <w:rsid w:val="005B183A"/>
    <w:rsid w:val="005B1FC4"/>
    <w:rsid w:val="005B24F7"/>
    <w:rsid w:val="005B2F22"/>
    <w:rsid w:val="005B30B5"/>
    <w:rsid w:val="005B35EC"/>
    <w:rsid w:val="005B3F5E"/>
    <w:rsid w:val="005B4E94"/>
    <w:rsid w:val="005B502B"/>
    <w:rsid w:val="005B50D3"/>
    <w:rsid w:val="005B5F2B"/>
    <w:rsid w:val="005B60B8"/>
    <w:rsid w:val="005B6B17"/>
    <w:rsid w:val="005B6D8C"/>
    <w:rsid w:val="005B7923"/>
    <w:rsid w:val="005B7F18"/>
    <w:rsid w:val="005B7F4F"/>
    <w:rsid w:val="005C0526"/>
    <w:rsid w:val="005C053C"/>
    <w:rsid w:val="005C0982"/>
    <w:rsid w:val="005C0AB6"/>
    <w:rsid w:val="005C10B7"/>
    <w:rsid w:val="005C2637"/>
    <w:rsid w:val="005C2C66"/>
    <w:rsid w:val="005C2E45"/>
    <w:rsid w:val="005C3869"/>
    <w:rsid w:val="005C38A4"/>
    <w:rsid w:val="005C4F55"/>
    <w:rsid w:val="005C58F2"/>
    <w:rsid w:val="005C6726"/>
    <w:rsid w:val="005C6901"/>
    <w:rsid w:val="005C6A0A"/>
    <w:rsid w:val="005C6FC8"/>
    <w:rsid w:val="005C71C8"/>
    <w:rsid w:val="005D038D"/>
    <w:rsid w:val="005D14BF"/>
    <w:rsid w:val="005D1910"/>
    <w:rsid w:val="005D24D5"/>
    <w:rsid w:val="005D3248"/>
    <w:rsid w:val="005D344E"/>
    <w:rsid w:val="005D46C1"/>
    <w:rsid w:val="005D5C9C"/>
    <w:rsid w:val="005D5F1D"/>
    <w:rsid w:val="005D6BA8"/>
    <w:rsid w:val="005D7793"/>
    <w:rsid w:val="005D7A29"/>
    <w:rsid w:val="005E03C5"/>
    <w:rsid w:val="005E062B"/>
    <w:rsid w:val="005E1779"/>
    <w:rsid w:val="005E1782"/>
    <w:rsid w:val="005E1930"/>
    <w:rsid w:val="005E194B"/>
    <w:rsid w:val="005E1F27"/>
    <w:rsid w:val="005E3FBA"/>
    <w:rsid w:val="005E53D5"/>
    <w:rsid w:val="005E69B8"/>
    <w:rsid w:val="005E7354"/>
    <w:rsid w:val="005E7558"/>
    <w:rsid w:val="005E76EC"/>
    <w:rsid w:val="005E7B76"/>
    <w:rsid w:val="005E7DC1"/>
    <w:rsid w:val="005F202C"/>
    <w:rsid w:val="005F24C6"/>
    <w:rsid w:val="005F2514"/>
    <w:rsid w:val="005F2F1B"/>
    <w:rsid w:val="005F322F"/>
    <w:rsid w:val="005F4ABE"/>
    <w:rsid w:val="005F54AB"/>
    <w:rsid w:val="005F5820"/>
    <w:rsid w:val="005F5F8B"/>
    <w:rsid w:val="005F65BC"/>
    <w:rsid w:val="005F65D2"/>
    <w:rsid w:val="005F733E"/>
    <w:rsid w:val="005F7634"/>
    <w:rsid w:val="005F77A7"/>
    <w:rsid w:val="00600A64"/>
    <w:rsid w:val="00600C27"/>
    <w:rsid w:val="0060130D"/>
    <w:rsid w:val="00602115"/>
    <w:rsid w:val="00602218"/>
    <w:rsid w:val="00603052"/>
    <w:rsid w:val="00603637"/>
    <w:rsid w:val="00603650"/>
    <w:rsid w:val="00603886"/>
    <w:rsid w:val="00603C5D"/>
    <w:rsid w:val="00604425"/>
    <w:rsid w:val="00605C71"/>
    <w:rsid w:val="006073D9"/>
    <w:rsid w:val="00607844"/>
    <w:rsid w:val="00610556"/>
    <w:rsid w:val="00611100"/>
    <w:rsid w:val="006113DE"/>
    <w:rsid w:val="006115EF"/>
    <w:rsid w:val="0061172C"/>
    <w:rsid w:val="006118E9"/>
    <w:rsid w:val="00612316"/>
    <w:rsid w:val="006124C1"/>
    <w:rsid w:val="00613D92"/>
    <w:rsid w:val="00615592"/>
    <w:rsid w:val="00615DC5"/>
    <w:rsid w:val="00616EF0"/>
    <w:rsid w:val="0061709E"/>
    <w:rsid w:val="006208AB"/>
    <w:rsid w:val="0062097F"/>
    <w:rsid w:val="00621165"/>
    <w:rsid w:val="00621321"/>
    <w:rsid w:val="00621EF0"/>
    <w:rsid w:val="00623155"/>
    <w:rsid w:val="00623216"/>
    <w:rsid w:val="00624500"/>
    <w:rsid w:val="00624644"/>
    <w:rsid w:val="00624808"/>
    <w:rsid w:val="0062487B"/>
    <w:rsid w:val="00624934"/>
    <w:rsid w:val="006250EE"/>
    <w:rsid w:val="00625A38"/>
    <w:rsid w:val="00625BFE"/>
    <w:rsid w:val="00625D28"/>
    <w:rsid w:val="00626211"/>
    <w:rsid w:val="006269F9"/>
    <w:rsid w:val="00626B45"/>
    <w:rsid w:val="00626F94"/>
    <w:rsid w:val="00627DE3"/>
    <w:rsid w:val="0063024B"/>
    <w:rsid w:val="00630691"/>
    <w:rsid w:val="00631D1B"/>
    <w:rsid w:val="006320DF"/>
    <w:rsid w:val="00632161"/>
    <w:rsid w:val="00632BF7"/>
    <w:rsid w:val="00634445"/>
    <w:rsid w:val="00634E2A"/>
    <w:rsid w:val="00635927"/>
    <w:rsid w:val="006365B8"/>
    <w:rsid w:val="00637394"/>
    <w:rsid w:val="00637814"/>
    <w:rsid w:val="00637CB9"/>
    <w:rsid w:val="006406A3"/>
    <w:rsid w:val="006406B8"/>
    <w:rsid w:val="00641735"/>
    <w:rsid w:val="00641A19"/>
    <w:rsid w:val="00642177"/>
    <w:rsid w:val="00642443"/>
    <w:rsid w:val="00642BF8"/>
    <w:rsid w:val="00642FD5"/>
    <w:rsid w:val="006430AA"/>
    <w:rsid w:val="0064370D"/>
    <w:rsid w:val="006460E2"/>
    <w:rsid w:val="00646522"/>
    <w:rsid w:val="006470B4"/>
    <w:rsid w:val="006473E8"/>
    <w:rsid w:val="006479D9"/>
    <w:rsid w:val="0065025D"/>
    <w:rsid w:val="006505D0"/>
    <w:rsid w:val="00650637"/>
    <w:rsid w:val="006509E8"/>
    <w:rsid w:val="006510CF"/>
    <w:rsid w:val="00651A70"/>
    <w:rsid w:val="00651F99"/>
    <w:rsid w:val="006523C3"/>
    <w:rsid w:val="00653F22"/>
    <w:rsid w:val="00654420"/>
    <w:rsid w:val="00655700"/>
    <w:rsid w:val="00655EB9"/>
    <w:rsid w:val="00655FE2"/>
    <w:rsid w:val="00656F10"/>
    <w:rsid w:val="006577D2"/>
    <w:rsid w:val="00660DCE"/>
    <w:rsid w:val="006615D0"/>
    <w:rsid w:val="00662A17"/>
    <w:rsid w:val="00662D0A"/>
    <w:rsid w:val="00662D7A"/>
    <w:rsid w:val="006645B4"/>
    <w:rsid w:val="0066492E"/>
    <w:rsid w:val="006660AD"/>
    <w:rsid w:val="0066697E"/>
    <w:rsid w:val="00667339"/>
    <w:rsid w:val="00670384"/>
    <w:rsid w:val="006704FA"/>
    <w:rsid w:val="00670A62"/>
    <w:rsid w:val="00671DF8"/>
    <w:rsid w:val="0067237F"/>
    <w:rsid w:val="00672BE5"/>
    <w:rsid w:val="00672C94"/>
    <w:rsid w:val="006736CD"/>
    <w:rsid w:val="0067371B"/>
    <w:rsid w:val="0067372B"/>
    <w:rsid w:val="00673C9F"/>
    <w:rsid w:val="006746BB"/>
    <w:rsid w:val="00674B99"/>
    <w:rsid w:val="0067611F"/>
    <w:rsid w:val="00676315"/>
    <w:rsid w:val="00676E91"/>
    <w:rsid w:val="006779FD"/>
    <w:rsid w:val="0068089A"/>
    <w:rsid w:val="006817E6"/>
    <w:rsid w:val="00682161"/>
    <w:rsid w:val="006825B7"/>
    <w:rsid w:val="00683718"/>
    <w:rsid w:val="00684582"/>
    <w:rsid w:val="00686A5B"/>
    <w:rsid w:val="00686B56"/>
    <w:rsid w:val="00687A07"/>
    <w:rsid w:val="006902FC"/>
    <w:rsid w:val="006906B5"/>
    <w:rsid w:val="0069086E"/>
    <w:rsid w:val="0069095C"/>
    <w:rsid w:val="00691891"/>
    <w:rsid w:val="006920D9"/>
    <w:rsid w:val="0069245F"/>
    <w:rsid w:val="0069282B"/>
    <w:rsid w:val="00693F24"/>
    <w:rsid w:val="00694293"/>
    <w:rsid w:val="00694D83"/>
    <w:rsid w:val="006956CA"/>
    <w:rsid w:val="006960FA"/>
    <w:rsid w:val="0069632B"/>
    <w:rsid w:val="006967F2"/>
    <w:rsid w:val="00696B3C"/>
    <w:rsid w:val="00697C4C"/>
    <w:rsid w:val="006A01E7"/>
    <w:rsid w:val="006A0EBB"/>
    <w:rsid w:val="006A3427"/>
    <w:rsid w:val="006A3DC7"/>
    <w:rsid w:val="006A400B"/>
    <w:rsid w:val="006A5395"/>
    <w:rsid w:val="006A5CC9"/>
    <w:rsid w:val="006A6372"/>
    <w:rsid w:val="006A7ABB"/>
    <w:rsid w:val="006B02AF"/>
    <w:rsid w:val="006B058D"/>
    <w:rsid w:val="006B15B7"/>
    <w:rsid w:val="006B2857"/>
    <w:rsid w:val="006B2BDA"/>
    <w:rsid w:val="006B36CF"/>
    <w:rsid w:val="006B3EA0"/>
    <w:rsid w:val="006B4CD9"/>
    <w:rsid w:val="006B570F"/>
    <w:rsid w:val="006C00B1"/>
    <w:rsid w:val="006C0539"/>
    <w:rsid w:val="006C15D5"/>
    <w:rsid w:val="006C1FB4"/>
    <w:rsid w:val="006C20D2"/>
    <w:rsid w:val="006C21D0"/>
    <w:rsid w:val="006C25D1"/>
    <w:rsid w:val="006C2608"/>
    <w:rsid w:val="006C2C68"/>
    <w:rsid w:val="006C2DCE"/>
    <w:rsid w:val="006C3631"/>
    <w:rsid w:val="006C378A"/>
    <w:rsid w:val="006C3B1B"/>
    <w:rsid w:val="006C3F7B"/>
    <w:rsid w:val="006C4BDE"/>
    <w:rsid w:val="006C4C72"/>
    <w:rsid w:val="006C5D9B"/>
    <w:rsid w:val="006C5FDA"/>
    <w:rsid w:val="006C6743"/>
    <w:rsid w:val="006C6A68"/>
    <w:rsid w:val="006C6BDB"/>
    <w:rsid w:val="006D01E9"/>
    <w:rsid w:val="006D0A5C"/>
    <w:rsid w:val="006D11FA"/>
    <w:rsid w:val="006D1901"/>
    <w:rsid w:val="006D1A02"/>
    <w:rsid w:val="006D1EE2"/>
    <w:rsid w:val="006D2C03"/>
    <w:rsid w:val="006D2EB4"/>
    <w:rsid w:val="006D306F"/>
    <w:rsid w:val="006D3F33"/>
    <w:rsid w:val="006D455A"/>
    <w:rsid w:val="006D4AE6"/>
    <w:rsid w:val="006D4FD2"/>
    <w:rsid w:val="006D5822"/>
    <w:rsid w:val="006D619D"/>
    <w:rsid w:val="006D6A30"/>
    <w:rsid w:val="006D6A61"/>
    <w:rsid w:val="006D6A73"/>
    <w:rsid w:val="006D7701"/>
    <w:rsid w:val="006E0753"/>
    <w:rsid w:val="006E0B65"/>
    <w:rsid w:val="006E0E67"/>
    <w:rsid w:val="006E1492"/>
    <w:rsid w:val="006E230D"/>
    <w:rsid w:val="006E3D0F"/>
    <w:rsid w:val="006E426D"/>
    <w:rsid w:val="006E4B87"/>
    <w:rsid w:val="006E4EB0"/>
    <w:rsid w:val="006E5521"/>
    <w:rsid w:val="006E644C"/>
    <w:rsid w:val="006E6490"/>
    <w:rsid w:val="006E694E"/>
    <w:rsid w:val="006E6A4E"/>
    <w:rsid w:val="006E6DCF"/>
    <w:rsid w:val="006E7211"/>
    <w:rsid w:val="006F08D6"/>
    <w:rsid w:val="006F0F8B"/>
    <w:rsid w:val="006F11E6"/>
    <w:rsid w:val="006F11E9"/>
    <w:rsid w:val="006F1D6B"/>
    <w:rsid w:val="006F1E8C"/>
    <w:rsid w:val="006F20E3"/>
    <w:rsid w:val="006F2B78"/>
    <w:rsid w:val="006F3877"/>
    <w:rsid w:val="006F3E3C"/>
    <w:rsid w:val="006F4066"/>
    <w:rsid w:val="006F43FF"/>
    <w:rsid w:val="006F4674"/>
    <w:rsid w:val="006F4832"/>
    <w:rsid w:val="006F4DFB"/>
    <w:rsid w:val="006F51BD"/>
    <w:rsid w:val="006F5D1F"/>
    <w:rsid w:val="006F6DE0"/>
    <w:rsid w:val="00700170"/>
    <w:rsid w:val="00700335"/>
    <w:rsid w:val="0070061E"/>
    <w:rsid w:val="00700626"/>
    <w:rsid w:val="00700A96"/>
    <w:rsid w:val="00700CD7"/>
    <w:rsid w:val="00702E49"/>
    <w:rsid w:val="00703329"/>
    <w:rsid w:val="007033A0"/>
    <w:rsid w:val="00703565"/>
    <w:rsid w:val="007039E8"/>
    <w:rsid w:val="007040D8"/>
    <w:rsid w:val="00704321"/>
    <w:rsid w:val="00705F12"/>
    <w:rsid w:val="007065BA"/>
    <w:rsid w:val="00706BBA"/>
    <w:rsid w:val="007075B5"/>
    <w:rsid w:val="0071026A"/>
    <w:rsid w:val="00710277"/>
    <w:rsid w:val="00710633"/>
    <w:rsid w:val="00710E8C"/>
    <w:rsid w:val="00710F1E"/>
    <w:rsid w:val="00711B4E"/>
    <w:rsid w:val="0071388B"/>
    <w:rsid w:val="007140C0"/>
    <w:rsid w:val="00714710"/>
    <w:rsid w:val="00714CA2"/>
    <w:rsid w:val="007153E7"/>
    <w:rsid w:val="00715720"/>
    <w:rsid w:val="00716492"/>
    <w:rsid w:val="0071683B"/>
    <w:rsid w:val="00720386"/>
    <w:rsid w:val="007206FD"/>
    <w:rsid w:val="007209C1"/>
    <w:rsid w:val="0072101D"/>
    <w:rsid w:val="007211CB"/>
    <w:rsid w:val="00721707"/>
    <w:rsid w:val="007218AE"/>
    <w:rsid w:val="007222A1"/>
    <w:rsid w:val="00723ABC"/>
    <w:rsid w:val="00726304"/>
    <w:rsid w:val="0072633F"/>
    <w:rsid w:val="00726EDE"/>
    <w:rsid w:val="00727E66"/>
    <w:rsid w:val="00730572"/>
    <w:rsid w:val="007322D7"/>
    <w:rsid w:val="0073238C"/>
    <w:rsid w:val="00733117"/>
    <w:rsid w:val="00733D87"/>
    <w:rsid w:val="0073485F"/>
    <w:rsid w:val="00735189"/>
    <w:rsid w:val="007352F1"/>
    <w:rsid w:val="00735413"/>
    <w:rsid w:val="00736558"/>
    <w:rsid w:val="00736875"/>
    <w:rsid w:val="00736BD8"/>
    <w:rsid w:val="0073724A"/>
    <w:rsid w:val="00740530"/>
    <w:rsid w:val="00740699"/>
    <w:rsid w:val="00740786"/>
    <w:rsid w:val="007409C8"/>
    <w:rsid w:val="00740FA4"/>
    <w:rsid w:val="00741206"/>
    <w:rsid w:val="007420EA"/>
    <w:rsid w:val="007427FD"/>
    <w:rsid w:val="00742B7E"/>
    <w:rsid w:val="00742CBC"/>
    <w:rsid w:val="0074363D"/>
    <w:rsid w:val="0074396E"/>
    <w:rsid w:val="007439DC"/>
    <w:rsid w:val="00744134"/>
    <w:rsid w:val="0074558B"/>
    <w:rsid w:val="00745D2A"/>
    <w:rsid w:val="00746362"/>
    <w:rsid w:val="007466C3"/>
    <w:rsid w:val="00746C01"/>
    <w:rsid w:val="007475BF"/>
    <w:rsid w:val="007477F7"/>
    <w:rsid w:val="0075007B"/>
    <w:rsid w:val="00750482"/>
    <w:rsid w:val="0075062D"/>
    <w:rsid w:val="00750CB2"/>
    <w:rsid w:val="00752625"/>
    <w:rsid w:val="0075268C"/>
    <w:rsid w:val="00752910"/>
    <w:rsid w:val="00752991"/>
    <w:rsid w:val="007532D2"/>
    <w:rsid w:val="00753402"/>
    <w:rsid w:val="00753655"/>
    <w:rsid w:val="0075388F"/>
    <w:rsid w:val="00753CEE"/>
    <w:rsid w:val="0075450A"/>
    <w:rsid w:val="007545E6"/>
    <w:rsid w:val="00754729"/>
    <w:rsid w:val="00754C1C"/>
    <w:rsid w:val="00756F68"/>
    <w:rsid w:val="00757547"/>
    <w:rsid w:val="00757650"/>
    <w:rsid w:val="0076018F"/>
    <w:rsid w:val="00760351"/>
    <w:rsid w:val="007603F8"/>
    <w:rsid w:val="0076098B"/>
    <w:rsid w:val="007611D4"/>
    <w:rsid w:val="00761572"/>
    <w:rsid w:val="007627FD"/>
    <w:rsid w:val="00762AB0"/>
    <w:rsid w:val="00762D84"/>
    <w:rsid w:val="00762E8E"/>
    <w:rsid w:val="00764536"/>
    <w:rsid w:val="00764BCB"/>
    <w:rsid w:val="0076519B"/>
    <w:rsid w:val="007657E2"/>
    <w:rsid w:val="0076653B"/>
    <w:rsid w:val="00767D54"/>
    <w:rsid w:val="00770061"/>
    <w:rsid w:val="00770980"/>
    <w:rsid w:val="00770A68"/>
    <w:rsid w:val="00771027"/>
    <w:rsid w:val="007711B8"/>
    <w:rsid w:val="00771650"/>
    <w:rsid w:val="00771B02"/>
    <w:rsid w:val="00772309"/>
    <w:rsid w:val="007732EA"/>
    <w:rsid w:val="00773A8D"/>
    <w:rsid w:val="00773AE8"/>
    <w:rsid w:val="00773DB2"/>
    <w:rsid w:val="007747DF"/>
    <w:rsid w:val="00776A5F"/>
    <w:rsid w:val="00776D36"/>
    <w:rsid w:val="00776DC4"/>
    <w:rsid w:val="00776E16"/>
    <w:rsid w:val="0077742E"/>
    <w:rsid w:val="00777976"/>
    <w:rsid w:val="00777AB3"/>
    <w:rsid w:val="00780DE7"/>
    <w:rsid w:val="00782022"/>
    <w:rsid w:val="00782D9F"/>
    <w:rsid w:val="00782F88"/>
    <w:rsid w:val="00783182"/>
    <w:rsid w:val="00783FEC"/>
    <w:rsid w:val="007850A0"/>
    <w:rsid w:val="00785C34"/>
    <w:rsid w:val="00785CCD"/>
    <w:rsid w:val="00785DC6"/>
    <w:rsid w:val="00785F23"/>
    <w:rsid w:val="00786B31"/>
    <w:rsid w:val="00786CE7"/>
    <w:rsid w:val="007875D7"/>
    <w:rsid w:val="0079015B"/>
    <w:rsid w:val="00790768"/>
    <w:rsid w:val="0079107E"/>
    <w:rsid w:val="007913D2"/>
    <w:rsid w:val="0079216B"/>
    <w:rsid w:val="0079216D"/>
    <w:rsid w:val="00792A16"/>
    <w:rsid w:val="00793617"/>
    <w:rsid w:val="00793880"/>
    <w:rsid w:val="00794D71"/>
    <w:rsid w:val="00795238"/>
    <w:rsid w:val="007953E0"/>
    <w:rsid w:val="00795A34"/>
    <w:rsid w:val="00795E11"/>
    <w:rsid w:val="007A14BD"/>
    <w:rsid w:val="007A198A"/>
    <w:rsid w:val="007A1C8B"/>
    <w:rsid w:val="007A1D6C"/>
    <w:rsid w:val="007A2A17"/>
    <w:rsid w:val="007A38CA"/>
    <w:rsid w:val="007A3D3A"/>
    <w:rsid w:val="007A5596"/>
    <w:rsid w:val="007A5677"/>
    <w:rsid w:val="007A60E5"/>
    <w:rsid w:val="007A614E"/>
    <w:rsid w:val="007A73B1"/>
    <w:rsid w:val="007A7DAA"/>
    <w:rsid w:val="007B04C9"/>
    <w:rsid w:val="007B10F2"/>
    <w:rsid w:val="007B1277"/>
    <w:rsid w:val="007B18CE"/>
    <w:rsid w:val="007B1D9C"/>
    <w:rsid w:val="007B31FB"/>
    <w:rsid w:val="007B3D68"/>
    <w:rsid w:val="007B3FA8"/>
    <w:rsid w:val="007B4ED2"/>
    <w:rsid w:val="007B56B9"/>
    <w:rsid w:val="007B5A1F"/>
    <w:rsid w:val="007B64C2"/>
    <w:rsid w:val="007B6E1D"/>
    <w:rsid w:val="007B7179"/>
    <w:rsid w:val="007B7E8B"/>
    <w:rsid w:val="007C03C7"/>
    <w:rsid w:val="007C1722"/>
    <w:rsid w:val="007C1ADB"/>
    <w:rsid w:val="007C1C34"/>
    <w:rsid w:val="007C2226"/>
    <w:rsid w:val="007C2F48"/>
    <w:rsid w:val="007C3244"/>
    <w:rsid w:val="007C39EF"/>
    <w:rsid w:val="007C3BA4"/>
    <w:rsid w:val="007C3E91"/>
    <w:rsid w:val="007C5333"/>
    <w:rsid w:val="007C53C3"/>
    <w:rsid w:val="007C573F"/>
    <w:rsid w:val="007C5BB3"/>
    <w:rsid w:val="007C5D02"/>
    <w:rsid w:val="007C5D53"/>
    <w:rsid w:val="007C74B5"/>
    <w:rsid w:val="007C781A"/>
    <w:rsid w:val="007D03C7"/>
    <w:rsid w:val="007D0568"/>
    <w:rsid w:val="007D0895"/>
    <w:rsid w:val="007D0D60"/>
    <w:rsid w:val="007D1990"/>
    <w:rsid w:val="007D2CAB"/>
    <w:rsid w:val="007D38BA"/>
    <w:rsid w:val="007D3CC2"/>
    <w:rsid w:val="007D51B6"/>
    <w:rsid w:val="007D731F"/>
    <w:rsid w:val="007D7DF0"/>
    <w:rsid w:val="007E0091"/>
    <w:rsid w:val="007E048A"/>
    <w:rsid w:val="007E09E5"/>
    <w:rsid w:val="007E0A06"/>
    <w:rsid w:val="007E0A53"/>
    <w:rsid w:val="007E113B"/>
    <w:rsid w:val="007E116E"/>
    <w:rsid w:val="007E1F59"/>
    <w:rsid w:val="007E220C"/>
    <w:rsid w:val="007E2CC1"/>
    <w:rsid w:val="007E4017"/>
    <w:rsid w:val="007E4164"/>
    <w:rsid w:val="007E444F"/>
    <w:rsid w:val="007E5ECB"/>
    <w:rsid w:val="007E6187"/>
    <w:rsid w:val="007E63A6"/>
    <w:rsid w:val="007E6B42"/>
    <w:rsid w:val="007E7D24"/>
    <w:rsid w:val="007F08B7"/>
    <w:rsid w:val="007F0918"/>
    <w:rsid w:val="007F1418"/>
    <w:rsid w:val="007F1455"/>
    <w:rsid w:val="007F319D"/>
    <w:rsid w:val="007F3CCB"/>
    <w:rsid w:val="007F3E7C"/>
    <w:rsid w:val="007F483F"/>
    <w:rsid w:val="007F4AC4"/>
    <w:rsid w:val="007F509B"/>
    <w:rsid w:val="007F541C"/>
    <w:rsid w:val="007F5445"/>
    <w:rsid w:val="007F5718"/>
    <w:rsid w:val="007F5804"/>
    <w:rsid w:val="007F58B6"/>
    <w:rsid w:val="007F58EB"/>
    <w:rsid w:val="007F60CF"/>
    <w:rsid w:val="007F6AB3"/>
    <w:rsid w:val="007F70F9"/>
    <w:rsid w:val="007F7248"/>
    <w:rsid w:val="00801011"/>
    <w:rsid w:val="00801CDF"/>
    <w:rsid w:val="00801D8E"/>
    <w:rsid w:val="00801FC4"/>
    <w:rsid w:val="0080321F"/>
    <w:rsid w:val="00804E58"/>
    <w:rsid w:val="00804F26"/>
    <w:rsid w:val="0080511A"/>
    <w:rsid w:val="00805832"/>
    <w:rsid w:val="00805C24"/>
    <w:rsid w:val="00805CF3"/>
    <w:rsid w:val="00805D54"/>
    <w:rsid w:val="008065F8"/>
    <w:rsid w:val="008066FD"/>
    <w:rsid w:val="00806E17"/>
    <w:rsid w:val="008077E7"/>
    <w:rsid w:val="00807BAE"/>
    <w:rsid w:val="0081012F"/>
    <w:rsid w:val="00811A4F"/>
    <w:rsid w:val="00812488"/>
    <w:rsid w:val="00812823"/>
    <w:rsid w:val="00812859"/>
    <w:rsid w:val="00812CFC"/>
    <w:rsid w:val="00814904"/>
    <w:rsid w:val="0081495C"/>
    <w:rsid w:val="00814DC2"/>
    <w:rsid w:val="008150EA"/>
    <w:rsid w:val="00816769"/>
    <w:rsid w:val="008171CB"/>
    <w:rsid w:val="0081754C"/>
    <w:rsid w:val="00817C9E"/>
    <w:rsid w:val="00820B66"/>
    <w:rsid w:val="00820BAE"/>
    <w:rsid w:val="00820CFD"/>
    <w:rsid w:val="008210F0"/>
    <w:rsid w:val="0082181E"/>
    <w:rsid w:val="00821F14"/>
    <w:rsid w:val="008230D9"/>
    <w:rsid w:val="00823678"/>
    <w:rsid w:val="00824302"/>
    <w:rsid w:val="00824A35"/>
    <w:rsid w:val="00825779"/>
    <w:rsid w:val="00825E72"/>
    <w:rsid w:val="0082619B"/>
    <w:rsid w:val="00826273"/>
    <w:rsid w:val="008263BB"/>
    <w:rsid w:val="00827091"/>
    <w:rsid w:val="0082713B"/>
    <w:rsid w:val="00827A84"/>
    <w:rsid w:val="00830A9D"/>
    <w:rsid w:val="00831607"/>
    <w:rsid w:val="008316AE"/>
    <w:rsid w:val="00832901"/>
    <w:rsid w:val="00832B5F"/>
    <w:rsid w:val="00832E50"/>
    <w:rsid w:val="00832E66"/>
    <w:rsid w:val="00832F69"/>
    <w:rsid w:val="008335D0"/>
    <w:rsid w:val="00834221"/>
    <w:rsid w:val="008362F7"/>
    <w:rsid w:val="00836410"/>
    <w:rsid w:val="00837964"/>
    <w:rsid w:val="00837BEB"/>
    <w:rsid w:val="00840CFB"/>
    <w:rsid w:val="008411D9"/>
    <w:rsid w:val="00841747"/>
    <w:rsid w:val="00842E02"/>
    <w:rsid w:val="00842E1C"/>
    <w:rsid w:val="00843DF1"/>
    <w:rsid w:val="00844792"/>
    <w:rsid w:val="00844FF9"/>
    <w:rsid w:val="0084518F"/>
    <w:rsid w:val="00845EAA"/>
    <w:rsid w:val="00850B2A"/>
    <w:rsid w:val="00851AEF"/>
    <w:rsid w:val="00851E31"/>
    <w:rsid w:val="008521D0"/>
    <w:rsid w:val="008523B4"/>
    <w:rsid w:val="00852499"/>
    <w:rsid w:val="00852A49"/>
    <w:rsid w:val="00852B78"/>
    <w:rsid w:val="00853218"/>
    <w:rsid w:val="00853607"/>
    <w:rsid w:val="008536B9"/>
    <w:rsid w:val="00853890"/>
    <w:rsid w:val="00854848"/>
    <w:rsid w:val="00855BE0"/>
    <w:rsid w:val="00856720"/>
    <w:rsid w:val="00856E24"/>
    <w:rsid w:val="0085739D"/>
    <w:rsid w:val="008573AC"/>
    <w:rsid w:val="00857822"/>
    <w:rsid w:val="008615A8"/>
    <w:rsid w:val="00862156"/>
    <w:rsid w:val="008621E7"/>
    <w:rsid w:val="00863000"/>
    <w:rsid w:val="0086482D"/>
    <w:rsid w:val="00864AAB"/>
    <w:rsid w:val="00865179"/>
    <w:rsid w:val="008652E2"/>
    <w:rsid w:val="00865671"/>
    <w:rsid w:val="008673C3"/>
    <w:rsid w:val="00867968"/>
    <w:rsid w:val="00867A7C"/>
    <w:rsid w:val="008701BB"/>
    <w:rsid w:val="00872339"/>
    <w:rsid w:val="00872391"/>
    <w:rsid w:val="00872A3A"/>
    <w:rsid w:val="00872BB4"/>
    <w:rsid w:val="00873C34"/>
    <w:rsid w:val="00874A63"/>
    <w:rsid w:val="008760F3"/>
    <w:rsid w:val="0087629B"/>
    <w:rsid w:val="00876776"/>
    <w:rsid w:val="00876EB0"/>
    <w:rsid w:val="008802DC"/>
    <w:rsid w:val="008803BC"/>
    <w:rsid w:val="00880632"/>
    <w:rsid w:val="008807DD"/>
    <w:rsid w:val="00880D4B"/>
    <w:rsid w:val="0088135C"/>
    <w:rsid w:val="00881D0D"/>
    <w:rsid w:val="00882406"/>
    <w:rsid w:val="00882A96"/>
    <w:rsid w:val="0088354E"/>
    <w:rsid w:val="0088460A"/>
    <w:rsid w:val="00884C5D"/>
    <w:rsid w:val="00885CD7"/>
    <w:rsid w:val="00885EE6"/>
    <w:rsid w:val="00886618"/>
    <w:rsid w:val="00886747"/>
    <w:rsid w:val="00887321"/>
    <w:rsid w:val="008875C5"/>
    <w:rsid w:val="00887A19"/>
    <w:rsid w:val="00890643"/>
    <w:rsid w:val="00890DB5"/>
    <w:rsid w:val="008913D4"/>
    <w:rsid w:val="00891C43"/>
    <w:rsid w:val="00891DF4"/>
    <w:rsid w:val="00892B9D"/>
    <w:rsid w:val="00892D09"/>
    <w:rsid w:val="0089303A"/>
    <w:rsid w:val="0089419B"/>
    <w:rsid w:val="00894212"/>
    <w:rsid w:val="00894B43"/>
    <w:rsid w:val="00894D96"/>
    <w:rsid w:val="00895459"/>
    <w:rsid w:val="008960B8"/>
    <w:rsid w:val="00896227"/>
    <w:rsid w:val="008964D2"/>
    <w:rsid w:val="00896DDD"/>
    <w:rsid w:val="008979EA"/>
    <w:rsid w:val="008A0389"/>
    <w:rsid w:val="008A153F"/>
    <w:rsid w:val="008A15C6"/>
    <w:rsid w:val="008A17D5"/>
    <w:rsid w:val="008A2159"/>
    <w:rsid w:val="008A23ED"/>
    <w:rsid w:val="008A2944"/>
    <w:rsid w:val="008A43E5"/>
    <w:rsid w:val="008A4A2E"/>
    <w:rsid w:val="008A51F3"/>
    <w:rsid w:val="008A56DD"/>
    <w:rsid w:val="008A5894"/>
    <w:rsid w:val="008A646C"/>
    <w:rsid w:val="008A65DB"/>
    <w:rsid w:val="008A6D8C"/>
    <w:rsid w:val="008A7705"/>
    <w:rsid w:val="008B0635"/>
    <w:rsid w:val="008B1C96"/>
    <w:rsid w:val="008B2598"/>
    <w:rsid w:val="008B2911"/>
    <w:rsid w:val="008B3D16"/>
    <w:rsid w:val="008B42FF"/>
    <w:rsid w:val="008B4A2F"/>
    <w:rsid w:val="008B547C"/>
    <w:rsid w:val="008B5693"/>
    <w:rsid w:val="008B64DE"/>
    <w:rsid w:val="008B6A7D"/>
    <w:rsid w:val="008B78FD"/>
    <w:rsid w:val="008B7940"/>
    <w:rsid w:val="008C0060"/>
    <w:rsid w:val="008C0847"/>
    <w:rsid w:val="008C1494"/>
    <w:rsid w:val="008C205F"/>
    <w:rsid w:val="008C2593"/>
    <w:rsid w:val="008C2A50"/>
    <w:rsid w:val="008C3B9E"/>
    <w:rsid w:val="008C3E8D"/>
    <w:rsid w:val="008C418A"/>
    <w:rsid w:val="008C4D83"/>
    <w:rsid w:val="008C5398"/>
    <w:rsid w:val="008C631B"/>
    <w:rsid w:val="008C65DD"/>
    <w:rsid w:val="008C6A82"/>
    <w:rsid w:val="008C7B47"/>
    <w:rsid w:val="008C7C9C"/>
    <w:rsid w:val="008D0E02"/>
    <w:rsid w:val="008D1555"/>
    <w:rsid w:val="008D232B"/>
    <w:rsid w:val="008D6077"/>
    <w:rsid w:val="008D67BC"/>
    <w:rsid w:val="008D67FB"/>
    <w:rsid w:val="008D6C92"/>
    <w:rsid w:val="008D74CE"/>
    <w:rsid w:val="008D7686"/>
    <w:rsid w:val="008D76B1"/>
    <w:rsid w:val="008D787E"/>
    <w:rsid w:val="008D7B2D"/>
    <w:rsid w:val="008E05BA"/>
    <w:rsid w:val="008E0A04"/>
    <w:rsid w:val="008E1E2E"/>
    <w:rsid w:val="008E2BB2"/>
    <w:rsid w:val="008E3141"/>
    <w:rsid w:val="008E399A"/>
    <w:rsid w:val="008E5349"/>
    <w:rsid w:val="008E53B6"/>
    <w:rsid w:val="008E53FC"/>
    <w:rsid w:val="008E66FD"/>
    <w:rsid w:val="008E69DE"/>
    <w:rsid w:val="008E6B37"/>
    <w:rsid w:val="008E6C7C"/>
    <w:rsid w:val="008E6D18"/>
    <w:rsid w:val="008E757C"/>
    <w:rsid w:val="008F0ACF"/>
    <w:rsid w:val="008F0E7D"/>
    <w:rsid w:val="008F218E"/>
    <w:rsid w:val="008F2960"/>
    <w:rsid w:val="008F30A3"/>
    <w:rsid w:val="008F31FD"/>
    <w:rsid w:val="008F3832"/>
    <w:rsid w:val="008F3D49"/>
    <w:rsid w:val="008F4295"/>
    <w:rsid w:val="008F4374"/>
    <w:rsid w:val="008F4603"/>
    <w:rsid w:val="008F4D5E"/>
    <w:rsid w:val="008F52E6"/>
    <w:rsid w:val="008F541B"/>
    <w:rsid w:val="008F57D0"/>
    <w:rsid w:val="008F7CD6"/>
    <w:rsid w:val="0090119D"/>
    <w:rsid w:val="00901AD1"/>
    <w:rsid w:val="00902588"/>
    <w:rsid w:val="00903341"/>
    <w:rsid w:val="00903BAB"/>
    <w:rsid w:val="00903C48"/>
    <w:rsid w:val="009046E9"/>
    <w:rsid w:val="009047AE"/>
    <w:rsid w:val="009049BC"/>
    <w:rsid w:val="0090585B"/>
    <w:rsid w:val="009060D5"/>
    <w:rsid w:val="00906D8D"/>
    <w:rsid w:val="00906FD8"/>
    <w:rsid w:val="009073A0"/>
    <w:rsid w:val="00907E53"/>
    <w:rsid w:val="00911433"/>
    <w:rsid w:val="009125D3"/>
    <w:rsid w:val="00912A89"/>
    <w:rsid w:val="0091350B"/>
    <w:rsid w:val="009135F4"/>
    <w:rsid w:val="00914347"/>
    <w:rsid w:val="0091474F"/>
    <w:rsid w:val="00914955"/>
    <w:rsid w:val="00914E7B"/>
    <w:rsid w:val="0091515D"/>
    <w:rsid w:val="00915348"/>
    <w:rsid w:val="00915569"/>
    <w:rsid w:val="00916AAB"/>
    <w:rsid w:val="00917526"/>
    <w:rsid w:val="009179B6"/>
    <w:rsid w:val="00920880"/>
    <w:rsid w:val="00920C5C"/>
    <w:rsid w:val="009212B0"/>
    <w:rsid w:val="009222A2"/>
    <w:rsid w:val="009224A8"/>
    <w:rsid w:val="00922C80"/>
    <w:rsid w:val="00922D74"/>
    <w:rsid w:val="00923CB8"/>
    <w:rsid w:val="00923D09"/>
    <w:rsid w:val="00923E79"/>
    <w:rsid w:val="0092402B"/>
    <w:rsid w:val="00924F6E"/>
    <w:rsid w:val="0092532B"/>
    <w:rsid w:val="00925CC7"/>
    <w:rsid w:val="00926A90"/>
    <w:rsid w:val="00926C76"/>
    <w:rsid w:val="00926DC2"/>
    <w:rsid w:val="00926E78"/>
    <w:rsid w:val="009279C8"/>
    <w:rsid w:val="00927A5A"/>
    <w:rsid w:val="00927B17"/>
    <w:rsid w:val="00927C4E"/>
    <w:rsid w:val="00930732"/>
    <w:rsid w:val="0093074A"/>
    <w:rsid w:val="00930825"/>
    <w:rsid w:val="00930C87"/>
    <w:rsid w:val="00930D82"/>
    <w:rsid w:val="00931236"/>
    <w:rsid w:val="009314F5"/>
    <w:rsid w:val="00931BA6"/>
    <w:rsid w:val="00932615"/>
    <w:rsid w:val="00932C77"/>
    <w:rsid w:val="00932E6F"/>
    <w:rsid w:val="00933590"/>
    <w:rsid w:val="00933A63"/>
    <w:rsid w:val="00933BD8"/>
    <w:rsid w:val="00933C46"/>
    <w:rsid w:val="00934387"/>
    <w:rsid w:val="0093491F"/>
    <w:rsid w:val="00934AC8"/>
    <w:rsid w:val="009357D2"/>
    <w:rsid w:val="00935C5D"/>
    <w:rsid w:val="0093645A"/>
    <w:rsid w:val="00936DDC"/>
    <w:rsid w:val="0093702E"/>
    <w:rsid w:val="0093719A"/>
    <w:rsid w:val="00937415"/>
    <w:rsid w:val="00937BB8"/>
    <w:rsid w:val="0094095F"/>
    <w:rsid w:val="00940B84"/>
    <w:rsid w:val="009419FB"/>
    <w:rsid w:val="0094249A"/>
    <w:rsid w:val="0094268E"/>
    <w:rsid w:val="009432A6"/>
    <w:rsid w:val="00943C4B"/>
    <w:rsid w:val="00945046"/>
    <w:rsid w:val="00945610"/>
    <w:rsid w:val="00945DC5"/>
    <w:rsid w:val="0094626C"/>
    <w:rsid w:val="00946A20"/>
    <w:rsid w:val="00947281"/>
    <w:rsid w:val="00947457"/>
    <w:rsid w:val="00947E31"/>
    <w:rsid w:val="00950599"/>
    <w:rsid w:val="00950C63"/>
    <w:rsid w:val="00950FEF"/>
    <w:rsid w:val="00952075"/>
    <w:rsid w:val="0095235F"/>
    <w:rsid w:val="009530C0"/>
    <w:rsid w:val="009537BF"/>
    <w:rsid w:val="0095448E"/>
    <w:rsid w:val="0095527C"/>
    <w:rsid w:val="009555AD"/>
    <w:rsid w:val="009560DD"/>
    <w:rsid w:val="00957CE0"/>
    <w:rsid w:val="0096142E"/>
    <w:rsid w:val="00963021"/>
    <w:rsid w:val="0096303F"/>
    <w:rsid w:val="00963E42"/>
    <w:rsid w:val="0096491B"/>
    <w:rsid w:val="009651CB"/>
    <w:rsid w:val="00967787"/>
    <w:rsid w:val="00970100"/>
    <w:rsid w:val="0097091C"/>
    <w:rsid w:val="009709D1"/>
    <w:rsid w:val="00972D2C"/>
    <w:rsid w:val="00972D34"/>
    <w:rsid w:val="009735B1"/>
    <w:rsid w:val="0097365E"/>
    <w:rsid w:val="00973846"/>
    <w:rsid w:val="009751ED"/>
    <w:rsid w:val="0097525A"/>
    <w:rsid w:val="00975661"/>
    <w:rsid w:val="00975AA8"/>
    <w:rsid w:val="00975E56"/>
    <w:rsid w:val="00976239"/>
    <w:rsid w:val="00976597"/>
    <w:rsid w:val="00976603"/>
    <w:rsid w:val="00976D55"/>
    <w:rsid w:val="00977664"/>
    <w:rsid w:val="00977742"/>
    <w:rsid w:val="00977A5D"/>
    <w:rsid w:val="00977EF5"/>
    <w:rsid w:val="00980A08"/>
    <w:rsid w:val="009816B5"/>
    <w:rsid w:val="009823B8"/>
    <w:rsid w:val="0098267B"/>
    <w:rsid w:val="00982939"/>
    <w:rsid w:val="00982A36"/>
    <w:rsid w:val="00982AD9"/>
    <w:rsid w:val="00983E6A"/>
    <w:rsid w:val="009841E7"/>
    <w:rsid w:val="00984988"/>
    <w:rsid w:val="00985309"/>
    <w:rsid w:val="0098565C"/>
    <w:rsid w:val="0098633E"/>
    <w:rsid w:val="00986BDB"/>
    <w:rsid w:val="00986E0C"/>
    <w:rsid w:val="009873EA"/>
    <w:rsid w:val="00987926"/>
    <w:rsid w:val="00987DC3"/>
    <w:rsid w:val="009900E4"/>
    <w:rsid w:val="00990137"/>
    <w:rsid w:val="009905DA"/>
    <w:rsid w:val="00990715"/>
    <w:rsid w:val="00990D38"/>
    <w:rsid w:val="00991528"/>
    <w:rsid w:val="00991B7E"/>
    <w:rsid w:val="00991C51"/>
    <w:rsid w:val="00992096"/>
    <w:rsid w:val="00992E63"/>
    <w:rsid w:val="00993CA9"/>
    <w:rsid w:val="00995115"/>
    <w:rsid w:val="00995423"/>
    <w:rsid w:val="009962D6"/>
    <w:rsid w:val="00996AEF"/>
    <w:rsid w:val="00996B99"/>
    <w:rsid w:val="00996D2D"/>
    <w:rsid w:val="00997116"/>
    <w:rsid w:val="009A0232"/>
    <w:rsid w:val="009A0AA3"/>
    <w:rsid w:val="009A0C64"/>
    <w:rsid w:val="009A13A4"/>
    <w:rsid w:val="009A1C2E"/>
    <w:rsid w:val="009A25FF"/>
    <w:rsid w:val="009A2836"/>
    <w:rsid w:val="009A31E9"/>
    <w:rsid w:val="009A3203"/>
    <w:rsid w:val="009A352C"/>
    <w:rsid w:val="009A3823"/>
    <w:rsid w:val="009A3BCF"/>
    <w:rsid w:val="009A472E"/>
    <w:rsid w:val="009A5655"/>
    <w:rsid w:val="009A577C"/>
    <w:rsid w:val="009A586D"/>
    <w:rsid w:val="009A603C"/>
    <w:rsid w:val="009A711E"/>
    <w:rsid w:val="009A7BD6"/>
    <w:rsid w:val="009B06E3"/>
    <w:rsid w:val="009B0A27"/>
    <w:rsid w:val="009B1178"/>
    <w:rsid w:val="009B18E9"/>
    <w:rsid w:val="009B2565"/>
    <w:rsid w:val="009B2C77"/>
    <w:rsid w:val="009B5125"/>
    <w:rsid w:val="009B5B0F"/>
    <w:rsid w:val="009B74B7"/>
    <w:rsid w:val="009B7CA8"/>
    <w:rsid w:val="009C0053"/>
    <w:rsid w:val="009C2FB6"/>
    <w:rsid w:val="009C369F"/>
    <w:rsid w:val="009C3F12"/>
    <w:rsid w:val="009C42FA"/>
    <w:rsid w:val="009C6618"/>
    <w:rsid w:val="009C661A"/>
    <w:rsid w:val="009D1541"/>
    <w:rsid w:val="009D2233"/>
    <w:rsid w:val="009D2743"/>
    <w:rsid w:val="009D30F4"/>
    <w:rsid w:val="009D330A"/>
    <w:rsid w:val="009D34F0"/>
    <w:rsid w:val="009D419B"/>
    <w:rsid w:val="009D41C4"/>
    <w:rsid w:val="009D4DA2"/>
    <w:rsid w:val="009D582B"/>
    <w:rsid w:val="009D58F2"/>
    <w:rsid w:val="009D5E64"/>
    <w:rsid w:val="009D5E7E"/>
    <w:rsid w:val="009D6223"/>
    <w:rsid w:val="009D653D"/>
    <w:rsid w:val="009E0390"/>
    <w:rsid w:val="009E0B6E"/>
    <w:rsid w:val="009E1392"/>
    <w:rsid w:val="009E197F"/>
    <w:rsid w:val="009E19C3"/>
    <w:rsid w:val="009E2097"/>
    <w:rsid w:val="009E25A5"/>
    <w:rsid w:val="009E2A76"/>
    <w:rsid w:val="009E2B5B"/>
    <w:rsid w:val="009E2BC1"/>
    <w:rsid w:val="009E2C84"/>
    <w:rsid w:val="009E4093"/>
    <w:rsid w:val="009E4131"/>
    <w:rsid w:val="009E4163"/>
    <w:rsid w:val="009E44C1"/>
    <w:rsid w:val="009E4813"/>
    <w:rsid w:val="009E4827"/>
    <w:rsid w:val="009E62C0"/>
    <w:rsid w:val="009E71C6"/>
    <w:rsid w:val="009E764A"/>
    <w:rsid w:val="009E7ECB"/>
    <w:rsid w:val="009F0EDC"/>
    <w:rsid w:val="009F0F8E"/>
    <w:rsid w:val="009F1093"/>
    <w:rsid w:val="009F113D"/>
    <w:rsid w:val="009F1215"/>
    <w:rsid w:val="009F1822"/>
    <w:rsid w:val="009F2873"/>
    <w:rsid w:val="009F363E"/>
    <w:rsid w:val="009F4063"/>
    <w:rsid w:val="009F4942"/>
    <w:rsid w:val="009F4ACD"/>
    <w:rsid w:val="009F567C"/>
    <w:rsid w:val="009F64AF"/>
    <w:rsid w:val="009F679E"/>
    <w:rsid w:val="009F7270"/>
    <w:rsid w:val="009F7634"/>
    <w:rsid w:val="00A00FDF"/>
    <w:rsid w:val="00A01107"/>
    <w:rsid w:val="00A01E7F"/>
    <w:rsid w:val="00A0230C"/>
    <w:rsid w:val="00A04B6A"/>
    <w:rsid w:val="00A04B9D"/>
    <w:rsid w:val="00A05279"/>
    <w:rsid w:val="00A0587D"/>
    <w:rsid w:val="00A05F02"/>
    <w:rsid w:val="00A06840"/>
    <w:rsid w:val="00A06A73"/>
    <w:rsid w:val="00A07D66"/>
    <w:rsid w:val="00A10799"/>
    <w:rsid w:val="00A10937"/>
    <w:rsid w:val="00A11CAE"/>
    <w:rsid w:val="00A12065"/>
    <w:rsid w:val="00A13DDE"/>
    <w:rsid w:val="00A13FFD"/>
    <w:rsid w:val="00A14079"/>
    <w:rsid w:val="00A146E2"/>
    <w:rsid w:val="00A14C9B"/>
    <w:rsid w:val="00A151BB"/>
    <w:rsid w:val="00A15748"/>
    <w:rsid w:val="00A16206"/>
    <w:rsid w:val="00A1673F"/>
    <w:rsid w:val="00A16BF5"/>
    <w:rsid w:val="00A17EAE"/>
    <w:rsid w:val="00A206B4"/>
    <w:rsid w:val="00A20D4B"/>
    <w:rsid w:val="00A21173"/>
    <w:rsid w:val="00A22591"/>
    <w:rsid w:val="00A2278D"/>
    <w:rsid w:val="00A227EC"/>
    <w:rsid w:val="00A22A9D"/>
    <w:rsid w:val="00A230A6"/>
    <w:rsid w:val="00A27C88"/>
    <w:rsid w:val="00A30845"/>
    <w:rsid w:val="00A30D0C"/>
    <w:rsid w:val="00A30E99"/>
    <w:rsid w:val="00A32EDD"/>
    <w:rsid w:val="00A32F29"/>
    <w:rsid w:val="00A34E55"/>
    <w:rsid w:val="00A350E6"/>
    <w:rsid w:val="00A351BE"/>
    <w:rsid w:val="00A3543C"/>
    <w:rsid w:val="00A356FC"/>
    <w:rsid w:val="00A3599E"/>
    <w:rsid w:val="00A362E8"/>
    <w:rsid w:val="00A370C3"/>
    <w:rsid w:val="00A37625"/>
    <w:rsid w:val="00A378CA"/>
    <w:rsid w:val="00A37FA2"/>
    <w:rsid w:val="00A41E4C"/>
    <w:rsid w:val="00A42538"/>
    <w:rsid w:val="00A42CC6"/>
    <w:rsid w:val="00A43773"/>
    <w:rsid w:val="00A44D21"/>
    <w:rsid w:val="00A45E04"/>
    <w:rsid w:val="00A4698B"/>
    <w:rsid w:val="00A46C90"/>
    <w:rsid w:val="00A46DDC"/>
    <w:rsid w:val="00A47A52"/>
    <w:rsid w:val="00A47DA8"/>
    <w:rsid w:val="00A50A81"/>
    <w:rsid w:val="00A51AEC"/>
    <w:rsid w:val="00A52ACF"/>
    <w:rsid w:val="00A52CA5"/>
    <w:rsid w:val="00A530EE"/>
    <w:rsid w:val="00A53C91"/>
    <w:rsid w:val="00A543F1"/>
    <w:rsid w:val="00A54568"/>
    <w:rsid w:val="00A55096"/>
    <w:rsid w:val="00A55DB8"/>
    <w:rsid w:val="00A5612F"/>
    <w:rsid w:val="00A56A19"/>
    <w:rsid w:val="00A572E5"/>
    <w:rsid w:val="00A57A3B"/>
    <w:rsid w:val="00A57B2A"/>
    <w:rsid w:val="00A57E5F"/>
    <w:rsid w:val="00A603DF"/>
    <w:rsid w:val="00A607AA"/>
    <w:rsid w:val="00A610BF"/>
    <w:rsid w:val="00A610D2"/>
    <w:rsid w:val="00A611F0"/>
    <w:rsid w:val="00A623FA"/>
    <w:rsid w:val="00A62652"/>
    <w:rsid w:val="00A62981"/>
    <w:rsid w:val="00A63503"/>
    <w:rsid w:val="00A63AE5"/>
    <w:rsid w:val="00A63C2A"/>
    <w:rsid w:val="00A63CC8"/>
    <w:rsid w:val="00A63CE7"/>
    <w:rsid w:val="00A6537F"/>
    <w:rsid w:val="00A655FD"/>
    <w:rsid w:val="00A65722"/>
    <w:rsid w:val="00A6603C"/>
    <w:rsid w:val="00A66582"/>
    <w:rsid w:val="00A66737"/>
    <w:rsid w:val="00A669B3"/>
    <w:rsid w:val="00A66E32"/>
    <w:rsid w:val="00A672FE"/>
    <w:rsid w:val="00A67372"/>
    <w:rsid w:val="00A67759"/>
    <w:rsid w:val="00A677E5"/>
    <w:rsid w:val="00A6784F"/>
    <w:rsid w:val="00A70132"/>
    <w:rsid w:val="00A709BF"/>
    <w:rsid w:val="00A71092"/>
    <w:rsid w:val="00A71320"/>
    <w:rsid w:val="00A7178B"/>
    <w:rsid w:val="00A71F04"/>
    <w:rsid w:val="00A7291A"/>
    <w:rsid w:val="00A72EEC"/>
    <w:rsid w:val="00A735C9"/>
    <w:rsid w:val="00A7404E"/>
    <w:rsid w:val="00A74065"/>
    <w:rsid w:val="00A7517C"/>
    <w:rsid w:val="00A75649"/>
    <w:rsid w:val="00A75838"/>
    <w:rsid w:val="00A7675C"/>
    <w:rsid w:val="00A80846"/>
    <w:rsid w:val="00A80889"/>
    <w:rsid w:val="00A8145B"/>
    <w:rsid w:val="00A81EB8"/>
    <w:rsid w:val="00A8207D"/>
    <w:rsid w:val="00A82408"/>
    <w:rsid w:val="00A82649"/>
    <w:rsid w:val="00A82E87"/>
    <w:rsid w:val="00A83BBD"/>
    <w:rsid w:val="00A84240"/>
    <w:rsid w:val="00A84730"/>
    <w:rsid w:val="00A8554C"/>
    <w:rsid w:val="00A8566B"/>
    <w:rsid w:val="00A856D6"/>
    <w:rsid w:val="00A865C9"/>
    <w:rsid w:val="00A87083"/>
    <w:rsid w:val="00A87FDE"/>
    <w:rsid w:val="00A90025"/>
    <w:rsid w:val="00A904AA"/>
    <w:rsid w:val="00A906C6"/>
    <w:rsid w:val="00A913D0"/>
    <w:rsid w:val="00A9195C"/>
    <w:rsid w:val="00A91E57"/>
    <w:rsid w:val="00A92353"/>
    <w:rsid w:val="00A9480D"/>
    <w:rsid w:val="00A9535D"/>
    <w:rsid w:val="00A95979"/>
    <w:rsid w:val="00A95EF7"/>
    <w:rsid w:val="00A9689B"/>
    <w:rsid w:val="00A969C9"/>
    <w:rsid w:val="00A97E5E"/>
    <w:rsid w:val="00AA0B5A"/>
    <w:rsid w:val="00AA0C29"/>
    <w:rsid w:val="00AA0CA0"/>
    <w:rsid w:val="00AA111C"/>
    <w:rsid w:val="00AA160E"/>
    <w:rsid w:val="00AA1993"/>
    <w:rsid w:val="00AA1DC9"/>
    <w:rsid w:val="00AA2021"/>
    <w:rsid w:val="00AA2300"/>
    <w:rsid w:val="00AA286C"/>
    <w:rsid w:val="00AA3826"/>
    <w:rsid w:val="00AA383D"/>
    <w:rsid w:val="00AA392C"/>
    <w:rsid w:val="00AA3E54"/>
    <w:rsid w:val="00AA418A"/>
    <w:rsid w:val="00AA4788"/>
    <w:rsid w:val="00AA4E26"/>
    <w:rsid w:val="00AA627B"/>
    <w:rsid w:val="00AA6E25"/>
    <w:rsid w:val="00AB03A3"/>
    <w:rsid w:val="00AB0B08"/>
    <w:rsid w:val="00AB1424"/>
    <w:rsid w:val="00AB189B"/>
    <w:rsid w:val="00AB1AEB"/>
    <w:rsid w:val="00AB1BD7"/>
    <w:rsid w:val="00AB1D8F"/>
    <w:rsid w:val="00AB2AF6"/>
    <w:rsid w:val="00AB326C"/>
    <w:rsid w:val="00AB3A02"/>
    <w:rsid w:val="00AB3D7A"/>
    <w:rsid w:val="00AB40A3"/>
    <w:rsid w:val="00AB40E4"/>
    <w:rsid w:val="00AB40EB"/>
    <w:rsid w:val="00AB43B6"/>
    <w:rsid w:val="00AB4416"/>
    <w:rsid w:val="00AB4914"/>
    <w:rsid w:val="00AB4A82"/>
    <w:rsid w:val="00AB567E"/>
    <w:rsid w:val="00AB56A3"/>
    <w:rsid w:val="00AB69D1"/>
    <w:rsid w:val="00AB6D52"/>
    <w:rsid w:val="00AB6E87"/>
    <w:rsid w:val="00AB70B6"/>
    <w:rsid w:val="00AC00E9"/>
    <w:rsid w:val="00AC034E"/>
    <w:rsid w:val="00AC0E84"/>
    <w:rsid w:val="00AC16B2"/>
    <w:rsid w:val="00AC1928"/>
    <w:rsid w:val="00AC2056"/>
    <w:rsid w:val="00AC21A7"/>
    <w:rsid w:val="00AC21BF"/>
    <w:rsid w:val="00AC3479"/>
    <w:rsid w:val="00AC36EC"/>
    <w:rsid w:val="00AC3911"/>
    <w:rsid w:val="00AC40D0"/>
    <w:rsid w:val="00AC466F"/>
    <w:rsid w:val="00AC4A56"/>
    <w:rsid w:val="00AC5143"/>
    <w:rsid w:val="00AC66F2"/>
    <w:rsid w:val="00AC7C2A"/>
    <w:rsid w:val="00AD0509"/>
    <w:rsid w:val="00AD0C6F"/>
    <w:rsid w:val="00AD0E6D"/>
    <w:rsid w:val="00AD2158"/>
    <w:rsid w:val="00AD2494"/>
    <w:rsid w:val="00AD2910"/>
    <w:rsid w:val="00AD2C1B"/>
    <w:rsid w:val="00AD2F3C"/>
    <w:rsid w:val="00AD30D9"/>
    <w:rsid w:val="00AD3BDD"/>
    <w:rsid w:val="00AD4987"/>
    <w:rsid w:val="00AD4BA1"/>
    <w:rsid w:val="00AD4F18"/>
    <w:rsid w:val="00AE0B9B"/>
    <w:rsid w:val="00AE0E47"/>
    <w:rsid w:val="00AE11CA"/>
    <w:rsid w:val="00AE17FB"/>
    <w:rsid w:val="00AE1FF4"/>
    <w:rsid w:val="00AE26F2"/>
    <w:rsid w:val="00AE36C1"/>
    <w:rsid w:val="00AE3C03"/>
    <w:rsid w:val="00AE3CA4"/>
    <w:rsid w:val="00AE46E5"/>
    <w:rsid w:val="00AE5175"/>
    <w:rsid w:val="00AE5404"/>
    <w:rsid w:val="00AE5898"/>
    <w:rsid w:val="00AE7592"/>
    <w:rsid w:val="00AE7D9A"/>
    <w:rsid w:val="00AE7DAD"/>
    <w:rsid w:val="00AE7DCF"/>
    <w:rsid w:val="00AE7E23"/>
    <w:rsid w:val="00AE7F29"/>
    <w:rsid w:val="00AF04FE"/>
    <w:rsid w:val="00AF09FC"/>
    <w:rsid w:val="00AF0F10"/>
    <w:rsid w:val="00AF1249"/>
    <w:rsid w:val="00AF16F5"/>
    <w:rsid w:val="00AF18B7"/>
    <w:rsid w:val="00AF1D35"/>
    <w:rsid w:val="00AF1E8F"/>
    <w:rsid w:val="00AF1EE5"/>
    <w:rsid w:val="00AF24A3"/>
    <w:rsid w:val="00AF330A"/>
    <w:rsid w:val="00AF35FB"/>
    <w:rsid w:val="00AF4115"/>
    <w:rsid w:val="00AF5A68"/>
    <w:rsid w:val="00AF5B41"/>
    <w:rsid w:val="00AF63C0"/>
    <w:rsid w:val="00AF68EB"/>
    <w:rsid w:val="00B00341"/>
    <w:rsid w:val="00B00644"/>
    <w:rsid w:val="00B025DB"/>
    <w:rsid w:val="00B0268F"/>
    <w:rsid w:val="00B03367"/>
    <w:rsid w:val="00B03C6E"/>
    <w:rsid w:val="00B0410F"/>
    <w:rsid w:val="00B04331"/>
    <w:rsid w:val="00B04826"/>
    <w:rsid w:val="00B04E26"/>
    <w:rsid w:val="00B05C3C"/>
    <w:rsid w:val="00B0632D"/>
    <w:rsid w:val="00B06456"/>
    <w:rsid w:val="00B07955"/>
    <w:rsid w:val="00B07A28"/>
    <w:rsid w:val="00B1034C"/>
    <w:rsid w:val="00B10350"/>
    <w:rsid w:val="00B1087F"/>
    <w:rsid w:val="00B1094B"/>
    <w:rsid w:val="00B11335"/>
    <w:rsid w:val="00B12640"/>
    <w:rsid w:val="00B128C1"/>
    <w:rsid w:val="00B1377C"/>
    <w:rsid w:val="00B14B90"/>
    <w:rsid w:val="00B14D6F"/>
    <w:rsid w:val="00B16EF0"/>
    <w:rsid w:val="00B177CE"/>
    <w:rsid w:val="00B178A5"/>
    <w:rsid w:val="00B20331"/>
    <w:rsid w:val="00B20FBC"/>
    <w:rsid w:val="00B2148D"/>
    <w:rsid w:val="00B21A1D"/>
    <w:rsid w:val="00B21C14"/>
    <w:rsid w:val="00B21F6D"/>
    <w:rsid w:val="00B221A9"/>
    <w:rsid w:val="00B23336"/>
    <w:rsid w:val="00B236AC"/>
    <w:rsid w:val="00B23EF4"/>
    <w:rsid w:val="00B24A59"/>
    <w:rsid w:val="00B24BC2"/>
    <w:rsid w:val="00B24CC4"/>
    <w:rsid w:val="00B25EF5"/>
    <w:rsid w:val="00B262A1"/>
    <w:rsid w:val="00B270E8"/>
    <w:rsid w:val="00B27108"/>
    <w:rsid w:val="00B30472"/>
    <w:rsid w:val="00B31E0D"/>
    <w:rsid w:val="00B31E15"/>
    <w:rsid w:val="00B32938"/>
    <w:rsid w:val="00B337D6"/>
    <w:rsid w:val="00B347B5"/>
    <w:rsid w:val="00B3662E"/>
    <w:rsid w:val="00B3713C"/>
    <w:rsid w:val="00B37550"/>
    <w:rsid w:val="00B4100B"/>
    <w:rsid w:val="00B414AC"/>
    <w:rsid w:val="00B417E8"/>
    <w:rsid w:val="00B41BE6"/>
    <w:rsid w:val="00B41EDE"/>
    <w:rsid w:val="00B4245F"/>
    <w:rsid w:val="00B42A3D"/>
    <w:rsid w:val="00B4358C"/>
    <w:rsid w:val="00B43B33"/>
    <w:rsid w:val="00B43CE2"/>
    <w:rsid w:val="00B44CA5"/>
    <w:rsid w:val="00B453A4"/>
    <w:rsid w:val="00B45C15"/>
    <w:rsid w:val="00B45F93"/>
    <w:rsid w:val="00B462E1"/>
    <w:rsid w:val="00B46937"/>
    <w:rsid w:val="00B46AEF"/>
    <w:rsid w:val="00B4799A"/>
    <w:rsid w:val="00B50B02"/>
    <w:rsid w:val="00B52360"/>
    <w:rsid w:val="00B54423"/>
    <w:rsid w:val="00B54845"/>
    <w:rsid w:val="00B54CC4"/>
    <w:rsid w:val="00B54D5F"/>
    <w:rsid w:val="00B55402"/>
    <w:rsid w:val="00B55605"/>
    <w:rsid w:val="00B55853"/>
    <w:rsid w:val="00B55F75"/>
    <w:rsid w:val="00B56FA7"/>
    <w:rsid w:val="00B5742A"/>
    <w:rsid w:val="00B576D4"/>
    <w:rsid w:val="00B57D37"/>
    <w:rsid w:val="00B57FD8"/>
    <w:rsid w:val="00B6010B"/>
    <w:rsid w:val="00B60356"/>
    <w:rsid w:val="00B61459"/>
    <w:rsid w:val="00B61668"/>
    <w:rsid w:val="00B622E5"/>
    <w:rsid w:val="00B632A3"/>
    <w:rsid w:val="00B63B45"/>
    <w:rsid w:val="00B6443C"/>
    <w:rsid w:val="00B6491D"/>
    <w:rsid w:val="00B65389"/>
    <w:rsid w:val="00B65F62"/>
    <w:rsid w:val="00B66190"/>
    <w:rsid w:val="00B66240"/>
    <w:rsid w:val="00B66372"/>
    <w:rsid w:val="00B674A3"/>
    <w:rsid w:val="00B67B30"/>
    <w:rsid w:val="00B7012B"/>
    <w:rsid w:val="00B7064A"/>
    <w:rsid w:val="00B70B23"/>
    <w:rsid w:val="00B7155D"/>
    <w:rsid w:val="00B73386"/>
    <w:rsid w:val="00B73994"/>
    <w:rsid w:val="00B744EF"/>
    <w:rsid w:val="00B7511A"/>
    <w:rsid w:val="00B75661"/>
    <w:rsid w:val="00B76588"/>
    <w:rsid w:val="00B76FC5"/>
    <w:rsid w:val="00B776BD"/>
    <w:rsid w:val="00B7775B"/>
    <w:rsid w:val="00B77B17"/>
    <w:rsid w:val="00B77E04"/>
    <w:rsid w:val="00B8032E"/>
    <w:rsid w:val="00B80AF8"/>
    <w:rsid w:val="00B81543"/>
    <w:rsid w:val="00B81E7F"/>
    <w:rsid w:val="00B82BCC"/>
    <w:rsid w:val="00B83130"/>
    <w:rsid w:val="00B83551"/>
    <w:rsid w:val="00B83781"/>
    <w:rsid w:val="00B837BF"/>
    <w:rsid w:val="00B85AD2"/>
    <w:rsid w:val="00B85BFC"/>
    <w:rsid w:val="00B85CF1"/>
    <w:rsid w:val="00B867B6"/>
    <w:rsid w:val="00B874DB"/>
    <w:rsid w:val="00B876BE"/>
    <w:rsid w:val="00B877B9"/>
    <w:rsid w:val="00B90069"/>
    <w:rsid w:val="00B90129"/>
    <w:rsid w:val="00B9047E"/>
    <w:rsid w:val="00B91396"/>
    <w:rsid w:val="00B91627"/>
    <w:rsid w:val="00B91C99"/>
    <w:rsid w:val="00B91E72"/>
    <w:rsid w:val="00B926DB"/>
    <w:rsid w:val="00B9280A"/>
    <w:rsid w:val="00B9284D"/>
    <w:rsid w:val="00B9338F"/>
    <w:rsid w:val="00B93A94"/>
    <w:rsid w:val="00B94018"/>
    <w:rsid w:val="00B9568B"/>
    <w:rsid w:val="00B95CBF"/>
    <w:rsid w:val="00B95D07"/>
    <w:rsid w:val="00B95DE1"/>
    <w:rsid w:val="00B961B6"/>
    <w:rsid w:val="00B96559"/>
    <w:rsid w:val="00BA0187"/>
    <w:rsid w:val="00BA1532"/>
    <w:rsid w:val="00BA2F5F"/>
    <w:rsid w:val="00BA31A3"/>
    <w:rsid w:val="00BA32E4"/>
    <w:rsid w:val="00BA3A65"/>
    <w:rsid w:val="00BA3C1F"/>
    <w:rsid w:val="00BA3FA4"/>
    <w:rsid w:val="00BA4E6E"/>
    <w:rsid w:val="00BA582E"/>
    <w:rsid w:val="00BA6209"/>
    <w:rsid w:val="00BA7289"/>
    <w:rsid w:val="00BA775A"/>
    <w:rsid w:val="00BA7952"/>
    <w:rsid w:val="00BA7C9B"/>
    <w:rsid w:val="00BB126D"/>
    <w:rsid w:val="00BB1645"/>
    <w:rsid w:val="00BB1E4A"/>
    <w:rsid w:val="00BB1F9C"/>
    <w:rsid w:val="00BB23AD"/>
    <w:rsid w:val="00BB2E89"/>
    <w:rsid w:val="00BB36A9"/>
    <w:rsid w:val="00BB40D6"/>
    <w:rsid w:val="00BB422B"/>
    <w:rsid w:val="00BB4671"/>
    <w:rsid w:val="00BB46A7"/>
    <w:rsid w:val="00BB4F48"/>
    <w:rsid w:val="00BB5023"/>
    <w:rsid w:val="00BB57A1"/>
    <w:rsid w:val="00BB5D3F"/>
    <w:rsid w:val="00BB5EF6"/>
    <w:rsid w:val="00BB6513"/>
    <w:rsid w:val="00BB711F"/>
    <w:rsid w:val="00BC000B"/>
    <w:rsid w:val="00BC0376"/>
    <w:rsid w:val="00BC0399"/>
    <w:rsid w:val="00BC1E62"/>
    <w:rsid w:val="00BC2B72"/>
    <w:rsid w:val="00BC2F59"/>
    <w:rsid w:val="00BC354B"/>
    <w:rsid w:val="00BC43C5"/>
    <w:rsid w:val="00BC46C2"/>
    <w:rsid w:val="00BC4A43"/>
    <w:rsid w:val="00BC4FDF"/>
    <w:rsid w:val="00BC510F"/>
    <w:rsid w:val="00BC57ED"/>
    <w:rsid w:val="00BC665F"/>
    <w:rsid w:val="00BC66B4"/>
    <w:rsid w:val="00BC70DE"/>
    <w:rsid w:val="00BC7316"/>
    <w:rsid w:val="00BC7445"/>
    <w:rsid w:val="00BC7909"/>
    <w:rsid w:val="00BD186B"/>
    <w:rsid w:val="00BD2560"/>
    <w:rsid w:val="00BD2671"/>
    <w:rsid w:val="00BD36BD"/>
    <w:rsid w:val="00BD4531"/>
    <w:rsid w:val="00BD4D93"/>
    <w:rsid w:val="00BD5046"/>
    <w:rsid w:val="00BD7F8F"/>
    <w:rsid w:val="00BE003F"/>
    <w:rsid w:val="00BE0BA2"/>
    <w:rsid w:val="00BE0E2C"/>
    <w:rsid w:val="00BE1EFA"/>
    <w:rsid w:val="00BE21BC"/>
    <w:rsid w:val="00BE2871"/>
    <w:rsid w:val="00BE371A"/>
    <w:rsid w:val="00BE3921"/>
    <w:rsid w:val="00BE59D7"/>
    <w:rsid w:val="00BE5A94"/>
    <w:rsid w:val="00BE5F3D"/>
    <w:rsid w:val="00BE604F"/>
    <w:rsid w:val="00BE63CC"/>
    <w:rsid w:val="00BE6414"/>
    <w:rsid w:val="00BE6B3D"/>
    <w:rsid w:val="00BE74A9"/>
    <w:rsid w:val="00BE7C9D"/>
    <w:rsid w:val="00BF0D61"/>
    <w:rsid w:val="00BF12EC"/>
    <w:rsid w:val="00BF1572"/>
    <w:rsid w:val="00BF1C5F"/>
    <w:rsid w:val="00BF2102"/>
    <w:rsid w:val="00BF21D2"/>
    <w:rsid w:val="00BF26F8"/>
    <w:rsid w:val="00BF361C"/>
    <w:rsid w:val="00BF3753"/>
    <w:rsid w:val="00BF37A1"/>
    <w:rsid w:val="00BF3888"/>
    <w:rsid w:val="00BF39A4"/>
    <w:rsid w:val="00BF3A3B"/>
    <w:rsid w:val="00BF5394"/>
    <w:rsid w:val="00BF6219"/>
    <w:rsid w:val="00BF6A5E"/>
    <w:rsid w:val="00BF7413"/>
    <w:rsid w:val="00BF7B6A"/>
    <w:rsid w:val="00C00B4C"/>
    <w:rsid w:val="00C02161"/>
    <w:rsid w:val="00C022B9"/>
    <w:rsid w:val="00C02AE7"/>
    <w:rsid w:val="00C02E71"/>
    <w:rsid w:val="00C035BD"/>
    <w:rsid w:val="00C0426A"/>
    <w:rsid w:val="00C0474E"/>
    <w:rsid w:val="00C04BC7"/>
    <w:rsid w:val="00C053FD"/>
    <w:rsid w:val="00C05917"/>
    <w:rsid w:val="00C05A3B"/>
    <w:rsid w:val="00C0695B"/>
    <w:rsid w:val="00C100B4"/>
    <w:rsid w:val="00C109B6"/>
    <w:rsid w:val="00C11D3F"/>
    <w:rsid w:val="00C11D4C"/>
    <w:rsid w:val="00C12034"/>
    <w:rsid w:val="00C14ECD"/>
    <w:rsid w:val="00C1549C"/>
    <w:rsid w:val="00C16C58"/>
    <w:rsid w:val="00C16D80"/>
    <w:rsid w:val="00C16F86"/>
    <w:rsid w:val="00C17561"/>
    <w:rsid w:val="00C2112F"/>
    <w:rsid w:val="00C216B5"/>
    <w:rsid w:val="00C2208E"/>
    <w:rsid w:val="00C22757"/>
    <w:rsid w:val="00C22B06"/>
    <w:rsid w:val="00C23478"/>
    <w:rsid w:val="00C241B0"/>
    <w:rsid w:val="00C2470C"/>
    <w:rsid w:val="00C247EE"/>
    <w:rsid w:val="00C24A84"/>
    <w:rsid w:val="00C25377"/>
    <w:rsid w:val="00C25C01"/>
    <w:rsid w:val="00C266B5"/>
    <w:rsid w:val="00C266C5"/>
    <w:rsid w:val="00C26715"/>
    <w:rsid w:val="00C26917"/>
    <w:rsid w:val="00C270ED"/>
    <w:rsid w:val="00C31781"/>
    <w:rsid w:val="00C317F6"/>
    <w:rsid w:val="00C318BC"/>
    <w:rsid w:val="00C319CB"/>
    <w:rsid w:val="00C31DB9"/>
    <w:rsid w:val="00C31E52"/>
    <w:rsid w:val="00C321E9"/>
    <w:rsid w:val="00C335FB"/>
    <w:rsid w:val="00C35066"/>
    <w:rsid w:val="00C350CA"/>
    <w:rsid w:val="00C354E3"/>
    <w:rsid w:val="00C35AFA"/>
    <w:rsid w:val="00C35C0D"/>
    <w:rsid w:val="00C35E9C"/>
    <w:rsid w:val="00C3682A"/>
    <w:rsid w:val="00C3715D"/>
    <w:rsid w:val="00C37A89"/>
    <w:rsid w:val="00C37CEB"/>
    <w:rsid w:val="00C37FEE"/>
    <w:rsid w:val="00C403D6"/>
    <w:rsid w:val="00C40479"/>
    <w:rsid w:val="00C412CF"/>
    <w:rsid w:val="00C427A0"/>
    <w:rsid w:val="00C427D7"/>
    <w:rsid w:val="00C43755"/>
    <w:rsid w:val="00C440D4"/>
    <w:rsid w:val="00C44E92"/>
    <w:rsid w:val="00C452E8"/>
    <w:rsid w:val="00C45379"/>
    <w:rsid w:val="00C45BD4"/>
    <w:rsid w:val="00C45E52"/>
    <w:rsid w:val="00C4629D"/>
    <w:rsid w:val="00C46442"/>
    <w:rsid w:val="00C51EDF"/>
    <w:rsid w:val="00C528EA"/>
    <w:rsid w:val="00C52D39"/>
    <w:rsid w:val="00C53F50"/>
    <w:rsid w:val="00C54194"/>
    <w:rsid w:val="00C5618C"/>
    <w:rsid w:val="00C568DD"/>
    <w:rsid w:val="00C56B84"/>
    <w:rsid w:val="00C57541"/>
    <w:rsid w:val="00C57A64"/>
    <w:rsid w:val="00C57D53"/>
    <w:rsid w:val="00C60A71"/>
    <w:rsid w:val="00C628D4"/>
    <w:rsid w:val="00C62F47"/>
    <w:rsid w:val="00C63021"/>
    <w:rsid w:val="00C64A76"/>
    <w:rsid w:val="00C64BFD"/>
    <w:rsid w:val="00C670A4"/>
    <w:rsid w:val="00C675B8"/>
    <w:rsid w:val="00C703BB"/>
    <w:rsid w:val="00C70DBF"/>
    <w:rsid w:val="00C70E15"/>
    <w:rsid w:val="00C70F56"/>
    <w:rsid w:val="00C713CD"/>
    <w:rsid w:val="00C71BA5"/>
    <w:rsid w:val="00C73BAB"/>
    <w:rsid w:val="00C74282"/>
    <w:rsid w:val="00C74826"/>
    <w:rsid w:val="00C748B0"/>
    <w:rsid w:val="00C75170"/>
    <w:rsid w:val="00C752ED"/>
    <w:rsid w:val="00C75742"/>
    <w:rsid w:val="00C75B25"/>
    <w:rsid w:val="00C7770D"/>
    <w:rsid w:val="00C7773C"/>
    <w:rsid w:val="00C80CD9"/>
    <w:rsid w:val="00C82117"/>
    <w:rsid w:val="00C82465"/>
    <w:rsid w:val="00C83328"/>
    <w:rsid w:val="00C84624"/>
    <w:rsid w:val="00C84BE0"/>
    <w:rsid w:val="00C84CED"/>
    <w:rsid w:val="00C8599B"/>
    <w:rsid w:val="00C85F5E"/>
    <w:rsid w:val="00C86033"/>
    <w:rsid w:val="00C862C9"/>
    <w:rsid w:val="00C86773"/>
    <w:rsid w:val="00C87364"/>
    <w:rsid w:val="00C874B2"/>
    <w:rsid w:val="00C87F36"/>
    <w:rsid w:val="00C90BFE"/>
    <w:rsid w:val="00C90CD5"/>
    <w:rsid w:val="00C91972"/>
    <w:rsid w:val="00C92252"/>
    <w:rsid w:val="00C926DB"/>
    <w:rsid w:val="00C93799"/>
    <w:rsid w:val="00C93EA8"/>
    <w:rsid w:val="00C943DA"/>
    <w:rsid w:val="00C94934"/>
    <w:rsid w:val="00C94B0F"/>
    <w:rsid w:val="00C94CF4"/>
    <w:rsid w:val="00C94DD4"/>
    <w:rsid w:val="00C9500F"/>
    <w:rsid w:val="00C9550B"/>
    <w:rsid w:val="00C9783D"/>
    <w:rsid w:val="00CA0CA5"/>
    <w:rsid w:val="00CA0F68"/>
    <w:rsid w:val="00CA1F83"/>
    <w:rsid w:val="00CA2D15"/>
    <w:rsid w:val="00CA2F69"/>
    <w:rsid w:val="00CA3291"/>
    <w:rsid w:val="00CA3CD1"/>
    <w:rsid w:val="00CA3D42"/>
    <w:rsid w:val="00CA5425"/>
    <w:rsid w:val="00CA5978"/>
    <w:rsid w:val="00CA634D"/>
    <w:rsid w:val="00CA65E8"/>
    <w:rsid w:val="00CA6F82"/>
    <w:rsid w:val="00CB05AD"/>
    <w:rsid w:val="00CB0B0A"/>
    <w:rsid w:val="00CB0B4B"/>
    <w:rsid w:val="00CB17E2"/>
    <w:rsid w:val="00CB401B"/>
    <w:rsid w:val="00CB42B6"/>
    <w:rsid w:val="00CB73FF"/>
    <w:rsid w:val="00CB7401"/>
    <w:rsid w:val="00CC0244"/>
    <w:rsid w:val="00CC0403"/>
    <w:rsid w:val="00CC054F"/>
    <w:rsid w:val="00CC1610"/>
    <w:rsid w:val="00CC16AA"/>
    <w:rsid w:val="00CC219B"/>
    <w:rsid w:val="00CC2C41"/>
    <w:rsid w:val="00CC2C7B"/>
    <w:rsid w:val="00CC3896"/>
    <w:rsid w:val="00CC3F9E"/>
    <w:rsid w:val="00CC406F"/>
    <w:rsid w:val="00CC53E6"/>
    <w:rsid w:val="00CC54D9"/>
    <w:rsid w:val="00CC55B5"/>
    <w:rsid w:val="00CC5E40"/>
    <w:rsid w:val="00CC5E62"/>
    <w:rsid w:val="00CC5EE5"/>
    <w:rsid w:val="00CC686F"/>
    <w:rsid w:val="00CC696E"/>
    <w:rsid w:val="00CC6A69"/>
    <w:rsid w:val="00CC6C29"/>
    <w:rsid w:val="00CC6C54"/>
    <w:rsid w:val="00CC7030"/>
    <w:rsid w:val="00CC741B"/>
    <w:rsid w:val="00CD0A29"/>
    <w:rsid w:val="00CD213E"/>
    <w:rsid w:val="00CD218F"/>
    <w:rsid w:val="00CD2DF9"/>
    <w:rsid w:val="00CD30FE"/>
    <w:rsid w:val="00CD3774"/>
    <w:rsid w:val="00CD3888"/>
    <w:rsid w:val="00CD5228"/>
    <w:rsid w:val="00CD52E8"/>
    <w:rsid w:val="00CD6514"/>
    <w:rsid w:val="00CD65A2"/>
    <w:rsid w:val="00CD6637"/>
    <w:rsid w:val="00CD66A4"/>
    <w:rsid w:val="00CD698C"/>
    <w:rsid w:val="00CD69E7"/>
    <w:rsid w:val="00CD69E9"/>
    <w:rsid w:val="00CD6A70"/>
    <w:rsid w:val="00CE02D2"/>
    <w:rsid w:val="00CE399C"/>
    <w:rsid w:val="00CE4FD3"/>
    <w:rsid w:val="00CE576A"/>
    <w:rsid w:val="00CE5BD9"/>
    <w:rsid w:val="00CE6025"/>
    <w:rsid w:val="00CE6ABF"/>
    <w:rsid w:val="00CE6AEE"/>
    <w:rsid w:val="00CE6BA9"/>
    <w:rsid w:val="00CE6F0E"/>
    <w:rsid w:val="00CE7151"/>
    <w:rsid w:val="00CF0403"/>
    <w:rsid w:val="00CF0A15"/>
    <w:rsid w:val="00CF1537"/>
    <w:rsid w:val="00CF1B2A"/>
    <w:rsid w:val="00CF1CFA"/>
    <w:rsid w:val="00CF2EA1"/>
    <w:rsid w:val="00CF3F30"/>
    <w:rsid w:val="00CF3FEF"/>
    <w:rsid w:val="00CF4A2B"/>
    <w:rsid w:val="00CF4B77"/>
    <w:rsid w:val="00CF51DB"/>
    <w:rsid w:val="00CF5572"/>
    <w:rsid w:val="00CF5B2E"/>
    <w:rsid w:val="00CF5BDF"/>
    <w:rsid w:val="00CF6536"/>
    <w:rsid w:val="00CF7996"/>
    <w:rsid w:val="00D01783"/>
    <w:rsid w:val="00D01B32"/>
    <w:rsid w:val="00D01F24"/>
    <w:rsid w:val="00D01FA0"/>
    <w:rsid w:val="00D02011"/>
    <w:rsid w:val="00D029A1"/>
    <w:rsid w:val="00D02EE9"/>
    <w:rsid w:val="00D032EF"/>
    <w:rsid w:val="00D0360E"/>
    <w:rsid w:val="00D03C5C"/>
    <w:rsid w:val="00D0458F"/>
    <w:rsid w:val="00D0470D"/>
    <w:rsid w:val="00D06C66"/>
    <w:rsid w:val="00D0705E"/>
    <w:rsid w:val="00D07CA7"/>
    <w:rsid w:val="00D10129"/>
    <w:rsid w:val="00D109E2"/>
    <w:rsid w:val="00D10DD5"/>
    <w:rsid w:val="00D10F30"/>
    <w:rsid w:val="00D10F73"/>
    <w:rsid w:val="00D1142B"/>
    <w:rsid w:val="00D12115"/>
    <w:rsid w:val="00D1261E"/>
    <w:rsid w:val="00D13CF7"/>
    <w:rsid w:val="00D14195"/>
    <w:rsid w:val="00D14634"/>
    <w:rsid w:val="00D14FDD"/>
    <w:rsid w:val="00D15EFE"/>
    <w:rsid w:val="00D16E18"/>
    <w:rsid w:val="00D17DAC"/>
    <w:rsid w:val="00D2117D"/>
    <w:rsid w:val="00D21862"/>
    <w:rsid w:val="00D2209F"/>
    <w:rsid w:val="00D22C6A"/>
    <w:rsid w:val="00D23301"/>
    <w:rsid w:val="00D23DD5"/>
    <w:rsid w:val="00D249B8"/>
    <w:rsid w:val="00D268A0"/>
    <w:rsid w:val="00D27E36"/>
    <w:rsid w:val="00D27EA4"/>
    <w:rsid w:val="00D30019"/>
    <w:rsid w:val="00D306A9"/>
    <w:rsid w:val="00D31676"/>
    <w:rsid w:val="00D321F1"/>
    <w:rsid w:val="00D33EB5"/>
    <w:rsid w:val="00D342D5"/>
    <w:rsid w:val="00D34C28"/>
    <w:rsid w:val="00D34F95"/>
    <w:rsid w:val="00D35C79"/>
    <w:rsid w:val="00D3664E"/>
    <w:rsid w:val="00D366C3"/>
    <w:rsid w:val="00D36E16"/>
    <w:rsid w:val="00D405DB"/>
    <w:rsid w:val="00D4092C"/>
    <w:rsid w:val="00D416BF"/>
    <w:rsid w:val="00D4238F"/>
    <w:rsid w:val="00D42C6A"/>
    <w:rsid w:val="00D436AD"/>
    <w:rsid w:val="00D43F01"/>
    <w:rsid w:val="00D43FD7"/>
    <w:rsid w:val="00D46BD2"/>
    <w:rsid w:val="00D50EED"/>
    <w:rsid w:val="00D51487"/>
    <w:rsid w:val="00D522B4"/>
    <w:rsid w:val="00D523B6"/>
    <w:rsid w:val="00D52513"/>
    <w:rsid w:val="00D52A90"/>
    <w:rsid w:val="00D53085"/>
    <w:rsid w:val="00D543FB"/>
    <w:rsid w:val="00D54E22"/>
    <w:rsid w:val="00D5527B"/>
    <w:rsid w:val="00D56130"/>
    <w:rsid w:val="00D56EFA"/>
    <w:rsid w:val="00D572FC"/>
    <w:rsid w:val="00D60B33"/>
    <w:rsid w:val="00D60B7E"/>
    <w:rsid w:val="00D6135B"/>
    <w:rsid w:val="00D617A8"/>
    <w:rsid w:val="00D62A06"/>
    <w:rsid w:val="00D62C1A"/>
    <w:rsid w:val="00D62F5E"/>
    <w:rsid w:val="00D63D1F"/>
    <w:rsid w:val="00D643B0"/>
    <w:rsid w:val="00D64CA7"/>
    <w:rsid w:val="00D64DB1"/>
    <w:rsid w:val="00D64E8D"/>
    <w:rsid w:val="00D65ADA"/>
    <w:rsid w:val="00D66081"/>
    <w:rsid w:val="00D66990"/>
    <w:rsid w:val="00D67EB1"/>
    <w:rsid w:val="00D67ECA"/>
    <w:rsid w:val="00D70231"/>
    <w:rsid w:val="00D71152"/>
    <w:rsid w:val="00D71E11"/>
    <w:rsid w:val="00D729F6"/>
    <w:rsid w:val="00D74D59"/>
    <w:rsid w:val="00D74DDD"/>
    <w:rsid w:val="00D74E1A"/>
    <w:rsid w:val="00D75835"/>
    <w:rsid w:val="00D75D47"/>
    <w:rsid w:val="00D76048"/>
    <w:rsid w:val="00D760E7"/>
    <w:rsid w:val="00D762EF"/>
    <w:rsid w:val="00D7653E"/>
    <w:rsid w:val="00D76689"/>
    <w:rsid w:val="00D76919"/>
    <w:rsid w:val="00D77E41"/>
    <w:rsid w:val="00D8039A"/>
    <w:rsid w:val="00D81498"/>
    <w:rsid w:val="00D81B99"/>
    <w:rsid w:val="00D81FEC"/>
    <w:rsid w:val="00D82057"/>
    <w:rsid w:val="00D823EE"/>
    <w:rsid w:val="00D82815"/>
    <w:rsid w:val="00D832A4"/>
    <w:rsid w:val="00D838AF"/>
    <w:rsid w:val="00D84285"/>
    <w:rsid w:val="00D84349"/>
    <w:rsid w:val="00D84866"/>
    <w:rsid w:val="00D8560C"/>
    <w:rsid w:val="00D90202"/>
    <w:rsid w:val="00D902F2"/>
    <w:rsid w:val="00D90B88"/>
    <w:rsid w:val="00D91448"/>
    <w:rsid w:val="00D92263"/>
    <w:rsid w:val="00D92855"/>
    <w:rsid w:val="00D93D26"/>
    <w:rsid w:val="00D964F2"/>
    <w:rsid w:val="00D96C27"/>
    <w:rsid w:val="00D96EEC"/>
    <w:rsid w:val="00D97574"/>
    <w:rsid w:val="00DA0B47"/>
    <w:rsid w:val="00DA0BC9"/>
    <w:rsid w:val="00DA0F3E"/>
    <w:rsid w:val="00DA11A5"/>
    <w:rsid w:val="00DA1871"/>
    <w:rsid w:val="00DA1A41"/>
    <w:rsid w:val="00DA1D7D"/>
    <w:rsid w:val="00DA1E89"/>
    <w:rsid w:val="00DA2471"/>
    <w:rsid w:val="00DA248F"/>
    <w:rsid w:val="00DA2E96"/>
    <w:rsid w:val="00DA2EA7"/>
    <w:rsid w:val="00DA32EB"/>
    <w:rsid w:val="00DA486E"/>
    <w:rsid w:val="00DA512F"/>
    <w:rsid w:val="00DA5201"/>
    <w:rsid w:val="00DA54D4"/>
    <w:rsid w:val="00DA5D21"/>
    <w:rsid w:val="00DA617F"/>
    <w:rsid w:val="00DA6612"/>
    <w:rsid w:val="00DA706A"/>
    <w:rsid w:val="00DA72CF"/>
    <w:rsid w:val="00DA7727"/>
    <w:rsid w:val="00DA7D0F"/>
    <w:rsid w:val="00DB020B"/>
    <w:rsid w:val="00DB0281"/>
    <w:rsid w:val="00DB1E42"/>
    <w:rsid w:val="00DB1FB2"/>
    <w:rsid w:val="00DB2616"/>
    <w:rsid w:val="00DB303C"/>
    <w:rsid w:val="00DB34E0"/>
    <w:rsid w:val="00DB4252"/>
    <w:rsid w:val="00DB484B"/>
    <w:rsid w:val="00DB49C5"/>
    <w:rsid w:val="00DB4B86"/>
    <w:rsid w:val="00DB6103"/>
    <w:rsid w:val="00DB62A5"/>
    <w:rsid w:val="00DB62A6"/>
    <w:rsid w:val="00DB6606"/>
    <w:rsid w:val="00DB6D36"/>
    <w:rsid w:val="00DB7756"/>
    <w:rsid w:val="00DB7784"/>
    <w:rsid w:val="00DB7905"/>
    <w:rsid w:val="00DB7A2A"/>
    <w:rsid w:val="00DB7B75"/>
    <w:rsid w:val="00DC0A1C"/>
    <w:rsid w:val="00DC169C"/>
    <w:rsid w:val="00DC1922"/>
    <w:rsid w:val="00DC3548"/>
    <w:rsid w:val="00DC3654"/>
    <w:rsid w:val="00DC3CEF"/>
    <w:rsid w:val="00DC4A31"/>
    <w:rsid w:val="00DC528E"/>
    <w:rsid w:val="00DC5621"/>
    <w:rsid w:val="00DC579E"/>
    <w:rsid w:val="00DC5AF4"/>
    <w:rsid w:val="00DC6567"/>
    <w:rsid w:val="00DC6CFC"/>
    <w:rsid w:val="00DC7C84"/>
    <w:rsid w:val="00DD0AE8"/>
    <w:rsid w:val="00DD0E63"/>
    <w:rsid w:val="00DD1586"/>
    <w:rsid w:val="00DD1F25"/>
    <w:rsid w:val="00DD25DF"/>
    <w:rsid w:val="00DD290B"/>
    <w:rsid w:val="00DD2F38"/>
    <w:rsid w:val="00DD4A3C"/>
    <w:rsid w:val="00DD5432"/>
    <w:rsid w:val="00DD5BBC"/>
    <w:rsid w:val="00DD736C"/>
    <w:rsid w:val="00DD76FC"/>
    <w:rsid w:val="00DD7B4A"/>
    <w:rsid w:val="00DE0182"/>
    <w:rsid w:val="00DE1999"/>
    <w:rsid w:val="00DE278C"/>
    <w:rsid w:val="00DE282A"/>
    <w:rsid w:val="00DE2D9A"/>
    <w:rsid w:val="00DE3400"/>
    <w:rsid w:val="00DE429F"/>
    <w:rsid w:val="00DE5249"/>
    <w:rsid w:val="00DE620B"/>
    <w:rsid w:val="00DE6CF2"/>
    <w:rsid w:val="00DF041F"/>
    <w:rsid w:val="00DF04C7"/>
    <w:rsid w:val="00DF0C04"/>
    <w:rsid w:val="00DF0F6D"/>
    <w:rsid w:val="00DF13FD"/>
    <w:rsid w:val="00DF1D30"/>
    <w:rsid w:val="00DF1D9F"/>
    <w:rsid w:val="00DF213A"/>
    <w:rsid w:val="00DF2770"/>
    <w:rsid w:val="00DF2ED7"/>
    <w:rsid w:val="00DF3311"/>
    <w:rsid w:val="00DF354A"/>
    <w:rsid w:val="00DF4698"/>
    <w:rsid w:val="00DF48B7"/>
    <w:rsid w:val="00DF4D7E"/>
    <w:rsid w:val="00DF5FFE"/>
    <w:rsid w:val="00DF65F7"/>
    <w:rsid w:val="00DF6670"/>
    <w:rsid w:val="00DF6CDB"/>
    <w:rsid w:val="00DF6D56"/>
    <w:rsid w:val="00DF7EDA"/>
    <w:rsid w:val="00E00515"/>
    <w:rsid w:val="00E00F2B"/>
    <w:rsid w:val="00E011A8"/>
    <w:rsid w:val="00E01436"/>
    <w:rsid w:val="00E01975"/>
    <w:rsid w:val="00E01BFC"/>
    <w:rsid w:val="00E01C05"/>
    <w:rsid w:val="00E01CF8"/>
    <w:rsid w:val="00E02292"/>
    <w:rsid w:val="00E02FEA"/>
    <w:rsid w:val="00E0386F"/>
    <w:rsid w:val="00E03E72"/>
    <w:rsid w:val="00E03FD4"/>
    <w:rsid w:val="00E041D5"/>
    <w:rsid w:val="00E04F65"/>
    <w:rsid w:val="00E057FE"/>
    <w:rsid w:val="00E05C1C"/>
    <w:rsid w:val="00E05DBB"/>
    <w:rsid w:val="00E060B7"/>
    <w:rsid w:val="00E06777"/>
    <w:rsid w:val="00E06B7F"/>
    <w:rsid w:val="00E0794A"/>
    <w:rsid w:val="00E10F47"/>
    <w:rsid w:val="00E10F48"/>
    <w:rsid w:val="00E10F6C"/>
    <w:rsid w:val="00E111D5"/>
    <w:rsid w:val="00E11274"/>
    <w:rsid w:val="00E11398"/>
    <w:rsid w:val="00E11AE8"/>
    <w:rsid w:val="00E11EA2"/>
    <w:rsid w:val="00E1218B"/>
    <w:rsid w:val="00E12257"/>
    <w:rsid w:val="00E1277D"/>
    <w:rsid w:val="00E140D1"/>
    <w:rsid w:val="00E16007"/>
    <w:rsid w:val="00E165EE"/>
    <w:rsid w:val="00E16630"/>
    <w:rsid w:val="00E166BB"/>
    <w:rsid w:val="00E20806"/>
    <w:rsid w:val="00E20956"/>
    <w:rsid w:val="00E2123B"/>
    <w:rsid w:val="00E213AA"/>
    <w:rsid w:val="00E21795"/>
    <w:rsid w:val="00E22241"/>
    <w:rsid w:val="00E22719"/>
    <w:rsid w:val="00E227F3"/>
    <w:rsid w:val="00E22B2A"/>
    <w:rsid w:val="00E22FB4"/>
    <w:rsid w:val="00E235E7"/>
    <w:rsid w:val="00E237F6"/>
    <w:rsid w:val="00E24C65"/>
    <w:rsid w:val="00E24E03"/>
    <w:rsid w:val="00E250E8"/>
    <w:rsid w:val="00E25218"/>
    <w:rsid w:val="00E256B9"/>
    <w:rsid w:val="00E25E98"/>
    <w:rsid w:val="00E25FD7"/>
    <w:rsid w:val="00E2603D"/>
    <w:rsid w:val="00E2640D"/>
    <w:rsid w:val="00E27087"/>
    <w:rsid w:val="00E2745F"/>
    <w:rsid w:val="00E305DF"/>
    <w:rsid w:val="00E30936"/>
    <w:rsid w:val="00E31CEA"/>
    <w:rsid w:val="00E32A0A"/>
    <w:rsid w:val="00E33DBB"/>
    <w:rsid w:val="00E33EDA"/>
    <w:rsid w:val="00E35FF9"/>
    <w:rsid w:val="00E36334"/>
    <w:rsid w:val="00E36397"/>
    <w:rsid w:val="00E370CD"/>
    <w:rsid w:val="00E37150"/>
    <w:rsid w:val="00E37BAB"/>
    <w:rsid w:val="00E40BE2"/>
    <w:rsid w:val="00E40E27"/>
    <w:rsid w:val="00E40E7C"/>
    <w:rsid w:val="00E4136D"/>
    <w:rsid w:val="00E413B5"/>
    <w:rsid w:val="00E4153E"/>
    <w:rsid w:val="00E43358"/>
    <w:rsid w:val="00E44071"/>
    <w:rsid w:val="00E44CBE"/>
    <w:rsid w:val="00E453A7"/>
    <w:rsid w:val="00E4595B"/>
    <w:rsid w:val="00E4642D"/>
    <w:rsid w:val="00E471B3"/>
    <w:rsid w:val="00E47A8A"/>
    <w:rsid w:val="00E50A99"/>
    <w:rsid w:val="00E51B44"/>
    <w:rsid w:val="00E51F84"/>
    <w:rsid w:val="00E53AB6"/>
    <w:rsid w:val="00E53CA9"/>
    <w:rsid w:val="00E5464C"/>
    <w:rsid w:val="00E54B97"/>
    <w:rsid w:val="00E54C65"/>
    <w:rsid w:val="00E55200"/>
    <w:rsid w:val="00E5535D"/>
    <w:rsid w:val="00E557B2"/>
    <w:rsid w:val="00E55CAA"/>
    <w:rsid w:val="00E56614"/>
    <w:rsid w:val="00E5686C"/>
    <w:rsid w:val="00E5751F"/>
    <w:rsid w:val="00E5753A"/>
    <w:rsid w:val="00E602DD"/>
    <w:rsid w:val="00E61222"/>
    <w:rsid w:val="00E61788"/>
    <w:rsid w:val="00E6181C"/>
    <w:rsid w:val="00E61C7F"/>
    <w:rsid w:val="00E62150"/>
    <w:rsid w:val="00E629A8"/>
    <w:rsid w:val="00E62F4C"/>
    <w:rsid w:val="00E6361F"/>
    <w:rsid w:val="00E64D8B"/>
    <w:rsid w:val="00E65295"/>
    <w:rsid w:val="00E661F4"/>
    <w:rsid w:val="00E66917"/>
    <w:rsid w:val="00E67921"/>
    <w:rsid w:val="00E71329"/>
    <w:rsid w:val="00E71370"/>
    <w:rsid w:val="00E71989"/>
    <w:rsid w:val="00E71E64"/>
    <w:rsid w:val="00E72B5D"/>
    <w:rsid w:val="00E730E8"/>
    <w:rsid w:val="00E73BC3"/>
    <w:rsid w:val="00E74747"/>
    <w:rsid w:val="00E766ED"/>
    <w:rsid w:val="00E76A71"/>
    <w:rsid w:val="00E76F07"/>
    <w:rsid w:val="00E7736B"/>
    <w:rsid w:val="00E80742"/>
    <w:rsid w:val="00E8076A"/>
    <w:rsid w:val="00E81065"/>
    <w:rsid w:val="00E81080"/>
    <w:rsid w:val="00E8151B"/>
    <w:rsid w:val="00E84708"/>
    <w:rsid w:val="00E84D3F"/>
    <w:rsid w:val="00E851E6"/>
    <w:rsid w:val="00E8579F"/>
    <w:rsid w:val="00E85A3C"/>
    <w:rsid w:val="00E86CCA"/>
    <w:rsid w:val="00E8767C"/>
    <w:rsid w:val="00E901D0"/>
    <w:rsid w:val="00E90708"/>
    <w:rsid w:val="00E912EE"/>
    <w:rsid w:val="00E915CC"/>
    <w:rsid w:val="00E919E6"/>
    <w:rsid w:val="00E91F68"/>
    <w:rsid w:val="00E92949"/>
    <w:rsid w:val="00E92BAF"/>
    <w:rsid w:val="00E94DC9"/>
    <w:rsid w:val="00E94F57"/>
    <w:rsid w:val="00E94FDF"/>
    <w:rsid w:val="00E9500A"/>
    <w:rsid w:val="00E950DD"/>
    <w:rsid w:val="00E9590F"/>
    <w:rsid w:val="00E960FF"/>
    <w:rsid w:val="00E961CF"/>
    <w:rsid w:val="00E96510"/>
    <w:rsid w:val="00E96547"/>
    <w:rsid w:val="00E96CED"/>
    <w:rsid w:val="00E96CF4"/>
    <w:rsid w:val="00E976F6"/>
    <w:rsid w:val="00E9774A"/>
    <w:rsid w:val="00EA1F19"/>
    <w:rsid w:val="00EA2C5B"/>
    <w:rsid w:val="00EA32D8"/>
    <w:rsid w:val="00EA33C2"/>
    <w:rsid w:val="00EA3787"/>
    <w:rsid w:val="00EA3EBC"/>
    <w:rsid w:val="00EA5058"/>
    <w:rsid w:val="00EA5509"/>
    <w:rsid w:val="00EA567F"/>
    <w:rsid w:val="00EA61AF"/>
    <w:rsid w:val="00EB01A5"/>
    <w:rsid w:val="00EB1B40"/>
    <w:rsid w:val="00EB1E5B"/>
    <w:rsid w:val="00EB2223"/>
    <w:rsid w:val="00EB234D"/>
    <w:rsid w:val="00EB2676"/>
    <w:rsid w:val="00EB2C53"/>
    <w:rsid w:val="00EB3835"/>
    <w:rsid w:val="00EB3D96"/>
    <w:rsid w:val="00EB52C2"/>
    <w:rsid w:val="00EB54AC"/>
    <w:rsid w:val="00EB6AEA"/>
    <w:rsid w:val="00EB7501"/>
    <w:rsid w:val="00EB7B7A"/>
    <w:rsid w:val="00EC015C"/>
    <w:rsid w:val="00EC0796"/>
    <w:rsid w:val="00EC2279"/>
    <w:rsid w:val="00EC27C5"/>
    <w:rsid w:val="00EC3C9E"/>
    <w:rsid w:val="00EC3E18"/>
    <w:rsid w:val="00EC4891"/>
    <w:rsid w:val="00EC4B44"/>
    <w:rsid w:val="00EC4D1F"/>
    <w:rsid w:val="00EC5209"/>
    <w:rsid w:val="00EC74D4"/>
    <w:rsid w:val="00EC7E81"/>
    <w:rsid w:val="00ED0904"/>
    <w:rsid w:val="00ED0E0F"/>
    <w:rsid w:val="00ED129E"/>
    <w:rsid w:val="00ED13EF"/>
    <w:rsid w:val="00ED1B04"/>
    <w:rsid w:val="00ED27C3"/>
    <w:rsid w:val="00ED2E1B"/>
    <w:rsid w:val="00ED3496"/>
    <w:rsid w:val="00ED3D22"/>
    <w:rsid w:val="00ED417D"/>
    <w:rsid w:val="00ED41E1"/>
    <w:rsid w:val="00ED5087"/>
    <w:rsid w:val="00ED544C"/>
    <w:rsid w:val="00ED59B1"/>
    <w:rsid w:val="00ED66B3"/>
    <w:rsid w:val="00ED68FC"/>
    <w:rsid w:val="00ED6BC5"/>
    <w:rsid w:val="00ED6DA3"/>
    <w:rsid w:val="00ED73B9"/>
    <w:rsid w:val="00ED7595"/>
    <w:rsid w:val="00ED7620"/>
    <w:rsid w:val="00EE00E1"/>
    <w:rsid w:val="00EE0B2F"/>
    <w:rsid w:val="00EE20E9"/>
    <w:rsid w:val="00EE2CBE"/>
    <w:rsid w:val="00EE3F5B"/>
    <w:rsid w:val="00EE6309"/>
    <w:rsid w:val="00EE729B"/>
    <w:rsid w:val="00EE78F9"/>
    <w:rsid w:val="00EE7E16"/>
    <w:rsid w:val="00EF1170"/>
    <w:rsid w:val="00EF1741"/>
    <w:rsid w:val="00EF1936"/>
    <w:rsid w:val="00EF1ED2"/>
    <w:rsid w:val="00EF322D"/>
    <w:rsid w:val="00EF3A83"/>
    <w:rsid w:val="00EF5C4A"/>
    <w:rsid w:val="00EF70F4"/>
    <w:rsid w:val="00EF7924"/>
    <w:rsid w:val="00EF7EEB"/>
    <w:rsid w:val="00F00139"/>
    <w:rsid w:val="00F0025F"/>
    <w:rsid w:val="00F003C5"/>
    <w:rsid w:val="00F012F4"/>
    <w:rsid w:val="00F0170D"/>
    <w:rsid w:val="00F02A0C"/>
    <w:rsid w:val="00F02A8B"/>
    <w:rsid w:val="00F02BAE"/>
    <w:rsid w:val="00F047DD"/>
    <w:rsid w:val="00F04A7C"/>
    <w:rsid w:val="00F05C4A"/>
    <w:rsid w:val="00F07021"/>
    <w:rsid w:val="00F079D2"/>
    <w:rsid w:val="00F10144"/>
    <w:rsid w:val="00F111E6"/>
    <w:rsid w:val="00F11F2D"/>
    <w:rsid w:val="00F12017"/>
    <w:rsid w:val="00F1275A"/>
    <w:rsid w:val="00F129F3"/>
    <w:rsid w:val="00F13705"/>
    <w:rsid w:val="00F138F2"/>
    <w:rsid w:val="00F14321"/>
    <w:rsid w:val="00F14DF2"/>
    <w:rsid w:val="00F151F5"/>
    <w:rsid w:val="00F1532F"/>
    <w:rsid w:val="00F16167"/>
    <w:rsid w:val="00F161C4"/>
    <w:rsid w:val="00F1631A"/>
    <w:rsid w:val="00F168A7"/>
    <w:rsid w:val="00F16DB6"/>
    <w:rsid w:val="00F17122"/>
    <w:rsid w:val="00F17138"/>
    <w:rsid w:val="00F20AE8"/>
    <w:rsid w:val="00F21434"/>
    <w:rsid w:val="00F21ACB"/>
    <w:rsid w:val="00F22B0A"/>
    <w:rsid w:val="00F22DC3"/>
    <w:rsid w:val="00F2310E"/>
    <w:rsid w:val="00F2318E"/>
    <w:rsid w:val="00F23FAD"/>
    <w:rsid w:val="00F25BCA"/>
    <w:rsid w:val="00F25D19"/>
    <w:rsid w:val="00F26151"/>
    <w:rsid w:val="00F26C12"/>
    <w:rsid w:val="00F26D40"/>
    <w:rsid w:val="00F26DE5"/>
    <w:rsid w:val="00F276CF"/>
    <w:rsid w:val="00F30057"/>
    <w:rsid w:val="00F303FC"/>
    <w:rsid w:val="00F31B64"/>
    <w:rsid w:val="00F321DB"/>
    <w:rsid w:val="00F32334"/>
    <w:rsid w:val="00F32B74"/>
    <w:rsid w:val="00F32C1A"/>
    <w:rsid w:val="00F33C62"/>
    <w:rsid w:val="00F34491"/>
    <w:rsid w:val="00F3458D"/>
    <w:rsid w:val="00F34876"/>
    <w:rsid w:val="00F34C74"/>
    <w:rsid w:val="00F35253"/>
    <w:rsid w:val="00F35F9D"/>
    <w:rsid w:val="00F3615E"/>
    <w:rsid w:val="00F36226"/>
    <w:rsid w:val="00F36961"/>
    <w:rsid w:val="00F3767A"/>
    <w:rsid w:val="00F3779C"/>
    <w:rsid w:val="00F37A4B"/>
    <w:rsid w:val="00F41ACC"/>
    <w:rsid w:val="00F431B3"/>
    <w:rsid w:val="00F4384D"/>
    <w:rsid w:val="00F43F55"/>
    <w:rsid w:val="00F444CA"/>
    <w:rsid w:val="00F4550F"/>
    <w:rsid w:val="00F460A5"/>
    <w:rsid w:val="00F46106"/>
    <w:rsid w:val="00F469C2"/>
    <w:rsid w:val="00F477C9"/>
    <w:rsid w:val="00F47A7F"/>
    <w:rsid w:val="00F47CE9"/>
    <w:rsid w:val="00F505BA"/>
    <w:rsid w:val="00F508D8"/>
    <w:rsid w:val="00F50BA9"/>
    <w:rsid w:val="00F51164"/>
    <w:rsid w:val="00F51EB3"/>
    <w:rsid w:val="00F51F90"/>
    <w:rsid w:val="00F52141"/>
    <w:rsid w:val="00F52D0E"/>
    <w:rsid w:val="00F5350C"/>
    <w:rsid w:val="00F53CA9"/>
    <w:rsid w:val="00F53D02"/>
    <w:rsid w:val="00F53E46"/>
    <w:rsid w:val="00F55101"/>
    <w:rsid w:val="00F55AA1"/>
    <w:rsid w:val="00F55BFE"/>
    <w:rsid w:val="00F56253"/>
    <w:rsid w:val="00F56762"/>
    <w:rsid w:val="00F57AF1"/>
    <w:rsid w:val="00F603B8"/>
    <w:rsid w:val="00F6054C"/>
    <w:rsid w:val="00F60977"/>
    <w:rsid w:val="00F6124D"/>
    <w:rsid w:val="00F6168E"/>
    <w:rsid w:val="00F618E5"/>
    <w:rsid w:val="00F619D8"/>
    <w:rsid w:val="00F62B9B"/>
    <w:rsid w:val="00F634CF"/>
    <w:rsid w:val="00F642BC"/>
    <w:rsid w:val="00F65225"/>
    <w:rsid w:val="00F6628C"/>
    <w:rsid w:val="00F6655F"/>
    <w:rsid w:val="00F6696E"/>
    <w:rsid w:val="00F67B51"/>
    <w:rsid w:val="00F67E92"/>
    <w:rsid w:val="00F7072B"/>
    <w:rsid w:val="00F70BE3"/>
    <w:rsid w:val="00F73759"/>
    <w:rsid w:val="00F742F4"/>
    <w:rsid w:val="00F74599"/>
    <w:rsid w:val="00F74EAC"/>
    <w:rsid w:val="00F74F0B"/>
    <w:rsid w:val="00F75011"/>
    <w:rsid w:val="00F75032"/>
    <w:rsid w:val="00F75309"/>
    <w:rsid w:val="00F757E7"/>
    <w:rsid w:val="00F758FB"/>
    <w:rsid w:val="00F76C27"/>
    <w:rsid w:val="00F7794C"/>
    <w:rsid w:val="00F80109"/>
    <w:rsid w:val="00F8097E"/>
    <w:rsid w:val="00F80D60"/>
    <w:rsid w:val="00F811F8"/>
    <w:rsid w:val="00F81CA2"/>
    <w:rsid w:val="00F81E1F"/>
    <w:rsid w:val="00F82813"/>
    <w:rsid w:val="00F82A61"/>
    <w:rsid w:val="00F84930"/>
    <w:rsid w:val="00F84B1F"/>
    <w:rsid w:val="00F84BC5"/>
    <w:rsid w:val="00F8734F"/>
    <w:rsid w:val="00F87875"/>
    <w:rsid w:val="00F9065E"/>
    <w:rsid w:val="00F90932"/>
    <w:rsid w:val="00F910BB"/>
    <w:rsid w:val="00F914BD"/>
    <w:rsid w:val="00F91F04"/>
    <w:rsid w:val="00F93A6D"/>
    <w:rsid w:val="00F93B1B"/>
    <w:rsid w:val="00F93E01"/>
    <w:rsid w:val="00F9415F"/>
    <w:rsid w:val="00F946B7"/>
    <w:rsid w:val="00F94A12"/>
    <w:rsid w:val="00F94AAB"/>
    <w:rsid w:val="00F94B4D"/>
    <w:rsid w:val="00F94E5B"/>
    <w:rsid w:val="00F953DC"/>
    <w:rsid w:val="00F96663"/>
    <w:rsid w:val="00F967FD"/>
    <w:rsid w:val="00F96E6C"/>
    <w:rsid w:val="00F96FB8"/>
    <w:rsid w:val="00FA020E"/>
    <w:rsid w:val="00FA09FE"/>
    <w:rsid w:val="00FA1BD0"/>
    <w:rsid w:val="00FA1E8A"/>
    <w:rsid w:val="00FA244A"/>
    <w:rsid w:val="00FA2DFD"/>
    <w:rsid w:val="00FA2EE2"/>
    <w:rsid w:val="00FA3033"/>
    <w:rsid w:val="00FA3261"/>
    <w:rsid w:val="00FA40DA"/>
    <w:rsid w:val="00FA6CEA"/>
    <w:rsid w:val="00FB0F4D"/>
    <w:rsid w:val="00FB1034"/>
    <w:rsid w:val="00FB1647"/>
    <w:rsid w:val="00FB1C16"/>
    <w:rsid w:val="00FB246E"/>
    <w:rsid w:val="00FB415E"/>
    <w:rsid w:val="00FB4719"/>
    <w:rsid w:val="00FB49B4"/>
    <w:rsid w:val="00FB517E"/>
    <w:rsid w:val="00FB581F"/>
    <w:rsid w:val="00FB60E4"/>
    <w:rsid w:val="00FB6580"/>
    <w:rsid w:val="00FB6749"/>
    <w:rsid w:val="00FB6A72"/>
    <w:rsid w:val="00FB71AB"/>
    <w:rsid w:val="00FC0CF6"/>
    <w:rsid w:val="00FC0FAD"/>
    <w:rsid w:val="00FC1441"/>
    <w:rsid w:val="00FC1FAC"/>
    <w:rsid w:val="00FC2968"/>
    <w:rsid w:val="00FC4251"/>
    <w:rsid w:val="00FC5583"/>
    <w:rsid w:val="00FC6C16"/>
    <w:rsid w:val="00FC6C1E"/>
    <w:rsid w:val="00FC6CD3"/>
    <w:rsid w:val="00FC6D7E"/>
    <w:rsid w:val="00FD0982"/>
    <w:rsid w:val="00FD147F"/>
    <w:rsid w:val="00FD1912"/>
    <w:rsid w:val="00FD30FB"/>
    <w:rsid w:val="00FD3B99"/>
    <w:rsid w:val="00FD5974"/>
    <w:rsid w:val="00FD626B"/>
    <w:rsid w:val="00FD6403"/>
    <w:rsid w:val="00FD6435"/>
    <w:rsid w:val="00FD64A5"/>
    <w:rsid w:val="00FD6987"/>
    <w:rsid w:val="00FD6C73"/>
    <w:rsid w:val="00FD6D0C"/>
    <w:rsid w:val="00FD766B"/>
    <w:rsid w:val="00FD797E"/>
    <w:rsid w:val="00FD7CE7"/>
    <w:rsid w:val="00FD7E27"/>
    <w:rsid w:val="00FE02DB"/>
    <w:rsid w:val="00FE02F8"/>
    <w:rsid w:val="00FE04D6"/>
    <w:rsid w:val="00FE0BAC"/>
    <w:rsid w:val="00FE1176"/>
    <w:rsid w:val="00FE224A"/>
    <w:rsid w:val="00FE22F8"/>
    <w:rsid w:val="00FE2580"/>
    <w:rsid w:val="00FE2D89"/>
    <w:rsid w:val="00FE31F6"/>
    <w:rsid w:val="00FE4A8B"/>
    <w:rsid w:val="00FE4CF0"/>
    <w:rsid w:val="00FE59BB"/>
    <w:rsid w:val="00FE5D59"/>
    <w:rsid w:val="00FE695E"/>
    <w:rsid w:val="00FE6A8F"/>
    <w:rsid w:val="00FE6BB5"/>
    <w:rsid w:val="00FF1BC7"/>
    <w:rsid w:val="00FF25A7"/>
    <w:rsid w:val="00FF2888"/>
    <w:rsid w:val="00FF2EA3"/>
    <w:rsid w:val="00FF46CF"/>
    <w:rsid w:val="00FF50FD"/>
    <w:rsid w:val="00FF5936"/>
    <w:rsid w:val="00FF5E00"/>
    <w:rsid w:val="00FF6491"/>
    <w:rsid w:val="00FF6BB0"/>
    <w:rsid w:val="00FF6DB6"/>
    <w:rsid w:val="00FF73A1"/>
    <w:rsid w:val="01555D68"/>
    <w:rsid w:val="01CC284F"/>
    <w:rsid w:val="01E739C7"/>
    <w:rsid w:val="01F30663"/>
    <w:rsid w:val="02521C02"/>
    <w:rsid w:val="02566E4B"/>
    <w:rsid w:val="039060E8"/>
    <w:rsid w:val="04F17E8C"/>
    <w:rsid w:val="050229E5"/>
    <w:rsid w:val="050A6D66"/>
    <w:rsid w:val="051A0D14"/>
    <w:rsid w:val="05820933"/>
    <w:rsid w:val="05FB70BE"/>
    <w:rsid w:val="06D373CC"/>
    <w:rsid w:val="06DC604B"/>
    <w:rsid w:val="06DF3DE7"/>
    <w:rsid w:val="06E3525F"/>
    <w:rsid w:val="09344859"/>
    <w:rsid w:val="097550F1"/>
    <w:rsid w:val="0992531D"/>
    <w:rsid w:val="09D83701"/>
    <w:rsid w:val="0A2853CD"/>
    <w:rsid w:val="0BAF1C5F"/>
    <w:rsid w:val="0BD7232E"/>
    <w:rsid w:val="0C8D5554"/>
    <w:rsid w:val="0D5A3E8D"/>
    <w:rsid w:val="0D803107"/>
    <w:rsid w:val="0D887163"/>
    <w:rsid w:val="0D983A1B"/>
    <w:rsid w:val="0D9A6777"/>
    <w:rsid w:val="0DF465A6"/>
    <w:rsid w:val="0E927B6D"/>
    <w:rsid w:val="0F541B61"/>
    <w:rsid w:val="0FDC19E8"/>
    <w:rsid w:val="10263BA1"/>
    <w:rsid w:val="10E62416"/>
    <w:rsid w:val="11A14B86"/>
    <w:rsid w:val="11D2288F"/>
    <w:rsid w:val="11D869A2"/>
    <w:rsid w:val="13E42D07"/>
    <w:rsid w:val="13F76DF0"/>
    <w:rsid w:val="14A767A0"/>
    <w:rsid w:val="15151F29"/>
    <w:rsid w:val="15362979"/>
    <w:rsid w:val="15E33F17"/>
    <w:rsid w:val="16184300"/>
    <w:rsid w:val="17AA4179"/>
    <w:rsid w:val="17D77603"/>
    <w:rsid w:val="18064DDD"/>
    <w:rsid w:val="1844637C"/>
    <w:rsid w:val="19C42E7B"/>
    <w:rsid w:val="1AAA2D4F"/>
    <w:rsid w:val="1C87026A"/>
    <w:rsid w:val="1CB3587E"/>
    <w:rsid w:val="1D0206D1"/>
    <w:rsid w:val="1D2D322F"/>
    <w:rsid w:val="1E5B2836"/>
    <w:rsid w:val="1F14103B"/>
    <w:rsid w:val="20196340"/>
    <w:rsid w:val="204A02A8"/>
    <w:rsid w:val="205B6824"/>
    <w:rsid w:val="206D3069"/>
    <w:rsid w:val="20A46580"/>
    <w:rsid w:val="20C54195"/>
    <w:rsid w:val="20E573B1"/>
    <w:rsid w:val="21326E1F"/>
    <w:rsid w:val="214E3FB0"/>
    <w:rsid w:val="224A27E1"/>
    <w:rsid w:val="240F44B7"/>
    <w:rsid w:val="24BD6741"/>
    <w:rsid w:val="24DA5156"/>
    <w:rsid w:val="252E1F46"/>
    <w:rsid w:val="28826408"/>
    <w:rsid w:val="2A0A2FC1"/>
    <w:rsid w:val="2A6F2D9E"/>
    <w:rsid w:val="2BE772F2"/>
    <w:rsid w:val="2CB371D5"/>
    <w:rsid w:val="2CE35D0C"/>
    <w:rsid w:val="2D881782"/>
    <w:rsid w:val="2DD43A57"/>
    <w:rsid w:val="2E3A4E09"/>
    <w:rsid w:val="32410060"/>
    <w:rsid w:val="328624F4"/>
    <w:rsid w:val="330D18BF"/>
    <w:rsid w:val="338631D6"/>
    <w:rsid w:val="34380832"/>
    <w:rsid w:val="35591C27"/>
    <w:rsid w:val="369D12D4"/>
    <w:rsid w:val="3710550B"/>
    <w:rsid w:val="37BA58BB"/>
    <w:rsid w:val="380F3D50"/>
    <w:rsid w:val="3BFD3831"/>
    <w:rsid w:val="3D5A4ADA"/>
    <w:rsid w:val="3D696E01"/>
    <w:rsid w:val="3E611186"/>
    <w:rsid w:val="3F7722E4"/>
    <w:rsid w:val="40275AB8"/>
    <w:rsid w:val="404D4AFC"/>
    <w:rsid w:val="405F34A4"/>
    <w:rsid w:val="40DB7F62"/>
    <w:rsid w:val="421A58D4"/>
    <w:rsid w:val="42F042DD"/>
    <w:rsid w:val="42F36125"/>
    <w:rsid w:val="43101345"/>
    <w:rsid w:val="43C226BA"/>
    <w:rsid w:val="4411025E"/>
    <w:rsid w:val="44204E69"/>
    <w:rsid w:val="44B30262"/>
    <w:rsid w:val="46991566"/>
    <w:rsid w:val="46F1588A"/>
    <w:rsid w:val="46FF41AD"/>
    <w:rsid w:val="47172A57"/>
    <w:rsid w:val="471F1BDF"/>
    <w:rsid w:val="4749436F"/>
    <w:rsid w:val="47D003D4"/>
    <w:rsid w:val="48460967"/>
    <w:rsid w:val="484F03D9"/>
    <w:rsid w:val="49247215"/>
    <w:rsid w:val="4989333F"/>
    <w:rsid w:val="4A382F64"/>
    <w:rsid w:val="4A794C99"/>
    <w:rsid w:val="4C6C166E"/>
    <w:rsid w:val="4CDB2302"/>
    <w:rsid w:val="4D21230A"/>
    <w:rsid w:val="4D34514D"/>
    <w:rsid w:val="4D48518D"/>
    <w:rsid w:val="4D9F1383"/>
    <w:rsid w:val="4E4B5067"/>
    <w:rsid w:val="4E9218FC"/>
    <w:rsid w:val="4EA4119D"/>
    <w:rsid w:val="4FB04A88"/>
    <w:rsid w:val="501218A7"/>
    <w:rsid w:val="501831D6"/>
    <w:rsid w:val="50B43398"/>
    <w:rsid w:val="514513C8"/>
    <w:rsid w:val="51F245B1"/>
    <w:rsid w:val="52231D58"/>
    <w:rsid w:val="52B0193D"/>
    <w:rsid w:val="53B316E5"/>
    <w:rsid w:val="53EE4E13"/>
    <w:rsid w:val="53FD0BF8"/>
    <w:rsid w:val="546937B5"/>
    <w:rsid w:val="55535ECB"/>
    <w:rsid w:val="5643112E"/>
    <w:rsid w:val="56CD6F61"/>
    <w:rsid w:val="571326D5"/>
    <w:rsid w:val="57A54AF1"/>
    <w:rsid w:val="57A606AC"/>
    <w:rsid w:val="58077698"/>
    <w:rsid w:val="585A4825"/>
    <w:rsid w:val="590429E2"/>
    <w:rsid w:val="591F3850"/>
    <w:rsid w:val="5AC93905"/>
    <w:rsid w:val="5C100A71"/>
    <w:rsid w:val="5F003979"/>
    <w:rsid w:val="5FF37537"/>
    <w:rsid w:val="604310ED"/>
    <w:rsid w:val="604341C5"/>
    <w:rsid w:val="60CF1B28"/>
    <w:rsid w:val="61477910"/>
    <w:rsid w:val="628B74BF"/>
    <w:rsid w:val="631E72F7"/>
    <w:rsid w:val="64645154"/>
    <w:rsid w:val="64B1461A"/>
    <w:rsid w:val="64D15E6F"/>
    <w:rsid w:val="65E60D1E"/>
    <w:rsid w:val="661775C0"/>
    <w:rsid w:val="676655D7"/>
    <w:rsid w:val="678B762B"/>
    <w:rsid w:val="67B531D6"/>
    <w:rsid w:val="67D16097"/>
    <w:rsid w:val="681B3434"/>
    <w:rsid w:val="69476011"/>
    <w:rsid w:val="69C366F0"/>
    <w:rsid w:val="6ABB51FD"/>
    <w:rsid w:val="6ACB15B2"/>
    <w:rsid w:val="6B6C4E06"/>
    <w:rsid w:val="6BB43DF4"/>
    <w:rsid w:val="6BC4672D"/>
    <w:rsid w:val="6C52656F"/>
    <w:rsid w:val="6D5D6CDB"/>
    <w:rsid w:val="6DFF02D6"/>
    <w:rsid w:val="6E3D27C7"/>
    <w:rsid w:val="6E4D7D09"/>
    <w:rsid w:val="6EC32CCC"/>
    <w:rsid w:val="6EFA0CAE"/>
    <w:rsid w:val="6F060991"/>
    <w:rsid w:val="6FA81EC2"/>
    <w:rsid w:val="6FBD596D"/>
    <w:rsid w:val="6FE0340A"/>
    <w:rsid w:val="71925046"/>
    <w:rsid w:val="728064BA"/>
    <w:rsid w:val="730B1546"/>
    <w:rsid w:val="73571C35"/>
    <w:rsid w:val="73BC71FC"/>
    <w:rsid w:val="74BE1A94"/>
    <w:rsid w:val="74C5576F"/>
    <w:rsid w:val="74EC7CEB"/>
    <w:rsid w:val="764364C4"/>
    <w:rsid w:val="77AF03B6"/>
    <w:rsid w:val="77F97B4F"/>
    <w:rsid w:val="795F5593"/>
    <w:rsid w:val="7991133E"/>
    <w:rsid w:val="7B5C7E0B"/>
    <w:rsid w:val="7CEC2494"/>
    <w:rsid w:val="7CFB7AD5"/>
    <w:rsid w:val="7D3D2125"/>
    <w:rsid w:val="7D5E765C"/>
    <w:rsid w:val="7DB327FD"/>
    <w:rsid w:val="7E377B22"/>
    <w:rsid w:val="7F1D32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0" w:semiHidden="0" w:name="List"/>
    <w:lsdException w:uiPriority="99" w:name="List Bullet"/>
    <w:lsdException w:uiPriority="99" w:name="List Number"/>
    <w:lsdException w:uiPriority="99" w:name="List 2"/>
    <w:lsdException w:qFormat="1" w:unhideWhenUsed="0" w:uiPriority="0" w:semiHidden="0"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99" w:semiHidden="0"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29"/>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0"/>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link w:val="31"/>
    <w:qFormat/>
    <w:uiPriority w:val="0"/>
    <w:pPr>
      <w:keepNext/>
      <w:keepLines/>
      <w:spacing w:before="260" w:after="260" w:line="416" w:lineRule="auto"/>
      <w:outlineLvl w:val="2"/>
    </w:pPr>
    <w:rPr>
      <w:b/>
      <w:bCs/>
      <w:sz w:val="32"/>
      <w:szCs w:val="32"/>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5">
    <w:name w:val="List 3"/>
    <w:basedOn w:val="1"/>
    <w:link w:val="32"/>
    <w:qFormat/>
    <w:uiPriority w:val="0"/>
    <w:pPr>
      <w:widowControl/>
      <w:adjustRightInd w:val="0"/>
      <w:snapToGrid w:val="0"/>
      <w:jc w:val="center"/>
    </w:pPr>
    <w:rPr>
      <w:kern w:val="0"/>
      <w:szCs w:val="20"/>
      <w:lang w:eastAsia="en-US" w:bidi="en-US"/>
    </w:rPr>
  </w:style>
  <w:style w:type="paragraph" w:styleId="6">
    <w:name w:val="Normal Indent"/>
    <w:basedOn w:val="7"/>
    <w:link w:val="35"/>
    <w:qFormat/>
    <w:uiPriority w:val="0"/>
    <w:pPr>
      <w:adjustRightInd w:val="0"/>
      <w:snapToGrid w:val="0"/>
      <w:spacing w:after="0" w:line="360" w:lineRule="auto"/>
      <w:ind w:firstLine="0" w:firstLineChars="0"/>
      <w:jc w:val="center"/>
    </w:pPr>
    <w:rPr>
      <w:rFonts w:eastAsia="黑体"/>
      <w:sz w:val="24"/>
      <w:szCs w:val="21"/>
    </w:rPr>
  </w:style>
  <w:style w:type="paragraph" w:styleId="7">
    <w:name w:val="Body Text First Indent"/>
    <w:basedOn w:val="8"/>
    <w:link w:val="132"/>
    <w:unhideWhenUsed/>
    <w:qFormat/>
    <w:uiPriority w:val="99"/>
    <w:pPr>
      <w:ind w:firstLine="420" w:firstLineChars="100"/>
    </w:pPr>
  </w:style>
  <w:style w:type="paragraph" w:styleId="8">
    <w:name w:val="Body Text"/>
    <w:basedOn w:val="1"/>
    <w:link w:val="33"/>
    <w:unhideWhenUsed/>
    <w:qFormat/>
    <w:uiPriority w:val="99"/>
    <w:pPr>
      <w:spacing w:after="120"/>
    </w:pPr>
  </w:style>
  <w:style w:type="paragraph" w:styleId="9">
    <w:name w:val="caption"/>
    <w:basedOn w:val="1"/>
    <w:next w:val="1"/>
    <w:link w:val="48"/>
    <w:qFormat/>
    <w:uiPriority w:val="0"/>
    <w:pPr>
      <w:adjustRightInd w:val="0"/>
      <w:snapToGrid w:val="0"/>
      <w:spacing w:line="360" w:lineRule="auto"/>
      <w:jc w:val="left"/>
    </w:pPr>
    <w:rPr>
      <w:rFonts w:eastAsia="黑体"/>
      <w:sz w:val="24"/>
    </w:rPr>
  </w:style>
  <w:style w:type="paragraph" w:styleId="10">
    <w:name w:val="Document Map"/>
    <w:basedOn w:val="1"/>
    <w:link w:val="37"/>
    <w:unhideWhenUsed/>
    <w:qFormat/>
    <w:uiPriority w:val="99"/>
    <w:rPr>
      <w:rFonts w:ascii="宋体"/>
      <w:sz w:val="18"/>
      <w:szCs w:val="18"/>
    </w:rPr>
  </w:style>
  <w:style w:type="paragraph" w:styleId="11">
    <w:name w:val="annotation text"/>
    <w:basedOn w:val="1"/>
    <w:link w:val="38"/>
    <w:unhideWhenUsed/>
    <w:qFormat/>
    <w:uiPriority w:val="0"/>
    <w:pPr>
      <w:jc w:val="left"/>
    </w:pPr>
    <w:rPr>
      <w:rFonts w:ascii="Calibri" w:hAnsi="Calibri"/>
    </w:rPr>
  </w:style>
  <w:style w:type="paragraph" w:styleId="12">
    <w:name w:val="Body Text Indent"/>
    <w:basedOn w:val="1"/>
    <w:link w:val="39"/>
    <w:qFormat/>
    <w:uiPriority w:val="0"/>
    <w:pPr>
      <w:adjustRightInd w:val="0"/>
      <w:snapToGrid w:val="0"/>
      <w:spacing w:line="360" w:lineRule="auto"/>
      <w:ind w:firstLine="480" w:firstLineChars="200"/>
    </w:pPr>
    <w:rPr>
      <w:sz w:val="24"/>
    </w:rPr>
  </w:style>
  <w:style w:type="paragraph" w:styleId="13">
    <w:name w:val="Plain Text"/>
    <w:basedOn w:val="1"/>
    <w:link w:val="40"/>
    <w:qFormat/>
    <w:uiPriority w:val="0"/>
    <w:rPr>
      <w:rFonts w:ascii="宋体" w:hAnsi="Courier New"/>
      <w:szCs w:val="21"/>
    </w:rPr>
  </w:style>
  <w:style w:type="paragraph" w:styleId="14">
    <w:name w:val="Date"/>
    <w:basedOn w:val="1"/>
    <w:next w:val="1"/>
    <w:link w:val="41"/>
    <w:qFormat/>
    <w:uiPriority w:val="0"/>
    <w:pPr>
      <w:ind w:left="100" w:leftChars="2500"/>
    </w:pPr>
    <w:rPr>
      <w:sz w:val="24"/>
    </w:rPr>
  </w:style>
  <w:style w:type="paragraph" w:styleId="15">
    <w:name w:val="Balloon Text"/>
    <w:basedOn w:val="1"/>
    <w:link w:val="42"/>
    <w:unhideWhenUsed/>
    <w:qFormat/>
    <w:uiPriority w:val="99"/>
    <w:rPr>
      <w:sz w:val="18"/>
      <w:szCs w:val="18"/>
    </w:rPr>
  </w:style>
  <w:style w:type="paragraph" w:styleId="16">
    <w:name w:val="footer"/>
    <w:basedOn w:val="1"/>
    <w:link w:val="43"/>
    <w:unhideWhenUsed/>
    <w:qFormat/>
    <w:uiPriority w:val="99"/>
    <w:pPr>
      <w:tabs>
        <w:tab w:val="center" w:pos="4153"/>
        <w:tab w:val="right" w:pos="8306"/>
      </w:tabs>
      <w:snapToGrid w:val="0"/>
      <w:jc w:val="left"/>
    </w:pPr>
    <w:rPr>
      <w:sz w:val="18"/>
      <w:szCs w:val="18"/>
    </w:rPr>
  </w:style>
  <w:style w:type="paragraph" w:styleId="17">
    <w:name w:val="header"/>
    <w:basedOn w:val="1"/>
    <w:link w:val="44"/>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unhideWhenUsed/>
    <w:qFormat/>
    <w:uiPriority w:val="39"/>
  </w:style>
  <w:style w:type="paragraph" w:styleId="19">
    <w:name w:val="List"/>
    <w:basedOn w:val="1"/>
    <w:unhideWhenUsed/>
    <w:qFormat/>
    <w:uiPriority w:val="0"/>
    <w:pPr>
      <w:ind w:left="200" w:hanging="200" w:hangingChars="200"/>
      <w:contextualSpacing/>
    </w:pPr>
  </w:style>
  <w:style w:type="paragraph" w:styleId="20">
    <w:name w:val="toc 2"/>
    <w:basedOn w:val="1"/>
    <w:next w:val="1"/>
    <w:unhideWhenUsed/>
    <w:qFormat/>
    <w:uiPriority w:val="39"/>
    <w:pPr>
      <w:widowControl/>
    </w:pPr>
    <w:rPr>
      <w:szCs w:val="21"/>
      <w:u w:val="single"/>
    </w:rPr>
  </w:style>
  <w:style w:type="paragraph" w:styleId="21">
    <w:name w:val="Normal (Web)"/>
    <w:basedOn w:val="1"/>
    <w:link w:val="45"/>
    <w:unhideWhenUsed/>
    <w:qFormat/>
    <w:uiPriority w:val="99"/>
    <w:pPr>
      <w:widowControl/>
      <w:spacing w:before="100" w:beforeAutospacing="1" w:after="100" w:afterAutospacing="1"/>
      <w:jc w:val="left"/>
    </w:pPr>
    <w:rPr>
      <w:rFonts w:ascii="宋体" w:hAnsi="宋体"/>
      <w:sz w:val="24"/>
    </w:rPr>
  </w:style>
  <w:style w:type="paragraph" w:styleId="22">
    <w:name w:val="annotation subject"/>
    <w:basedOn w:val="11"/>
    <w:next w:val="11"/>
    <w:link w:val="46"/>
    <w:unhideWhenUsed/>
    <w:qFormat/>
    <w:uiPriority w:val="99"/>
    <w:rPr>
      <w:b/>
      <w:bCs/>
    </w:rPr>
  </w:style>
  <w:style w:type="paragraph" w:styleId="23">
    <w:name w:val="Body Text First Indent 2"/>
    <w:basedOn w:val="12"/>
    <w:link w:val="47"/>
    <w:unhideWhenUsed/>
    <w:qFormat/>
    <w:uiPriority w:val="99"/>
    <w:pPr>
      <w:ind w:firstLine="420"/>
    </w:pPr>
    <w:rPr>
      <w:rFonts w:ascii="Calibri" w:hAnsi="Calibri"/>
    </w:rPr>
  </w:style>
  <w:style w:type="table" w:styleId="25">
    <w:name w:val="Table Grid"/>
    <w:basedOn w:val="2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Hyperlink"/>
    <w:qFormat/>
    <w:uiPriority w:val="99"/>
    <w:rPr>
      <w:color w:val="2B2B2B"/>
      <w:u w:val="none"/>
    </w:rPr>
  </w:style>
  <w:style w:type="character" w:styleId="28">
    <w:name w:val="annotation reference"/>
    <w:unhideWhenUsed/>
    <w:qFormat/>
    <w:uiPriority w:val="99"/>
    <w:rPr>
      <w:sz w:val="21"/>
      <w:szCs w:val="21"/>
    </w:rPr>
  </w:style>
  <w:style w:type="character" w:customStyle="1" w:styleId="29">
    <w:name w:val="标题 1 字符"/>
    <w:link w:val="2"/>
    <w:qFormat/>
    <w:uiPriority w:val="9"/>
    <w:rPr>
      <w:b/>
      <w:bCs/>
      <w:kern w:val="44"/>
      <w:sz w:val="44"/>
      <w:szCs w:val="44"/>
    </w:rPr>
  </w:style>
  <w:style w:type="character" w:customStyle="1" w:styleId="30">
    <w:name w:val="标题 2 字符"/>
    <w:link w:val="3"/>
    <w:semiHidden/>
    <w:qFormat/>
    <w:uiPriority w:val="9"/>
    <w:rPr>
      <w:rFonts w:ascii="Cambria" w:hAnsi="Cambria" w:eastAsia="宋体" w:cs="Times New Roman"/>
      <w:b/>
      <w:bCs/>
      <w:kern w:val="2"/>
      <w:sz w:val="32"/>
      <w:szCs w:val="32"/>
    </w:rPr>
  </w:style>
  <w:style w:type="character" w:customStyle="1" w:styleId="31">
    <w:name w:val="标题 3 字符"/>
    <w:link w:val="4"/>
    <w:qFormat/>
    <w:uiPriority w:val="0"/>
    <w:rPr>
      <w:rFonts w:ascii="Times New Roman" w:hAnsi="Times New Roman" w:eastAsia="宋体" w:cs="Times New Roman"/>
      <w:b/>
      <w:bCs/>
      <w:sz w:val="32"/>
      <w:szCs w:val="32"/>
    </w:rPr>
  </w:style>
  <w:style w:type="character" w:customStyle="1" w:styleId="32">
    <w:name w:val="列表 3 字符"/>
    <w:link w:val="5"/>
    <w:qFormat/>
    <w:uiPriority w:val="0"/>
    <w:rPr>
      <w:sz w:val="21"/>
      <w:lang w:eastAsia="en-US" w:bidi="en-US"/>
    </w:rPr>
  </w:style>
  <w:style w:type="character" w:customStyle="1" w:styleId="33">
    <w:name w:val="正文文本 字符"/>
    <w:link w:val="8"/>
    <w:qFormat/>
    <w:uiPriority w:val="99"/>
  </w:style>
  <w:style w:type="character" w:customStyle="1" w:styleId="34">
    <w:name w:val="正文首行缩进 字符"/>
    <w:qFormat/>
    <w:uiPriority w:val="99"/>
  </w:style>
  <w:style w:type="character" w:customStyle="1" w:styleId="35">
    <w:name w:val="正文缩进 字符"/>
    <w:link w:val="6"/>
    <w:qFormat/>
    <w:uiPriority w:val="0"/>
    <w:rPr>
      <w:rFonts w:eastAsia="黑体"/>
      <w:sz w:val="24"/>
      <w:szCs w:val="21"/>
    </w:rPr>
  </w:style>
  <w:style w:type="character" w:customStyle="1" w:styleId="36">
    <w:name w:val="题注 字符1"/>
    <w:qFormat/>
    <w:uiPriority w:val="0"/>
    <w:rPr>
      <w:b/>
      <w:kern w:val="2"/>
      <w:sz w:val="21"/>
    </w:rPr>
  </w:style>
  <w:style w:type="character" w:customStyle="1" w:styleId="37">
    <w:name w:val="文档结构图 字符"/>
    <w:link w:val="10"/>
    <w:semiHidden/>
    <w:qFormat/>
    <w:uiPriority w:val="99"/>
    <w:rPr>
      <w:rFonts w:ascii="宋体" w:eastAsia="宋体"/>
      <w:sz w:val="18"/>
      <w:szCs w:val="18"/>
    </w:rPr>
  </w:style>
  <w:style w:type="character" w:customStyle="1" w:styleId="38">
    <w:name w:val="批注文字 字符"/>
    <w:link w:val="11"/>
    <w:qFormat/>
    <w:uiPriority w:val="0"/>
    <w:rPr>
      <w:rFonts w:ascii="Calibri" w:hAnsi="Calibri" w:eastAsia="宋体" w:cs="Times New Roman"/>
    </w:rPr>
  </w:style>
  <w:style w:type="character" w:customStyle="1" w:styleId="39">
    <w:name w:val="正文文本缩进 字符"/>
    <w:link w:val="12"/>
    <w:qFormat/>
    <w:uiPriority w:val="0"/>
    <w:rPr>
      <w:rFonts w:ascii="Calibri" w:hAnsi="Calibri" w:eastAsia="宋体"/>
      <w:sz w:val="24"/>
    </w:rPr>
  </w:style>
  <w:style w:type="character" w:customStyle="1" w:styleId="40">
    <w:name w:val="纯文本 字符"/>
    <w:link w:val="13"/>
    <w:qFormat/>
    <w:uiPriority w:val="0"/>
    <w:rPr>
      <w:rFonts w:ascii="宋体" w:hAnsi="Courier New" w:eastAsia="宋体" w:cs="Times New Roman"/>
      <w:szCs w:val="21"/>
    </w:rPr>
  </w:style>
  <w:style w:type="character" w:customStyle="1" w:styleId="41">
    <w:name w:val="日期 字符1"/>
    <w:link w:val="14"/>
    <w:qFormat/>
    <w:uiPriority w:val="0"/>
    <w:rPr>
      <w:rFonts w:ascii="Times New Roman" w:hAnsi="Times New Roman" w:eastAsia="宋体"/>
      <w:sz w:val="24"/>
    </w:rPr>
  </w:style>
  <w:style w:type="character" w:customStyle="1" w:styleId="42">
    <w:name w:val="批注框文本 字符"/>
    <w:link w:val="15"/>
    <w:semiHidden/>
    <w:qFormat/>
    <w:uiPriority w:val="99"/>
    <w:rPr>
      <w:sz w:val="18"/>
      <w:szCs w:val="18"/>
    </w:rPr>
  </w:style>
  <w:style w:type="character" w:customStyle="1" w:styleId="43">
    <w:name w:val="页脚 字符"/>
    <w:link w:val="16"/>
    <w:qFormat/>
    <w:uiPriority w:val="99"/>
    <w:rPr>
      <w:sz w:val="18"/>
      <w:szCs w:val="18"/>
    </w:rPr>
  </w:style>
  <w:style w:type="character" w:customStyle="1" w:styleId="44">
    <w:name w:val="页眉 字符"/>
    <w:link w:val="17"/>
    <w:qFormat/>
    <w:uiPriority w:val="99"/>
    <w:rPr>
      <w:sz w:val="18"/>
      <w:szCs w:val="18"/>
    </w:rPr>
  </w:style>
  <w:style w:type="character" w:customStyle="1" w:styleId="45">
    <w:name w:val="普通(网站) 字符"/>
    <w:link w:val="21"/>
    <w:qFormat/>
    <w:uiPriority w:val="0"/>
    <w:rPr>
      <w:rFonts w:ascii="宋体" w:hAnsi="宋体" w:eastAsia="宋体"/>
      <w:sz w:val="24"/>
    </w:rPr>
  </w:style>
  <w:style w:type="character" w:customStyle="1" w:styleId="46">
    <w:name w:val="批注主题 字符"/>
    <w:link w:val="22"/>
    <w:semiHidden/>
    <w:qFormat/>
    <w:uiPriority w:val="99"/>
    <w:rPr>
      <w:rFonts w:ascii="Calibri" w:hAnsi="Calibri" w:eastAsia="宋体" w:cs="Times New Roman"/>
      <w:b/>
      <w:bCs/>
    </w:rPr>
  </w:style>
  <w:style w:type="character" w:customStyle="1" w:styleId="47">
    <w:name w:val="正文首行缩进 2 字符"/>
    <w:link w:val="23"/>
    <w:qFormat/>
    <w:uiPriority w:val="99"/>
    <w:rPr>
      <w:rFonts w:ascii="Calibri" w:hAnsi="Calibri" w:eastAsia="宋体" w:cs="Times New Roman"/>
    </w:rPr>
  </w:style>
  <w:style w:type="character" w:customStyle="1" w:styleId="48">
    <w:name w:val="题注 字符"/>
    <w:link w:val="9"/>
    <w:qFormat/>
    <w:uiPriority w:val="0"/>
    <w:rPr>
      <w:rFonts w:ascii="Times New Roman" w:hAnsi="Times New Roman" w:eastAsia="黑体"/>
      <w:sz w:val="24"/>
    </w:rPr>
  </w:style>
  <w:style w:type="character" w:customStyle="1" w:styleId="49">
    <w:name w:val="表格 Char"/>
    <w:link w:val="50"/>
    <w:qFormat/>
    <w:uiPriority w:val="0"/>
    <w:rPr>
      <w:rFonts w:ascii="宋体" w:hAnsi="宋体" w:eastAsia="宋体"/>
    </w:rPr>
  </w:style>
  <w:style w:type="paragraph" w:customStyle="1" w:styleId="50">
    <w:name w:val="表格"/>
    <w:basedOn w:val="1"/>
    <w:next w:val="1"/>
    <w:link w:val="49"/>
    <w:qFormat/>
    <w:uiPriority w:val="0"/>
    <w:pPr>
      <w:adjustRightInd w:val="0"/>
      <w:snapToGrid w:val="0"/>
      <w:spacing w:beforeLines="10" w:line="256" w:lineRule="auto"/>
      <w:jc w:val="center"/>
    </w:pPr>
    <w:rPr>
      <w:rFonts w:ascii="宋体" w:hAnsi="宋体"/>
    </w:rPr>
  </w:style>
  <w:style w:type="character" w:customStyle="1" w:styleId="51">
    <w:name w:val="标题 3 Char"/>
    <w:semiHidden/>
    <w:qFormat/>
    <w:uiPriority w:val="9"/>
    <w:rPr>
      <w:b/>
      <w:bCs/>
      <w:sz w:val="32"/>
      <w:szCs w:val="32"/>
    </w:rPr>
  </w:style>
  <w:style w:type="character" w:customStyle="1" w:styleId="52">
    <w:name w:val="Default Char"/>
    <w:link w:val="53"/>
    <w:qFormat/>
    <w:uiPriority w:val="99"/>
    <w:rPr>
      <w:rFonts w:ascii="宋体"/>
      <w:color w:val="000000"/>
      <w:sz w:val="24"/>
      <w:szCs w:val="24"/>
    </w:rPr>
  </w:style>
  <w:style w:type="paragraph" w:customStyle="1" w:styleId="53">
    <w:name w:val="Default"/>
    <w:link w:val="52"/>
    <w:qFormat/>
    <w:uiPriority w:val="99"/>
    <w:pPr>
      <w:widowControl w:val="0"/>
      <w:autoSpaceDE w:val="0"/>
      <w:autoSpaceDN w:val="0"/>
      <w:adjustRightInd w:val="0"/>
    </w:pPr>
    <w:rPr>
      <w:rFonts w:ascii="宋体" w:hAnsi="Times New Roman" w:eastAsia="宋体" w:cs="Times New Roman"/>
      <w:color w:val="000000"/>
      <w:kern w:val="2"/>
      <w:sz w:val="24"/>
      <w:szCs w:val="24"/>
      <w:lang w:val="en-US" w:eastAsia="zh-CN" w:bidi="ar-SA"/>
    </w:rPr>
  </w:style>
  <w:style w:type="paragraph" w:customStyle="1" w:styleId="54">
    <w:name w:val="Table Paragraph"/>
    <w:basedOn w:val="1"/>
    <w:qFormat/>
    <w:uiPriority w:val="0"/>
    <w:pPr>
      <w:jc w:val="left"/>
    </w:pPr>
    <w:rPr>
      <w:rFonts w:ascii="Calibri" w:hAnsi="Calibri"/>
      <w:kern w:val="0"/>
      <w:sz w:val="22"/>
      <w:lang w:eastAsia="en-US"/>
    </w:rPr>
  </w:style>
  <w:style w:type="paragraph" w:customStyle="1" w:styleId="55">
    <w:name w:val="列出段落1"/>
    <w:basedOn w:val="1"/>
    <w:qFormat/>
    <w:uiPriority w:val="0"/>
    <w:pPr>
      <w:jc w:val="left"/>
    </w:pPr>
    <w:rPr>
      <w:rFonts w:ascii="Calibri" w:hAnsi="Calibri"/>
      <w:kern w:val="0"/>
      <w:sz w:val="22"/>
      <w:lang w:eastAsia="en-US"/>
    </w:rPr>
  </w:style>
  <w:style w:type="paragraph" w:customStyle="1" w:styleId="56">
    <w:name w:val="表头样式"/>
    <w:basedOn w:val="1"/>
    <w:link w:val="57"/>
    <w:qFormat/>
    <w:uiPriority w:val="0"/>
    <w:pPr>
      <w:suppressAutoHyphens/>
      <w:adjustRightInd w:val="0"/>
      <w:snapToGrid w:val="0"/>
      <w:spacing w:line="240" w:lineRule="atLeast"/>
      <w:jc w:val="center"/>
    </w:pPr>
    <w:rPr>
      <w:b/>
      <w:kern w:val="0"/>
      <w:szCs w:val="21"/>
    </w:rPr>
  </w:style>
  <w:style w:type="character" w:customStyle="1" w:styleId="57">
    <w:name w:val="表头样式 Char"/>
    <w:link w:val="56"/>
    <w:qFormat/>
    <w:uiPriority w:val="0"/>
    <w:rPr>
      <w:rFonts w:ascii="Times New Roman" w:hAnsi="Times New Roman" w:eastAsia="宋体" w:cs="Times New Roman"/>
      <w:b/>
      <w:kern w:val="0"/>
      <w:szCs w:val="21"/>
    </w:rPr>
  </w:style>
  <w:style w:type="character" w:customStyle="1" w:styleId="58">
    <w:name w:val="段落(G) Char Char"/>
    <w:link w:val="59"/>
    <w:qFormat/>
    <w:uiPriority w:val="0"/>
    <w:rPr>
      <w:rFonts w:ascii="Arial" w:hAnsi="Arial" w:eastAsia="宋体"/>
      <w:color w:val="000000"/>
      <w:kern w:val="24"/>
      <w:szCs w:val="24"/>
      <w:lang w:val="zh-CN"/>
    </w:rPr>
  </w:style>
  <w:style w:type="paragraph" w:customStyle="1" w:styleId="59">
    <w:name w:val="段落(G)"/>
    <w:basedOn w:val="1"/>
    <w:link w:val="58"/>
    <w:qFormat/>
    <w:uiPriority w:val="0"/>
    <w:pPr>
      <w:tabs>
        <w:tab w:val="left" w:pos="1320"/>
      </w:tabs>
      <w:spacing w:line="360" w:lineRule="auto"/>
      <w:ind w:firstLine="480" w:firstLineChars="200"/>
    </w:pPr>
    <w:rPr>
      <w:rFonts w:ascii="Arial" w:hAnsi="Arial"/>
      <w:color w:val="000000"/>
      <w:kern w:val="24"/>
      <w:szCs w:val="24"/>
      <w:lang w:val="zh-CN"/>
    </w:rPr>
  </w:style>
  <w:style w:type="character" w:customStyle="1" w:styleId="60">
    <w:name w:val="表头1 Char"/>
    <w:link w:val="61"/>
    <w:qFormat/>
    <w:uiPriority w:val="0"/>
    <w:rPr>
      <w:rFonts w:eastAsia="宋体"/>
      <w:b/>
      <w:color w:val="000000"/>
      <w:szCs w:val="21"/>
    </w:rPr>
  </w:style>
  <w:style w:type="paragraph" w:customStyle="1" w:styleId="61">
    <w:name w:val="表头1"/>
    <w:basedOn w:val="1"/>
    <w:link w:val="60"/>
    <w:qFormat/>
    <w:uiPriority w:val="0"/>
    <w:pPr>
      <w:overflowPunct w:val="0"/>
      <w:autoSpaceDE w:val="0"/>
      <w:autoSpaceDN w:val="0"/>
      <w:adjustRightInd w:val="0"/>
      <w:snapToGrid w:val="0"/>
      <w:spacing w:line="360" w:lineRule="auto"/>
      <w:jc w:val="center"/>
      <w:textAlignment w:val="baseline"/>
    </w:pPr>
    <w:rPr>
      <w:b/>
      <w:color w:val="000000"/>
      <w:szCs w:val="21"/>
    </w:rPr>
  </w:style>
  <w:style w:type="character" w:customStyle="1" w:styleId="62">
    <w:name w:val="正文文本缩进 Char1"/>
    <w:semiHidden/>
    <w:qFormat/>
    <w:uiPriority w:val="99"/>
  </w:style>
  <w:style w:type="character" w:customStyle="1" w:styleId="63">
    <w:name w:val="表头 Char1"/>
    <w:link w:val="64"/>
    <w:qFormat/>
    <w:uiPriority w:val="0"/>
    <w:rPr>
      <w:rFonts w:eastAsia="宋体"/>
      <w:b/>
      <w:color w:val="000000"/>
      <w:kern w:val="24"/>
      <w:szCs w:val="21"/>
    </w:rPr>
  </w:style>
  <w:style w:type="paragraph" w:customStyle="1" w:styleId="64">
    <w:name w:val="表头"/>
    <w:basedOn w:val="1"/>
    <w:link w:val="63"/>
    <w:qFormat/>
    <w:uiPriority w:val="0"/>
    <w:pPr>
      <w:tabs>
        <w:tab w:val="left" w:pos="1021"/>
      </w:tabs>
      <w:adjustRightInd w:val="0"/>
      <w:spacing w:line="300" w:lineRule="auto"/>
      <w:jc w:val="center"/>
    </w:pPr>
    <w:rPr>
      <w:b/>
      <w:color w:val="000000"/>
      <w:kern w:val="24"/>
      <w:szCs w:val="21"/>
    </w:rPr>
  </w:style>
  <w:style w:type="paragraph" w:customStyle="1" w:styleId="65">
    <w:name w:val="正文_32"/>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66">
    <w:name w:val="_Style 2"/>
    <w:qFormat/>
    <w:uiPriority w:val="0"/>
    <w:pPr>
      <w:widowControl w:val="0"/>
      <w:spacing w:line="360" w:lineRule="exact"/>
      <w:jc w:val="center"/>
    </w:pPr>
    <w:rPr>
      <w:rFonts w:ascii="Times New Roman" w:hAnsi="Times New Roman" w:eastAsia="新宋体" w:cs="Times New Roman"/>
      <w:kern w:val="2"/>
      <w:sz w:val="21"/>
      <w:szCs w:val="22"/>
      <w:lang w:val="en-US" w:eastAsia="zh-CN" w:bidi="ar-SA"/>
    </w:rPr>
  </w:style>
  <w:style w:type="paragraph" w:customStyle="1" w:styleId="67">
    <w:name w:val="正文1"/>
    <w:qFormat/>
    <w:uiPriority w:val="99"/>
    <w:pPr>
      <w:jc w:val="both"/>
    </w:pPr>
    <w:rPr>
      <w:rFonts w:ascii="Times New Roman" w:hAnsi="Times New Roman" w:eastAsia="宋体" w:cs="Times New Roman"/>
      <w:kern w:val="2"/>
      <w:sz w:val="21"/>
      <w:szCs w:val="21"/>
      <w:lang w:val="en-US" w:eastAsia="zh-CN" w:bidi="ar-SA"/>
    </w:rPr>
  </w:style>
  <w:style w:type="paragraph" w:customStyle="1" w:styleId="68">
    <w:name w:val="1文章"/>
    <w:basedOn w:val="1"/>
    <w:qFormat/>
    <w:uiPriority w:val="0"/>
    <w:pPr>
      <w:snapToGrid w:val="0"/>
      <w:spacing w:line="360" w:lineRule="auto"/>
      <w:ind w:firstLine="573"/>
    </w:pPr>
    <w:rPr>
      <w:rFonts w:eastAsia="仿宋_GB2312"/>
      <w:sz w:val="28"/>
      <w:szCs w:val="20"/>
    </w:rPr>
  </w:style>
  <w:style w:type="character" w:customStyle="1" w:styleId="69">
    <w:name w:val="表文字 Char1"/>
    <w:link w:val="70"/>
    <w:qFormat/>
    <w:uiPriority w:val="0"/>
    <w:rPr>
      <w:rFonts w:eastAsia="宋体"/>
      <w:sz w:val="24"/>
      <w:szCs w:val="21"/>
    </w:rPr>
  </w:style>
  <w:style w:type="paragraph" w:customStyle="1" w:styleId="70">
    <w:name w:val="表文字"/>
    <w:basedOn w:val="1"/>
    <w:link w:val="69"/>
    <w:qFormat/>
    <w:uiPriority w:val="0"/>
    <w:pPr>
      <w:overflowPunct w:val="0"/>
      <w:autoSpaceDE w:val="0"/>
      <w:autoSpaceDN w:val="0"/>
      <w:adjustRightInd w:val="0"/>
      <w:spacing w:line="240" w:lineRule="atLeast"/>
      <w:textAlignment w:val="baseline"/>
    </w:pPr>
    <w:rPr>
      <w:sz w:val="24"/>
      <w:szCs w:val="21"/>
    </w:rPr>
  </w:style>
  <w:style w:type="paragraph" w:customStyle="1" w:styleId="71">
    <w:name w:val="列出段落2"/>
    <w:basedOn w:val="1"/>
    <w:qFormat/>
    <w:uiPriority w:val="34"/>
    <w:pPr>
      <w:ind w:firstLine="420" w:firstLineChars="200"/>
    </w:pPr>
  </w:style>
  <w:style w:type="character" w:customStyle="1" w:styleId="72">
    <w:name w:val="表格文字 Char"/>
    <w:link w:val="73"/>
    <w:qFormat/>
    <w:uiPriority w:val="0"/>
    <w:rPr>
      <w:rFonts w:eastAsia="宋体"/>
    </w:rPr>
  </w:style>
  <w:style w:type="paragraph" w:customStyle="1" w:styleId="73">
    <w:name w:val="表格文字"/>
    <w:basedOn w:val="7"/>
    <w:link w:val="72"/>
    <w:qFormat/>
    <w:uiPriority w:val="0"/>
    <w:pPr>
      <w:adjustRightInd w:val="0"/>
      <w:snapToGrid w:val="0"/>
      <w:spacing w:beforeLines="50" w:after="0" w:line="360" w:lineRule="auto"/>
      <w:ind w:firstLine="200" w:firstLineChars="200"/>
      <w:jc w:val="center"/>
      <w:textAlignment w:val="center"/>
    </w:pPr>
  </w:style>
  <w:style w:type="character" w:customStyle="1" w:styleId="74">
    <w:name w:val="段落 Char"/>
    <w:link w:val="75"/>
    <w:qFormat/>
    <w:uiPriority w:val="0"/>
    <w:rPr>
      <w:rFonts w:hAnsi="宋体" w:eastAsia="宋体"/>
      <w:kern w:val="24"/>
      <w:sz w:val="24"/>
      <w:szCs w:val="24"/>
    </w:rPr>
  </w:style>
  <w:style w:type="paragraph" w:customStyle="1" w:styleId="75">
    <w:name w:val="段落"/>
    <w:basedOn w:val="1"/>
    <w:link w:val="74"/>
    <w:qFormat/>
    <w:uiPriority w:val="0"/>
    <w:pPr>
      <w:tabs>
        <w:tab w:val="left" w:pos="780"/>
      </w:tabs>
      <w:adjustRightInd w:val="0"/>
      <w:snapToGrid w:val="0"/>
      <w:spacing w:line="360" w:lineRule="auto"/>
      <w:ind w:firstLine="480" w:firstLineChars="200"/>
    </w:pPr>
    <w:rPr>
      <w:rFonts w:hAnsi="宋体"/>
      <w:kern w:val="24"/>
      <w:sz w:val="24"/>
      <w:szCs w:val="24"/>
    </w:rPr>
  </w:style>
  <w:style w:type="character" w:customStyle="1" w:styleId="76">
    <w:name w:val="表文字 Char"/>
    <w:qFormat/>
    <w:uiPriority w:val="0"/>
    <w:rPr>
      <w:rFonts w:ascii="宋体" w:hAnsi="Times New Roman" w:eastAsia="宋体" w:cs="Times New Roman"/>
      <w:color w:val="000000"/>
      <w:kern w:val="0"/>
      <w:szCs w:val="20"/>
    </w:rPr>
  </w:style>
  <w:style w:type="character" w:customStyle="1" w:styleId="77">
    <w:name w:val="正文文本首行缩进 2 字符1"/>
    <w:semiHidden/>
    <w:qFormat/>
    <w:uiPriority w:val="99"/>
    <w:rPr>
      <w:rFonts w:ascii="Calibri" w:hAnsi="Calibri" w:eastAsia="宋体"/>
      <w:sz w:val="24"/>
    </w:rPr>
  </w:style>
  <w:style w:type="paragraph" w:customStyle="1" w:styleId="78">
    <w:name w:val="表头字体宋"/>
    <w:basedOn w:val="1"/>
    <w:qFormat/>
    <w:uiPriority w:val="0"/>
    <w:pPr>
      <w:widowControl/>
      <w:spacing w:line="500" w:lineRule="exact"/>
      <w:jc w:val="center"/>
    </w:pPr>
    <w:rPr>
      <w:rFonts w:ascii="宋体" w:hAnsi="宋体" w:cs="宋体"/>
      <w:b/>
      <w:bCs/>
      <w:kern w:val="0"/>
      <w:sz w:val="24"/>
      <w:szCs w:val="20"/>
    </w:rPr>
  </w:style>
  <w:style w:type="character" w:customStyle="1" w:styleId="79">
    <w:name w:val="fontstyle01"/>
    <w:qFormat/>
    <w:uiPriority w:val="0"/>
    <w:rPr>
      <w:rFonts w:hint="eastAsia" w:ascii="宋体" w:hAnsi="宋体" w:eastAsia="宋体"/>
      <w:color w:val="000000"/>
      <w:sz w:val="24"/>
      <w:szCs w:val="24"/>
    </w:rPr>
  </w:style>
  <w:style w:type="character" w:customStyle="1" w:styleId="80">
    <w:name w:val="批注文字 字符1"/>
    <w:semiHidden/>
    <w:qFormat/>
    <w:uiPriority w:val="99"/>
  </w:style>
  <w:style w:type="character" w:customStyle="1" w:styleId="81">
    <w:name w:val="表格内容 Char"/>
    <w:link w:val="82"/>
    <w:qFormat/>
    <w:uiPriority w:val="0"/>
    <w:rPr>
      <w:rFonts w:ascii="Times New Roman" w:hAnsi="Times New Roman"/>
    </w:rPr>
  </w:style>
  <w:style w:type="paragraph" w:customStyle="1" w:styleId="82">
    <w:name w:val="表格内容"/>
    <w:basedOn w:val="1"/>
    <w:link w:val="81"/>
    <w:qFormat/>
    <w:uiPriority w:val="0"/>
    <w:pPr>
      <w:widowControl/>
      <w:jc w:val="center"/>
    </w:pPr>
  </w:style>
  <w:style w:type="character" w:customStyle="1" w:styleId="83">
    <w:name w:val="纯文本 字符1"/>
    <w:semiHidden/>
    <w:qFormat/>
    <w:uiPriority w:val="99"/>
    <w:rPr>
      <w:rFonts w:ascii="宋体" w:hAnsi="Courier New" w:cs="Courier New"/>
    </w:rPr>
  </w:style>
  <w:style w:type="paragraph" w:customStyle="1" w:styleId="84">
    <w:name w:val="列表段落1"/>
    <w:basedOn w:val="1"/>
    <w:qFormat/>
    <w:uiPriority w:val="99"/>
    <w:pPr>
      <w:ind w:firstLine="420" w:firstLineChars="200"/>
    </w:pPr>
    <w:rPr>
      <w:szCs w:val="24"/>
    </w:rPr>
  </w:style>
  <w:style w:type="paragraph" w:customStyle="1" w:styleId="85">
    <w:name w:val="居中正文"/>
    <w:basedOn w:val="1"/>
    <w:next w:val="1"/>
    <w:qFormat/>
    <w:uiPriority w:val="0"/>
    <w:pPr>
      <w:adjustRightInd w:val="0"/>
      <w:spacing w:before="120" w:line="360" w:lineRule="auto"/>
      <w:jc w:val="center"/>
    </w:pPr>
    <w:rPr>
      <w:rFonts w:ascii="宋体"/>
      <w:kern w:val="28"/>
      <w:sz w:val="24"/>
      <w:szCs w:val="20"/>
    </w:rPr>
  </w:style>
  <w:style w:type="paragraph" w:customStyle="1" w:styleId="86">
    <w:name w:val="正文文本首行缩进1"/>
    <w:basedOn w:val="1"/>
    <w:qFormat/>
    <w:uiPriority w:val="0"/>
    <w:pPr>
      <w:adjustRightInd w:val="0"/>
      <w:snapToGrid w:val="0"/>
      <w:spacing w:line="360" w:lineRule="auto"/>
      <w:ind w:firstLine="200" w:firstLineChars="200"/>
    </w:pPr>
    <w:rPr>
      <w:sz w:val="24"/>
      <w:szCs w:val="21"/>
    </w:rPr>
  </w:style>
  <w:style w:type="paragraph" w:customStyle="1" w:styleId="87">
    <w:name w:val="标题 41"/>
    <w:basedOn w:val="1"/>
    <w:qFormat/>
    <w:uiPriority w:val="0"/>
    <w:pPr>
      <w:autoSpaceDE w:val="0"/>
      <w:autoSpaceDN w:val="0"/>
      <w:adjustRightInd w:val="0"/>
      <w:spacing w:before="26"/>
      <w:ind w:left="326"/>
      <w:jc w:val="left"/>
      <w:outlineLvl w:val="3"/>
    </w:pPr>
    <w:rPr>
      <w:rFonts w:ascii="宋体" w:cs="宋体"/>
      <w:b/>
      <w:bCs/>
      <w:kern w:val="0"/>
      <w:sz w:val="24"/>
      <w:szCs w:val="24"/>
    </w:rPr>
  </w:style>
  <w:style w:type="character" w:customStyle="1" w:styleId="88">
    <w:name w:val="表标题 Char"/>
    <w:link w:val="89"/>
    <w:qFormat/>
    <w:uiPriority w:val="0"/>
    <w:rPr>
      <w:rFonts w:eastAsia="黑体"/>
      <w:sz w:val="24"/>
    </w:rPr>
  </w:style>
  <w:style w:type="paragraph" w:customStyle="1" w:styleId="89">
    <w:name w:val="表标题"/>
    <w:basedOn w:val="1"/>
    <w:next w:val="1"/>
    <w:link w:val="88"/>
    <w:qFormat/>
    <w:uiPriority w:val="0"/>
    <w:pPr>
      <w:spacing w:line="360" w:lineRule="auto"/>
      <w:jc w:val="center"/>
    </w:pPr>
    <w:rPr>
      <w:rFonts w:eastAsia="黑体"/>
      <w:sz w:val="24"/>
    </w:rPr>
  </w:style>
  <w:style w:type="character" w:customStyle="1" w:styleId="90">
    <w:name w:val="fontstyle11"/>
    <w:qFormat/>
    <w:uiPriority w:val="0"/>
    <w:rPr>
      <w:rFonts w:hint="default" w:ascii="Times New Roman" w:hAnsi="Times New Roman"/>
      <w:color w:val="000000"/>
      <w:sz w:val="22"/>
      <w:szCs w:val="22"/>
    </w:rPr>
  </w:style>
  <w:style w:type="paragraph" w:customStyle="1" w:styleId="91">
    <w:name w:val="表文"/>
    <w:basedOn w:val="1"/>
    <w:link w:val="92"/>
    <w:qFormat/>
    <w:uiPriority w:val="0"/>
    <w:pPr>
      <w:tabs>
        <w:tab w:val="left" w:pos="1021"/>
      </w:tabs>
      <w:jc w:val="center"/>
    </w:pPr>
    <w:rPr>
      <w:kern w:val="0"/>
      <w:position w:val="-24"/>
      <w:szCs w:val="21"/>
    </w:rPr>
  </w:style>
  <w:style w:type="character" w:customStyle="1" w:styleId="92">
    <w:name w:val="表文 Char"/>
    <w:link w:val="91"/>
    <w:qFormat/>
    <w:uiPriority w:val="0"/>
    <w:rPr>
      <w:rFonts w:ascii="Times New Roman" w:hAnsi="Times New Roman" w:eastAsia="宋体" w:cs="Times New Roman"/>
      <w:kern w:val="0"/>
      <w:position w:val="-24"/>
      <w:szCs w:val="21"/>
    </w:rPr>
  </w:style>
  <w:style w:type="paragraph" w:customStyle="1" w:styleId="93">
    <w:name w:val="表"/>
    <w:basedOn w:val="1"/>
    <w:qFormat/>
    <w:uiPriority w:val="0"/>
    <w:pPr>
      <w:jc w:val="center"/>
    </w:pPr>
  </w:style>
  <w:style w:type="paragraph" w:customStyle="1" w:styleId="94">
    <w:name w:val="Char"/>
    <w:basedOn w:val="1"/>
    <w:qFormat/>
    <w:uiPriority w:val="0"/>
    <w:rPr>
      <w:sz w:val="24"/>
    </w:rPr>
  </w:style>
  <w:style w:type="paragraph" w:customStyle="1" w:styleId="95">
    <w:name w:val="03WX"/>
    <w:basedOn w:val="1"/>
    <w:next w:val="1"/>
    <w:qFormat/>
    <w:uiPriority w:val="0"/>
    <w:pPr>
      <w:numPr>
        <w:ilvl w:val="2"/>
        <w:numId w:val="1"/>
      </w:numPr>
      <w:spacing w:line="360" w:lineRule="auto"/>
      <w:outlineLvl w:val="2"/>
    </w:pPr>
    <w:rPr>
      <w:b/>
      <w:kern w:val="0"/>
      <w:sz w:val="24"/>
      <w:szCs w:val="24"/>
    </w:rPr>
  </w:style>
  <w:style w:type="paragraph" w:customStyle="1" w:styleId="96">
    <w:name w:val="02WX"/>
    <w:basedOn w:val="1"/>
    <w:next w:val="1"/>
    <w:qFormat/>
    <w:uiPriority w:val="0"/>
    <w:pPr>
      <w:numPr>
        <w:ilvl w:val="1"/>
        <w:numId w:val="1"/>
      </w:numPr>
      <w:spacing w:line="360" w:lineRule="auto"/>
      <w:outlineLvl w:val="1"/>
    </w:pPr>
    <w:rPr>
      <w:b/>
      <w:kern w:val="0"/>
      <w:sz w:val="28"/>
      <w:szCs w:val="24"/>
    </w:rPr>
  </w:style>
  <w:style w:type="paragraph" w:customStyle="1" w:styleId="97">
    <w:name w:val="01WX"/>
    <w:basedOn w:val="1"/>
    <w:next w:val="1"/>
    <w:qFormat/>
    <w:uiPriority w:val="0"/>
    <w:pPr>
      <w:numPr>
        <w:ilvl w:val="0"/>
        <w:numId w:val="1"/>
      </w:numPr>
      <w:spacing w:line="360" w:lineRule="auto"/>
      <w:jc w:val="center"/>
      <w:outlineLvl w:val="0"/>
    </w:pPr>
    <w:rPr>
      <w:b/>
      <w:kern w:val="0"/>
      <w:sz w:val="30"/>
      <w:szCs w:val="24"/>
    </w:rPr>
  </w:style>
  <w:style w:type="paragraph" w:customStyle="1" w:styleId="98">
    <w:name w:val="04WX"/>
    <w:basedOn w:val="1"/>
    <w:next w:val="1"/>
    <w:link w:val="99"/>
    <w:qFormat/>
    <w:uiPriority w:val="0"/>
    <w:pPr>
      <w:numPr>
        <w:ilvl w:val="3"/>
        <w:numId w:val="1"/>
      </w:numPr>
      <w:spacing w:line="360" w:lineRule="auto"/>
      <w:outlineLvl w:val="3"/>
    </w:pPr>
    <w:rPr>
      <w:b/>
      <w:kern w:val="0"/>
      <w:sz w:val="24"/>
      <w:szCs w:val="24"/>
    </w:rPr>
  </w:style>
  <w:style w:type="character" w:customStyle="1" w:styleId="99">
    <w:name w:val="04WX 字符"/>
    <w:link w:val="98"/>
    <w:qFormat/>
    <w:uiPriority w:val="0"/>
    <w:rPr>
      <w:b/>
      <w:sz w:val="24"/>
      <w:szCs w:val="24"/>
    </w:rPr>
  </w:style>
  <w:style w:type="paragraph" w:customStyle="1" w:styleId="100">
    <w:name w:val="05WX"/>
    <w:basedOn w:val="1"/>
    <w:next w:val="1"/>
    <w:link w:val="101"/>
    <w:qFormat/>
    <w:uiPriority w:val="0"/>
    <w:pPr>
      <w:numPr>
        <w:ilvl w:val="4"/>
        <w:numId w:val="1"/>
      </w:numPr>
      <w:spacing w:line="360" w:lineRule="auto"/>
      <w:jc w:val="center"/>
      <w:outlineLvl w:val="4"/>
    </w:pPr>
    <w:rPr>
      <w:b/>
      <w:kern w:val="0"/>
      <w:sz w:val="24"/>
      <w:szCs w:val="24"/>
    </w:rPr>
  </w:style>
  <w:style w:type="character" w:customStyle="1" w:styleId="101">
    <w:name w:val="05WX 字符"/>
    <w:link w:val="100"/>
    <w:qFormat/>
    <w:uiPriority w:val="0"/>
    <w:rPr>
      <w:rFonts w:ascii="Times New Roman" w:hAnsi="Times New Roman" w:eastAsia="宋体" w:cs="Times New Roman"/>
      <w:b/>
      <w:kern w:val="0"/>
      <w:sz w:val="24"/>
      <w:szCs w:val="24"/>
    </w:rPr>
  </w:style>
  <w:style w:type="paragraph" w:customStyle="1" w:styleId="102">
    <w:name w:val="样式 首行缩进:  1 厘米 行距: 固定值 25 磅"/>
    <w:basedOn w:val="1"/>
    <w:qFormat/>
    <w:uiPriority w:val="0"/>
    <w:pPr>
      <w:adjustRightInd w:val="0"/>
      <w:spacing w:line="360" w:lineRule="auto"/>
      <w:ind w:firstLine="200" w:firstLineChars="200"/>
      <w:jc w:val="left"/>
      <w:textAlignment w:val="baseline"/>
    </w:pPr>
    <w:rPr>
      <w:rFonts w:ascii="宋体" w:cs="宋体"/>
      <w:snapToGrid w:val="0"/>
      <w:kern w:val="24"/>
      <w:sz w:val="24"/>
      <w:szCs w:val="24"/>
    </w:rPr>
  </w:style>
  <w:style w:type="paragraph" w:customStyle="1" w:styleId="103">
    <w:name w:val="样式 宋体 13.5 磅 行距: 1.5 倍行距"/>
    <w:basedOn w:val="1"/>
    <w:qFormat/>
    <w:uiPriority w:val="0"/>
    <w:pPr>
      <w:spacing w:before="50" w:after="50" w:line="500" w:lineRule="exact"/>
      <w:ind w:firstLine="480" w:firstLineChars="200"/>
    </w:pPr>
    <w:rPr>
      <w:rFonts w:ascii="宋体" w:hAnsi="宋体" w:cs="宋体"/>
      <w:bCs/>
      <w:sz w:val="24"/>
      <w:szCs w:val="24"/>
    </w:rPr>
  </w:style>
  <w:style w:type="character" w:customStyle="1" w:styleId="104">
    <w:name w:val="正文首行缩进 Char1"/>
    <w:link w:val="105"/>
    <w:qFormat/>
    <w:uiPriority w:val="99"/>
    <w:rPr>
      <w:rFonts w:eastAsia="宋体"/>
      <w:szCs w:val="24"/>
    </w:rPr>
  </w:style>
  <w:style w:type="paragraph" w:customStyle="1" w:styleId="105">
    <w:name w:val="正文首行缩进1"/>
    <w:basedOn w:val="8"/>
    <w:link w:val="104"/>
    <w:qFormat/>
    <w:uiPriority w:val="99"/>
    <w:pPr>
      <w:ind w:firstLine="420" w:firstLineChars="100"/>
    </w:pPr>
    <w:rPr>
      <w:szCs w:val="24"/>
    </w:rPr>
  </w:style>
  <w:style w:type="paragraph" w:customStyle="1" w:styleId="106">
    <w:name w:val="修订1"/>
    <w:semiHidden/>
    <w:qFormat/>
    <w:uiPriority w:val="99"/>
    <w:rPr>
      <w:rFonts w:ascii="Times New Roman" w:hAnsi="Times New Roman" w:eastAsia="宋体" w:cs="Times New Roman"/>
      <w:kern w:val="2"/>
      <w:sz w:val="21"/>
      <w:szCs w:val="22"/>
      <w:lang w:val="en-US" w:eastAsia="zh-CN" w:bidi="ar-SA"/>
    </w:rPr>
  </w:style>
  <w:style w:type="character" w:customStyle="1" w:styleId="107">
    <w:name w:val="批注文字 Char"/>
    <w:qFormat/>
    <w:uiPriority w:val="0"/>
    <w:rPr>
      <w:rFonts w:ascii="Times New Roman" w:hAnsi="Times New Roman" w:eastAsia="宋体"/>
      <w:sz w:val="24"/>
    </w:rPr>
  </w:style>
  <w:style w:type="character" w:customStyle="1" w:styleId="108">
    <w:name w:val="日期 字符"/>
    <w:semiHidden/>
    <w:qFormat/>
    <w:uiPriority w:val="99"/>
  </w:style>
  <w:style w:type="character" w:customStyle="1" w:styleId="109">
    <w:name w:val="题注 字符2"/>
    <w:qFormat/>
    <w:uiPriority w:val="0"/>
    <w:rPr>
      <w:rFonts w:eastAsia="黑体" w:cs="Times New Roman"/>
      <w:sz w:val="24"/>
    </w:rPr>
  </w:style>
  <w:style w:type="paragraph" w:customStyle="1" w:styleId="110">
    <w:name w:val="9"/>
    <w:basedOn w:val="12"/>
    <w:next w:val="23"/>
    <w:qFormat/>
    <w:uiPriority w:val="0"/>
    <w:pPr>
      <w:ind w:firstLine="420"/>
    </w:pPr>
    <w:rPr>
      <w:szCs w:val="24"/>
    </w:rPr>
  </w:style>
  <w:style w:type="character" w:customStyle="1" w:styleId="111">
    <w:name w:val="报告书正文 Char"/>
    <w:link w:val="112"/>
    <w:qFormat/>
    <w:uiPriority w:val="0"/>
    <w:rPr>
      <w:kern w:val="2"/>
      <w:sz w:val="24"/>
    </w:rPr>
  </w:style>
  <w:style w:type="paragraph" w:customStyle="1" w:styleId="112">
    <w:name w:val="报告书正文"/>
    <w:basedOn w:val="1"/>
    <w:link w:val="111"/>
    <w:qFormat/>
    <w:uiPriority w:val="0"/>
    <w:pPr>
      <w:adjustRightInd w:val="0"/>
      <w:spacing w:line="360" w:lineRule="auto"/>
      <w:ind w:firstLine="200" w:firstLineChars="200"/>
      <w:textAlignment w:val="baseline"/>
    </w:pPr>
    <w:rPr>
      <w:sz w:val="24"/>
      <w:szCs w:val="20"/>
    </w:rPr>
  </w:style>
  <w:style w:type="paragraph" w:customStyle="1" w:styleId="113">
    <w:name w:val="TOC 标题1"/>
    <w:basedOn w:val="2"/>
    <w:next w:val="1"/>
    <w:unhideWhenUsed/>
    <w:qFormat/>
    <w:uiPriority w:val="39"/>
    <w:pPr>
      <w:widowControl/>
      <w:spacing w:before="240" w:after="0" w:line="259" w:lineRule="auto"/>
      <w:jc w:val="left"/>
      <w:outlineLvl w:val="9"/>
    </w:pPr>
    <w:rPr>
      <w:rFonts w:ascii="Cambria" w:hAnsi="Cambria"/>
      <w:b w:val="0"/>
      <w:bCs w:val="0"/>
      <w:color w:val="366091"/>
      <w:kern w:val="0"/>
      <w:sz w:val="32"/>
      <w:szCs w:val="32"/>
    </w:rPr>
  </w:style>
  <w:style w:type="paragraph" w:customStyle="1" w:styleId="114">
    <w:name w:val="正文，文本"/>
    <w:basedOn w:val="1"/>
    <w:qFormat/>
    <w:uiPriority w:val="0"/>
    <w:pPr>
      <w:spacing w:line="360" w:lineRule="auto"/>
      <w:ind w:firstLine="480" w:firstLineChars="200"/>
    </w:pPr>
    <w:rPr>
      <w:rFonts w:cs="宋体"/>
      <w:sz w:val="24"/>
      <w:szCs w:val="20"/>
    </w:rPr>
  </w:style>
  <w:style w:type="paragraph" w:customStyle="1" w:styleId="115">
    <w:name w:val="Table Text"/>
    <w:basedOn w:val="1"/>
    <w:semiHidden/>
    <w:qFormat/>
    <w:uiPriority w:val="0"/>
    <w:pPr>
      <w:widowControl/>
      <w:kinsoku w:val="0"/>
      <w:autoSpaceDE w:val="0"/>
      <w:autoSpaceDN w:val="0"/>
      <w:adjustRightInd w:val="0"/>
      <w:snapToGrid w:val="0"/>
      <w:jc w:val="left"/>
      <w:textAlignment w:val="baseline"/>
    </w:pPr>
    <w:rPr>
      <w:rFonts w:ascii="宋体" w:hAnsi="宋体" w:cs="宋体"/>
      <w:color w:val="000000"/>
      <w:kern w:val="0"/>
      <w:sz w:val="20"/>
      <w:szCs w:val="20"/>
    </w:rPr>
  </w:style>
  <w:style w:type="paragraph" w:customStyle="1" w:styleId="116">
    <w:name w:val="正文-易恒"/>
    <w:basedOn w:val="1"/>
    <w:link w:val="117"/>
    <w:qFormat/>
    <w:uiPriority w:val="0"/>
    <w:pPr>
      <w:spacing w:line="360" w:lineRule="auto"/>
      <w:ind w:firstLine="200" w:firstLineChars="200"/>
    </w:pPr>
    <w:rPr>
      <w:sz w:val="24"/>
      <w:szCs w:val="24"/>
    </w:rPr>
  </w:style>
  <w:style w:type="character" w:customStyle="1" w:styleId="117">
    <w:name w:val="正文-易恒 字符"/>
    <w:link w:val="116"/>
    <w:qFormat/>
    <w:uiPriority w:val="0"/>
    <w:rPr>
      <w:kern w:val="2"/>
      <w:sz w:val="24"/>
      <w:szCs w:val="24"/>
    </w:rPr>
  </w:style>
  <w:style w:type="character" w:customStyle="1" w:styleId="118">
    <w:name w:val="表 Char"/>
    <w:qFormat/>
    <w:uiPriority w:val="0"/>
    <w:rPr>
      <w:kern w:val="2"/>
      <w:sz w:val="21"/>
      <w:szCs w:val="22"/>
    </w:rPr>
  </w:style>
  <w:style w:type="character" w:customStyle="1" w:styleId="119">
    <w:name w:val="font11"/>
    <w:qFormat/>
    <w:uiPriority w:val="0"/>
    <w:rPr>
      <w:rFonts w:hint="eastAsia" w:ascii="宋体" w:hAnsi="宋体" w:eastAsia="宋体" w:cs="宋体"/>
      <w:color w:val="000000"/>
      <w:sz w:val="22"/>
      <w:szCs w:val="22"/>
      <w:u w:val="none"/>
    </w:rPr>
  </w:style>
  <w:style w:type="character" w:customStyle="1" w:styleId="120">
    <w:name w:val="font01"/>
    <w:qFormat/>
    <w:uiPriority w:val="0"/>
    <w:rPr>
      <w:rFonts w:hint="eastAsia" w:ascii="宋体" w:hAnsi="宋体" w:eastAsia="宋体" w:cs="宋体"/>
      <w:color w:val="000000"/>
      <w:sz w:val="22"/>
      <w:szCs w:val="22"/>
      <w:u w:val="none"/>
    </w:rPr>
  </w:style>
  <w:style w:type="character" w:customStyle="1" w:styleId="121">
    <w:name w:val="正文缩进 字符1"/>
    <w:qFormat/>
    <w:uiPriority w:val="0"/>
    <w:rPr>
      <w:rFonts w:ascii="Times New Roman" w:hAnsi="Times New Roman" w:eastAsia="宋体"/>
      <w:kern w:val="2"/>
      <w:sz w:val="21"/>
      <w:szCs w:val="24"/>
    </w:rPr>
  </w:style>
  <w:style w:type="character" w:customStyle="1" w:styleId="122">
    <w:name w:val="font41"/>
    <w:qFormat/>
    <w:uiPriority w:val="0"/>
    <w:rPr>
      <w:rFonts w:hint="default" w:ascii="Times New Roman" w:hAnsi="Times New Roman" w:cs="Times New Roman"/>
      <w:color w:val="000000"/>
      <w:sz w:val="21"/>
      <w:szCs w:val="21"/>
      <w:u w:val="none"/>
    </w:rPr>
  </w:style>
  <w:style w:type="character" w:customStyle="1" w:styleId="123">
    <w:name w:val="font31"/>
    <w:qFormat/>
    <w:uiPriority w:val="0"/>
    <w:rPr>
      <w:rFonts w:hint="eastAsia" w:ascii="宋体" w:hAnsi="宋体" w:eastAsia="宋体"/>
      <w:color w:val="000000"/>
      <w:sz w:val="21"/>
      <w:szCs w:val="21"/>
      <w:u w:val="none"/>
    </w:rPr>
  </w:style>
  <w:style w:type="character" w:customStyle="1" w:styleId="124">
    <w:name w:val="font21"/>
    <w:qFormat/>
    <w:uiPriority w:val="0"/>
    <w:rPr>
      <w:rFonts w:hint="eastAsia" w:ascii="宋体" w:hAnsi="宋体" w:eastAsia="宋体"/>
      <w:color w:val="000000"/>
      <w:sz w:val="24"/>
      <w:szCs w:val="24"/>
      <w:u w:val="none"/>
    </w:rPr>
  </w:style>
  <w:style w:type="paragraph" w:customStyle="1" w:styleId="125">
    <w:name w:val="_Style 124"/>
    <w:unhideWhenUsed/>
    <w:qFormat/>
    <w:uiPriority w:val="99"/>
    <w:rPr>
      <w:rFonts w:ascii="Times New Roman" w:hAnsi="Times New Roman" w:eastAsia="宋体" w:cs="Times New Roman"/>
      <w:kern w:val="2"/>
      <w:sz w:val="21"/>
      <w:szCs w:val="22"/>
      <w:lang w:val="en-US" w:eastAsia="zh-CN" w:bidi="ar-SA"/>
    </w:rPr>
  </w:style>
  <w:style w:type="character" w:customStyle="1" w:styleId="126">
    <w:name w:val="15"/>
    <w:qFormat/>
    <w:uiPriority w:val="0"/>
    <w:rPr>
      <w:rFonts w:hint="default" w:ascii="Calibri" w:hAnsi="Calibri" w:eastAsia="宋体"/>
      <w:sz w:val="24"/>
      <w:szCs w:val="24"/>
    </w:rPr>
  </w:style>
  <w:style w:type="paragraph" w:customStyle="1" w:styleId="127">
    <w:name w:val="正文2"/>
    <w:qFormat/>
    <w:uiPriority w:val="0"/>
    <w:pPr>
      <w:jc w:val="both"/>
    </w:pPr>
    <w:rPr>
      <w:rFonts w:ascii="Times New Roman" w:hAnsi="Times New Roman" w:eastAsia="宋体" w:cs="Times New Roman"/>
      <w:kern w:val="2"/>
      <w:sz w:val="21"/>
      <w:szCs w:val="21"/>
      <w:lang w:val="en-US" w:eastAsia="zh-CN" w:bidi="ar-SA"/>
    </w:rPr>
  </w:style>
  <w:style w:type="paragraph" w:customStyle="1" w:styleId="128">
    <w:name w:val="4"/>
    <w:basedOn w:val="8"/>
    <w:next w:val="7"/>
    <w:semiHidden/>
    <w:qFormat/>
    <w:uiPriority w:val="0"/>
    <w:pPr>
      <w:spacing w:before="100" w:beforeAutospacing="1"/>
      <w:ind w:firstLine="420" w:firstLineChars="100"/>
    </w:pPr>
    <w:rPr>
      <w:szCs w:val="21"/>
    </w:rPr>
  </w:style>
  <w:style w:type="character" w:customStyle="1" w:styleId="129">
    <w:name w:val="font81"/>
    <w:basedOn w:val="26"/>
    <w:qFormat/>
    <w:uiPriority w:val="0"/>
    <w:rPr>
      <w:rFonts w:hint="default" w:ascii="Times New Roman" w:hAnsi="Times New Roman" w:cs="Times New Roman"/>
      <w:b/>
      <w:bCs/>
      <w:color w:val="000000"/>
      <w:sz w:val="21"/>
      <w:szCs w:val="21"/>
      <w:u w:val="none"/>
    </w:rPr>
  </w:style>
  <w:style w:type="paragraph" w:styleId="130">
    <w:name w:val="List Paragraph"/>
    <w:basedOn w:val="1"/>
    <w:qFormat/>
    <w:uiPriority w:val="99"/>
    <w:pPr>
      <w:ind w:firstLine="420" w:firstLineChars="200"/>
    </w:pPr>
  </w:style>
  <w:style w:type="character" w:customStyle="1" w:styleId="131">
    <w:name w:val="03WX 字符"/>
    <w:basedOn w:val="26"/>
    <w:qFormat/>
    <w:uiPriority w:val="0"/>
    <w:rPr>
      <w:b/>
      <w:sz w:val="24"/>
      <w:szCs w:val="24"/>
      <w:lang w:val="zh-CN"/>
    </w:rPr>
  </w:style>
  <w:style w:type="character" w:customStyle="1" w:styleId="132">
    <w:name w:val="正文首行缩进 字符1"/>
    <w:link w:val="7"/>
    <w:qFormat/>
    <w:uiPriority w:val="0"/>
    <w:rPr>
      <w:kern w:val="2"/>
      <w:sz w:val="21"/>
      <w:szCs w:val="22"/>
    </w:rPr>
  </w:style>
  <w:style w:type="character" w:customStyle="1" w:styleId="133">
    <w:name w:val="正文文本首行缩进 2 字符"/>
    <w:basedOn w:val="26"/>
    <w:qFormat/>
    <w:uiPriority w:val="0"/>
    <w:rPr>
      <w:rFonts w:hint="default" w:ascii="Calibri" w:hAnsi="Calibri"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emf"/><Relationship Id="rId7" Type="http://schemas.openxmlformats.org/officeDocument/2006/relationships/package" Target="embeddings/Microsoft_Visio___1.vsdx"/><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jpeg"/><Relationship Id="rId21" Type="http://schemas.openxmlformats.org/officeDocument/2006/relationships/image" Target="media/image8.emf"/><Relationship Id="rId20" Type="http://schemas.openxmlformats.org/officeDocument/2006/relationships/package" Target="embeddings/Microsoft_Visio___7.vsdx"/><Relationship Id="rId2" Type="http://schemas.openxmlformats.org/officeDocument/2006/relationships/settings" Target="settings.xml"/><Relationship Id="rId19" Type="http://schemas.openxmlformats.org/officeDocument/2006/relationships/image" Target="media/image7.emf"/><Relationship Id="rId18" Type="http://schemas.openxmlformats.org/officeDocument/2006/relationships/package" Target="embeddings/Microsoft_Visio___6.vsdx"/><Relationship Id="rId17" Type="http://schemas.openxmlformats.org/officeDocument/2006/relationships/image" Target="media/image6.emf"/><Relationship Id="rId16" Type="http://schemas.openxmlformats.org/officeDocument/2006/relationships/package" Target="embeddings/Microsoft_Visio___5.vsdx"/><Relationship Id="rId15" Type="http://schemas.openxmlformats.org/officeDocument/2006/relationships/image" Target="media/image5.emf"/><Relationship Id="rId14" Type="http://schemas.openxmlformats.org/officeDocument/2006/relationships/package" Target="embeddings/Microsoft_Visio___4.vsdx"/><Relationship Id="rId13" Type="http://schemas.openxmlformats.org/officeDocument/2006/relationships/image" Target="media/image4.emf"/><Relationship Id="rId12" Type="http://schemas.openxmlformats.org/officeDocument/2006/relationships/package" Target="embeddings/Microsoft_Visio___3.vsdx"/><Relationship Id="rId11" Type="http://schemas.openxmlformats.org/officeDocument/2006/relationships/image" Target="media/image3.emf"/><Relationship Id="rId10" Type="http://schemas.openxmlformats.org/officeDocument/2006/relationships/package" Target="embeddings/Microsoft_Visio___2.vsdx"/><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100</Pages>
  <Words>30510</Words>
  <Characters>34599</Characters>
  <Lines>511</Lines>
  <Paragraphs>144</Paragraphs>
  <TotalTime>25</TotalTime>
  <ScaleCrop>false</ScaleCrop>
  <LinksUpToDate>false</LinksUpToDate>
  <CharactersWithSpaces>34986</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2024-12-19T08:19:00Z</dcterms:created>
  <dc:creator>胡鹏</dc:creator>
  <cp:lastModifiedBy>鱼仔</cp:lastModifiedBy>
  <cp:lastPrinted>2024-08-21T08:46:00Z</cp:lastPrinted>
  <dcterms:modified xsi:type="dcterms:W3CDTF">2025-01-20T07:59:24Z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605DBC4B871B40D085CCB47F6292FC6E_13</vt:lpwstr>
  </property>
  <property fmtid="{D5CDD505-2E9C-101B-9397-08002B2CF9AE}" pid="4" name="KSOTemplateDocerSaveRecord">
    <vt:lpwstr>eyJoZGlkIjoiMjVmODYyMGY3ODk3ZGU1NWU2MzQ0NjdlMDJjZjMxNmUiLCJ1c2VySWQiOiIyNjIyMjkwNjIifQ==</vt:lpwstr>
  </property>
</Properties>
</file>