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16E7F">
      <w:pPr>
        <w:keepNext w:val="0"/>
        <w:keepLines w:val="0"/>
        <w:pageBreakBefore w:val="0"/>
        <w:widowControl/>
        <w:kinsoku w:val="0"/>
        <w:wordWrap/>
        <w:overflowPunct/>
        <w:topLinePunct w:val="0"/>
        <w:autoSpaceDE w:val="0"/>
        <w:autoSpaceDN w:val="0"/>
        <w:bidi w:val="0"/>
        <w:adjustRightInd w:val="0"/>
        <w:snapToGrid w:val="0"/>
        <w:spacing w:line="336" w:lineRule="auto"/>
        <w:ind w:right="0"/>
        <w:jc w:val="center"/>
        <w:textAlignment w:val="baseline"/>
        <w:outlineLvl w:val="0"/>
        <w:rPr>
          <w:rFonts w:ascii="宋体" w:hAnsi="宋体" w:eastAsia="宋体" w:cs="宋体"/>
          <w:sz w:val="36"/>
          <w:szCs w:val="36"/>
        </w:rPr>
      </w:pPr>
      <w:r>
        <w:rPr>
          <w:rFonts w:hint="eastAsia" w:ascii="方正仿宋_GB2312" w:hAnsi="方正仿宋_GB2312" w:eastAsia="方正仿宋_GB2312" w:cs="方正仿宋_GB2312"/>
          <w:b/>
          <w:bCs/>
          <w:spacing w:val="5"/>
          <w:sz w:val="36"/>
          <w:szCs w:val="36"/>
        </w:rPr>
        <w:t>安化县国家重点生态功能区产业准入负面清单</w:t>
      </w:r>
    </w:p>
    <w:p w14:paraId="6161A03D">
      <w:pPr>
        <w:keepNext w:val="0"/>
        <w:keepLines w:val="0"/>
        <w:pageBreakBefore w:val="0"/>
        <w:widowControl/>
        <w:kinsoku w:val="0"/>
        <w:wordWrap/>
        <w:overflowPunct/>
        <w:topLinePunct w:val="0"/>
        <w:autoSpaceDE w:val="0"/>
        <w:autoSpaceDN w:val="0"/>
        <w:bidi w:val="0"/>
        <w:adjustRightInd w:val="0"/>
        <w:snapToGrid w:val="0"/>
        <w:spacing w:line="336" w:lineRule="auto"/>
        <w:ind w:firstLine="624" w:firstLineChars="200"/>
        <w:textAlignment w:val="baseline"/>
        <w:rPr>
          <w:rFonts w:hint="eastAsia" w:ascii="方正仿宋_GB2312" w:hAnsi="方正仿宋_GB2312" w:eastAsia="方正仿宋_GB2312" w:cs="方正仿宋_GB2312"/>
          <w:spacing w:val="16"/>
          <w:sz w:val="28"/>
          <w:szCs w:val="28"/>
        </w:rPr>
      </w:pPr>
      <w:r>
        <w:rPr>
          <w:rFonts w:hint="eastAsia" w:ascii="方正仿宋_GB2312" w:hAnsi="方正仿宋_GB2312" w:eastAsia="方正仿宋_GB2312" w:cs="方正仿宋_GB2312"/>
          <w:spacing w:val="16"/>
          <w:sz w:val="28"/>
          <w:szCs w:val="28"/>
          <w:lang w:val="en-US" w:eastAsia="zh-CN"/>
        </w:rPr>
        <w:t>安化</w:t>
      </w:r>
      <w:r>
        <w:rPr>
          <w:rFonts w:hint="eastAsia" w:ascii="方正仿宋_GB2312" w:hAnsi="方正仿宋_GB2312" w:eastAsia="方正仿宋_GB2312" w:cs="方正仿宋_GB2312"/>
          <w:spacing w:val="16"/>
          <w:sz w:val="28"/>
          <w:szCs w:val="28"/>
        </w:rPr>
        <w:t>县属于水源涵养型国家重点生态功能区。本负面清单涉及国民经济</w:t>
      </w:r>
      <w:r>
        <w:rPr>
          <w:rFonts w:hint="eastAsia" w:ascii="方正仿宋_GB2312" w:hAnsi="方正仿宋_GB2312" w:eastAsia="方正仿宋_GB2312" w:cs="方正仿宋_GB2312"/>
          <w:spacing w:val="16"/>
          <w:sz w:val="28"/>
          <w:szCs w:val="28"/>
          <w:lang w:val="en-US" w:eastAsia="zh-CN"/>
        </w:rPr>
        <w:t>5</w:t>
      </w:r>
      <w:r>
        <w:rPr>
          <w:rFonts w:hint="eastAsia" w:ascii="方正仿宋_GB2312" w:hAnsi="方正仿宋_GB2312" w:eastAsia="方正仿宋_GB2312" w:cs="方正仿宋_GB2312"/>
          <w:spacing w:val="16"/>
          <w:sz w:val="28"/>
          <w:szCs w:val="28"/>
        </w:rPr>
        <w:t>门类</w:t>
      </w:r>
      <w:r>
        <w:rPr>
          <w:rFonts w:hint="eastAsia" w:ascii="方正仿宋_GB2312" w:hAnsi="方正仿宋_GB2312" w:eastAsia="方正仿宋_GB2312" w:cs="方正仿宋_GB2312"/>
          <w:spacing w:val="16"/>
          <w:sz w:val="28"/>
          <w:szCs w:val="28"/>
          <w:lang w:val="en-US" w:eastAsia="zh-CN"/>
        </w:rPr>
        <w:t>12</w:t>
      </w:r>
      <w:r>
        <w:rPr>
          <w:rFonts w:hint="eastAsia" w:ascii="方正仿宋_GB2312" w:hAnsi="方正仿宋_GB2312" w:eastAsia="方正仿宋_GB2312" w:cs="方正仿宋_GB2312"/>
          <w:spacing w:val="16"/>
          <w:sz w:val="28"/>
          <w:szCs w:val="28"/>
        </w:rPr>
        <w:t>大类</w:t>
      </w:r>
      <w:r>
        <w:rPr>
          <w:rFonts w:hint="eastAsia" w:ascii="方正仿宋_GB2312" w:hAnsi="方正仿宋_GB2312" w:eastAsia="方正仿宋_GB2312" w:cs="方正仿宋_GB2312"/>
          <w:spacing w:val="16"/>
          <w:sz w:val="28"/>
          <w:szCs w:val="28"/>
          <w:lang w:val="en-US" w:eastAsia="zh-CN"/>
        </w:rPr>
        <w:t>25</w:t>
      </w:r>
      <w:r>
        <w:rPr>
          <w:rFonts w:hint="eastAsia" w:ascii="方正仿宋_GB2312" w:hAnsi="方正仿宋_GB2312" w:eastAsia="方正仿宋_GB2312" w:cs="方正仿宋_GB2312"/>
          <w:spacing w:val="16"/>
          <w:sz w:val="28"/>
          <w:szCs w:val="28"/>
        </w:rPr>
        <w:t>中类</w:t>
      </w:r>
      <w:r>
        <w:rPr>
          <w:rFonts w:hint="eastAsia" w:ascii="方正仿宋_GB2312" w:hAnsi="方正仿宋_GB2312" w:eastAsia="方正仿宋_GB2312" w:cs="方正仿宋_GB2312"/>
          <w:spacing w:val="16"/>
          <w:sz w:val="28"/>
          <w:szCs w:val="28"/>
          <w:lang w:val="en-US" w:eastAsia="zh-CN"/>
        </w:rPr>
        <w:t>34</w:t>
      </w:r>
      <w:r>
        <w:rPr>
          <w:rFonts w:hint="eastAsia" w:ascii="方正仿宋_GB2312" w:hAnsi="方正仿宋_GB2312" w:eastAsia="方正仿宋_GB2312" w:cs="方正仿宋_GB2312"/>
          <w:spacing w:val="16"/>
          <w:sz w:val="28"/>
          <w:szCs w:val="28"/>
        </w:rPr>
        <w:t>小类。其中禁止类涉及国民经济</w:t>
      </w:r>
      <w:r>
        <w:rPr>
          <w:rFonts w:hint="eastAsia" w:ascii="方正仿宋_GB2312" w:hAnsi="方正仿宋_GB2312" w:eastAsia="方正仿宋_GB2312" w:cs="方正仿宋_GB2312"/>
          <w:spacing w:val="16"/>
          <w:sz w:val="28"/>
          <w:szCs w:val="28"/>
          <w:lang w:val="en-US" w:eastAsia="zh-CN"/>
        </w:rPr>
        <w:t>2</w:t>
      </w:r>
      <w:r>
        <w:rPr>
          <w:rFonts w:hint="eastAsia" w:ascii="方正仿宋_GB2312" w:hAnsi="方正仿宋_GB2312" w:eastAsia="方正仿宋_GB2312" w:cs="方正仿宋_GB2312"/>
          <w:spacing w:val="16"/>
          <w:sz w:val="28"/>
          <w:szCs w:val="28"/>
        </w:rPr>
        <w:t>门类</w:t>
      </w:r>
      <w:r>
        <w:rPr>
          <w:rFonts w:hint="eastAsia" w:ascii="方正仿宋_GB2312" w:hAnsi="方正仿宋_GB2312" w:eastAsia="方正仿宋_GB2312" w:cs="方正仿宋_GB2312"/>
          <w:spacing w:val="16"/>
          <w:sz w:val="28"/>
          <w:szCs w:val="28"/>
          <w:lang w:val="en-US" w:eastAsia="zh-CN"/>
        </w:rPr>
        <w:t>4</w:t>
      </w:r>
      <w:r>
        <w:rPr>
          <w:rFonts w:hint="eastAsia" w:ascii="方正仿宋_GB2312" w:hAnsi="方正仿宋_GB2312" w:eastAsia="方正仿宋_GB2312" w:cs="方正仿宋_GB2312"/>
          <w:spacing w:val="16"/>
          <w:sz w:val="28"/>
          <w:szCs w:val="28"/>
        </w:rPr>
        <w:t>大类</w:t>
      </w:r>
      <w:r>
        <w:rPr>
          <w:rFonts w:hint="eastAsia" w:ascii="方正仿宋_GB2312" w:hAnsi="方正仿宋_GB2312" w:eastAsia="方正仿宋_GB2312" w:cs="方正仿宋_GB2312"/>
          <w:spacing w:val="16"/>
          <w:sz w:val="28"/>
          <w:szCs w:val="28"/>
          <w:lang w:val="en-US" w:eastAsia="zh-CN"/>
        </w:rPr>
        <w:t>5</w:t>
      </w:r>
      <w:r>
        <w:rPr>
          <w:rFonts w:hint="eastAsia" w:ascii="方正仿宋_GB2312" w:hAnsi="方正仿宋_GB2312" w:eastAsia="方正仿宋_GB2312" w:cs="方正仿宋_GB2312"/>
          <w:spacing w:val="16"/>
          <w:sz w:val="28"/>
          <w:szCs w:val="28"/>
        </w:rPr>
        <w:t>中类</w:t>
      </w:r>
      <w:r>
        <w:rPr>
          <w:rFonts w:hint="eastAsia" w:ascii="方正仿宋_GB2312" w:hAnsi="方正仿宋_GB2312" w:eastAsia="方正仿宋_GB2312" w:cs="方正仿宋_GB2312"/>
          <w:spacing w:val="16"/>
          <w:sz w:val="28"/>
          <w:szCs w:val="28"/>
          <w:lang w:val="en-US" w:eastAsia="zh-CN"/>
        </w:rPr>
        <w:t>5</w:t>
      </w:r>
      <w:r>
        <w:rPr>
          <w:rFonts w:hint="eastAsia" w:ascii="方正仿宋_GB2312" w:hAnsi="方正仿宋_GB2312" w:eastAsia="方正仿宋_GB2312" w:cs="方正仿宋_GB2312"/>
          <w:spacing w:val="16"/>
          <w:sz w:val="28"/>
          <w:szCs w:val="28"/>
        </w:rPr>
        <w:t>小类；限制类涉及国民经济</w:t>
      </w:r>
      <w:r>
        <w:rPr>
          <w:rFonts w:hint="eastAsia" w:ascii="方正仿宋_GB2312" w:hAnsi="方正仿宋_GB2312" w:eastAsia="方正仿宋_GB2312" w:cs="方正仿宋_GB2312"/>
          <w:spacing w:val="16"/>
          <w:sz w:val="28"/>
          <w:szCs w:val="28"/>
          <w:lang w:val="en-US" w:eastAsia="zh-CN"/>
        </w:rPr>
        <w:t>5</w:t>
      </w:r>
      <w:r>
        <w:rPr>
          <w:rFonts w:hint="eastAsia" w:ascii="方正仿宋_GB2312" w:hAnsi="方正仿宋_GB2312" w:eastAsia="方正仿宋_GB2312" w:cs="方正仿宋_GB2312"/>
          <w:spacing w:val="16"/>
          <w:sz w:val="28"/>
          <w:szCs w:val="28"/>
        </w:rPr>
        <w:t>门类</w:t>
      </w:r>
      <w:r>
        <w:rPr>
          <w:rFonts w:hint="eastAsia" w:ascii="方正仿宋_GB2312" w:hAnsi="方正仿宋_GB2312" w:eastAsia="方正仿宋_GB2312" w:cs="方正仿宋_GB2312"/>
          <w:spacing w:val="16"/>
          <w:sz w:val="28"/>
          <w:szCs w:val="28"/>
          <w:lang w:val="en-US" w:eastAsia="zh-CN"/>
        </w:rPr>
        <w:t>10</w:t>
      </w:r>
      <w:r>
        <w:rPr>
          <w:rFonts w:hint="eastAsia" w:ascii="方正仿宋_GB2312" w:hAnsi="方正仿宋_GB2312" w:eastAsia="方正仿宋_GB2312" w:cs="方正仿宋_GB2312"/>
          <w:spacing w:val="16"/>
          <w:sz w:val="28"/>
          <w:szCs w:val="28"/>
        </w:rPr>
        <w:t>大类</w:t>
      </w:r>
      <w:r>
        <w:rPr>
          <w:rFonts w:hint="eastAsia" w:ascii="方正仿宋_GB2312" w:hAnsi="方正仿宋_GB2312" w:eastAsia="方正仿宋_GB2312" w:cs="方正仿宋_GB2312"/>
          <w:spacing w:val="16"/>
          <w:sz w:val="28"/>
          <w:szCs w:val="28"/>
          <w:lang w:val="en-US" w:eastAsia="zh-CN"/>
        </w:rPr>
        <w:t>20</w:t>
      </w:r>
      <w:r>
        <w:rPr>
          <w:rFonts w:hint="eastAsia" w:ascii="方正仿宋_GB2312" w:hAnsi="方正仿宋_GB2312" w:eastAsia="方正仿宋_GB2312" w:cs="方正仿宋_GB2312"/>
          <w:spacing w:val="16"/>
          <w:sz w:val="28"/>
          <w:szCs w:val="28"/>
        </w:rPr>
        <w:t>中类</w:t>
      </w:r>
      <w:r>
        <w:rPr>
          <w:rFonts w:hint="eastAsia" w:ascii="方正仿宋_GB2312" w:hAnsi="方正仿宋_GB2312" w:eastAsia="方正仿宋_GB2312" w:cs="方正仿宋_GB2312"/>
          <w:spacing w:val="16"/>
          <w:sz w:val="28"/>
          <w:szCs w:val="28"/>
          <w:lang w:val="en-US" w:eastAsia="zh-CN"/>
        </w:rPr>
        <w:t>29</w:t>
      </w:r>
      <w:r>
        <w:rPr>
          <w:rFonts w:hint="eastAsia" w:ascii="方正仿宋_GB2312" w:hAnsi="方正仿宋_GB2312" w:eastAsia="方正仿宋_GB2312" w:cs="方正仿宋_GB2312"/>
          <w:spacing w:val="16"/>
          <w:sz w:val="28"/>
          <w:szCs w:val="28"/>
        </w:rPr>
        <w:t>小类。清单编制的总体原则和要求如下：</w:t>
      </w:r>
    </w:p>
    <w:p w14:paraId="0442CFBC">
      <w:pPr>
        <w:keepNext w:val="0"/>
        <w:keepLines w:val="0"/>
        <w:pageBreakBefore w:val="0"/>
        <w:widowControl/>
        <w:kinsoku w:val="0"/>
        <w:wordWrap/>
        <w:overflowPunct/>
        <w:topLinePunct w:val="0"/>
        <w:autoSpaceDE w:val="0"/>
        <w:autoSpaceDN w:val="0"/>
        <w:bidi w:val="0"/>
        <w:adjustRightInd w:val="0"/>
        <w:snapToGrid w:val="0"/>
        <w:spacing w:line="336" w:lineRule="auto"/>
        <w:ind w:firstLine="624" w:firstLineChars="200"/>
        <w:textAlignment w:val="baseline"/>
        <w:rPr>
          <w:rFonts w:hint="eastAsia" w:ascii="方正仿宋_GB2312" w:hAnsi="方正仿宋_GB2312" w:eastAsia="方正仿宋_GB2312" w:cs="方正仿宋_GB2312"/>
          <w:spacing w:val="16"/>
          <w:sz w:val="28"/>
          <w:szCs w:val="28"/>
        </w:rPr>
      </w:pPr>
      <w:r>
        <w:rPr>
          <w:rFonts w:hint="eastAsia" w:ascii="方正仿宋_GB2312" w:hAnsi="方正仿宋_GB2312" w:eastAsia="方正仿宋_GB2312" w:cs="方正仿宋_GB2312"/>
          <w:spacing w:val="16"/>
          <w:sz w:val="28"/>
          <w:szCs w:val="28"/>
        </w:rPr>
        <w:t>1、清单所列产业不涉及由国家规划布局的产业（如核电、航空运输、跨流域调水等）。</w:t>
      </w:r>
    </w:p>
    <w:p w14:paraId="61D887C2">
      <w:pPr>
        <w:keepNext w:val="0"/>
        <w:keepLines w:val="0"/>
        <w:pageBreakBefore w:val="0"/>
        <w:widowControl/>
        <w:kinsoku w:val="0"/>
        <w:wordWrap/>
        <w:overflowPunct/>
        <w:topLinePunct w:val="0"/>
        <w:autoSpaceDE w:val="0"/>
        <w:autoSpaceDN w:val="0"/>
        <w:bidi w:val="0"/>
        <w:adjustRightInd w:val="0"/>
        <w:snapToGrid w:val="0"/>
        <w:spacing w:line="336" w:lineRule="auto"/>
        <w:ind w:firstLine="624" w:firstLineChars="200"/>
        <w:textAlignment w:val="baseline"/>
        <w:rPr>
          <w:rFonts w:hint="eastAsia" w:ascii="方正仿宋_GB2312" w:hAnsi="方正仿宋_GB2312" w:eastAsia="方正仿宋_GB2312" w:cs="方正仿宋_GB2312"/>
          <w:spacing w:val="16"/>
          <w:sz w:val="28"/>
          <w:szCs w:val="28"/>
        </w:rPr>
      </w:pPr>
      <w:r>
        <w:rPr>
          <w:rFonts w:hint="eastAsia" w:ascii="方正仿宋_GB2312" w:hAnsi="方正仿宋_GB2312" w:eastAsia="方正仿宋_GB2312" w:cs="方正仿宋_GB2312"/>
          <w:spacing w:val="16"/>
          <w:sz w:val="28"/>
          <w:szCs w:val="28"/>
        </w:rPr>
        <w:t>2、清单所列产业准入条件不低于国家《产业结构调整指导目录（2024年本）》（以下简称《指导目录》）和相关法律法规的要求。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列入限制类产业有：《指导目录》中限制类；《指导目录》中鼓励类和允许类，在本行政区具有一定资源要素禀赋，但与所处重点生态功能区主体功能定位和发展方向不相符合的产业。</w:t>
      </w:r>
    </w:p>
    <w:p w14:paraId="441C1052">
      <w:pPr>
        <w:keepNext w:val="0"/>
        <w:keepLines w:val="0"/>
        <w:pageBreakBefore w:val="0"/>
        <w:widowControl/>
        <w:kinsoku w:val="0"/>
        <w:wordWrap/>
        <w:overflowPunct/>
        <w:topLinePunct w:val="0"/>
        <w:autoSpaceDE w:val="0"/>
        <w:autoSpaceDN w:val="0"/>
        <w:bidi w:val="0"/>
        <w:adjustRightInd w:val="0"/>
        <w:snapToGrid w:val="0"/>
        <w:spacing w:line="336" w:lineRule="auto"/>
        <w:ind w:firstLine="624" w:firstLineChars="200"/>
        <w:textAlignment w:val="baseline"/>
        <w:rPr>
          <w:rFonts w:hint="eastAsia" w:ascii="方正仿宋_GB2312" w:hAnsi="方正仿宋_GB2312" w:eastAsia="方正仿宋_GB2312" w:cs="方正仿宋_GB2312"/>
          <w:spacing w:val="16"/>
          <w:sz w:val="28"/>
          <w:szCs w:val="28"/>
        </w:rPr>
      </w:pPr>
      <w:r>
        <w:rPr>
          <w:rFonts w:hint="eastAsia" w:ascii="方正仿宋_GB2312" w:hAnsi="方正仿宋_GB2312" w:eastAsia="方正仿宋_GB2312" w:cs="方正仿宋_GB2312"/>
          <w:spacing w:val="16"/>
          <w:sz w:val="28"/>
          <w:szCs w:val="28"/>
        </w:rPr>
        <w:t>3、国家法律法规和地方性法规必须遵守，有关要求不再在清单表格中复述。清单所列产业的规模（或产量）、布局（或范围）、生产工艺（或装置）、清洁生产水平等管控要求，均按照所处重点生态功能区规划目标、发展方向和开发管制原则，依据《指导目录》和各行业规范条件、产业准入条件、地方相关规划及产业准入政策等制定。涉及各类自然保护地、生态保护红线、饮用水水源保护区、世界文化和自然遗产、世界地质公园等应依法依规管控的区域，按照相关法律法规执行。</w:t>
      </w:r>
    </w:p>
    <w:p w14:paraId="2EC51601">
      <w:pPr>
        <w:keepNext w:val="0"/>
        <w:keepLines w:val="0"/>
        <w:pageBreakBefore w:val="0"/>
        <w:widowControl/>
        <w:kinsoku w:val="0"/>
        <w:wordWrap/>
        <w:overflowPunct/>
        <w:topLinePunct w:val="0"/>
        <w:autoSpaceDE w:val="0"/>
        <w:autoSpaceDN w:val="0"/>
        <w:bidi w:val="0"/>
        <w:adjustRightInd w:val="0"/>
        <w:snapToGrid w:val="0"/>
        <w:spacing w:line="336" w:lineRule="auto"/>
        <w:ind w:firstLine="624" w:firstLineChars="200"/>
        <w:textAlignment w:val="baseline"/>
        <w:rPr>
          <w:rFonts w:hint="eastAsia" w:ascii="方正仿宋_GB2312" w:hAnsi="方正仿宋_GB2312" w:eastAsia="方正仿宋_GB2312" w:cs="方正仿宋_GB2312"/>
          <w:sz w:val="28"/>
          <w:szCs w:val="28"/>
          <w:lang w:eastAsia="zh-CN"/>
        </w:rPr>
        <w:sectPr>
          <w:pgSz w:w="16720" w:h="11830"/>
          <w:pgMar w:top="1005" w:right="1362" w:bottom="0" w:left="1237" w:header="0" w:footer="0" w:gutter="0"/>
          <w:cols w:space="720" w:num="1"/>
        </w:sectPr>
      </w:pPr>
      <w:r>
        <w:rPr>
          <w:rFonts w:hint="eastAsia" w:ascii="方正仿宋_GB2312" w:hAnsi="方正仿宋_GB2312" w:eastAsia="方正仿宋_GB2312" w:cs="方正仿宋_GB2312"/>
          <w:spacing w:val="16"/>
          <w:sz w:val="28"/>
          <w:szCs w:val="28"/>
        </w:rPr>
        <w:t>4、清单以主体功能定位为重点生态功能区的乡镇为实施单元。国家另有规定的，从其规定</w:t>
      </w:r>
      <w:r>
        <w:rPr>
          <w:rFonts w:hint="eastAsia" w:ascii="方正仿宋_GB2312" w:hAnsi="方正仿宋_GB2312" w:eastAsia="方正仿宋_GB2312" w:cs="方正仿宋_GB2312"/>
          <w:spacing w:val="16"/>
          <w:sz w:val="28"/>
          <w:szCs w:val="28"/>
          <w:lang w:eastAsia="zh-CN"/>
        </w:rPr>
        <w:t>。</w:t>
      </w:r>
    </w:p>
    <w:tbl>
      <w:tblPr>
        <w:tblStyle w:val="3"/>
        <w:tblW w:w="14919" w:type="dxa"/>
        <w:jc w:val="center"/>
        <w:tblLayout w:type="fixed"/>
        <w:tblCellMar>
          <w:top w:w="0" w:type="dxa"/>
          <w:left w:w="108" w:type="dxa"/>
          <w:bottom w:w="0" w:type="dxa"/>
          <w:right w:w="108" w:type="dxa"/>
        </w:tblCellMar>
      </w:tblPr>
      <w:tblGrid>
        <w:gridCol w:w="668"/>
        <w:gridCol w:w="1267"/>
        <w:gridCol w:w="1348"/>
        <w:gridCol w:w="1300"/>
        <w:gridCol w:w="1233"/>
        <w:gridCol w:w="1584"/>
        <w:gridCol w:w="6053"/>
        <w:gridCol w:w="1466"/>
      </w:tblGrid>
      <w:tr w14:paraId="3732E3F5">
        <w:tblPrEx>
          <w:tblCellMar>
            <w:top w:w="0" w:type="dxa"/>
            <w:left w:w="108" w:type="dxa"/>
            <w:bottom w:w="0" w:type="dxa"/>
            <w:right w:w="108" w:type="dxa"/>
          </w:tblCellMar>
        </w:tblPrEx>
        <w:trPr>
          <w:cantSplit/>
          <w:trHeight w:val="23" w:hRule="atLeast"/>
          <w:tblHeader/>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C97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b/>
                <w:bCs/>
                <w:color w:val="000000"/>
                <w:sz w:val="21"/>
                <w:szCs w:val="21"/>
              </w:rPr>
            </w:pPr>
            <w:r>
              <w:rPr>
                <w:rFonts w:hint="eastAsia" w:ascii="方正仿宋_GB2312" w:hAnsi="方正仿宋_GB2312" w:eastAsia="方正仿宋_GB2312" w:cs="方正仿宋_GB2312"/>
                <w:b/>
                <w:bCs/>
                <w:color w:val="000000"/>
                <w:kern w:val="0"/>
                <w:sz w:val="21"/>
                <w:szCs w:val="21"/>
                <w:lang w:bidi="ar"/>
              </w:rPr>
              <w:t>序号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A6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b/>
                <w:bCs/>
                <w:color w:val="000000"/>
                <w:sz w:val="21"/>
                <w:szCs w:val="21"/>
              </w:rPr>
            </w:pPr>
            <w:r>
              <w:rPr>
                <w:rFonts w:hint="eastAsia" w:ascii="方正仿宋_GB2312" w:hAnsi="方正仿宋_GB2312" w:eastAsia="方正仿宋_GB2312" w:cs="方正仿宋_GB2312"/>
                <w:b/>
                <w:bCs/>
                <w:color w:val="000000"/>
                <w:kern w:val="0"/>
                <w:sz w:val="21"/>
                <w:szCs w:val="21"/>
                <w:lang w:bidi="ar"/>
              </w:rPr>
              <w:t>门类（代码及名称）</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DF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b/>
                <w:bCs/>
                <w:color w:val="000000"/>
                <w:sz w:val="21"/>
                <w:szCs w:val="21"/>
              </w:rPr>
            </w:pPr>
            <w:r>
              <w:rPr>
                <w:rFonts w:hint="eastAsia" w:ascii="方正仿宋_GB2312" w:hAnsi="方正仿宋_GB2312" w:eastAsia="方正仿宋_GB2312" w:cs="方正仿宋_GB2312"/>
                <w:b/>
                <w:bCs/>
                <w:color w:val="000000"/>
                <w:kern w:val="0"/>
                <w:sz w:val="21"/>
                <w:szCs w:val="21"/>
                <w:lang w:bidi="ar"/>
              </w:rPr>
              <w:t>大类（代码及名称）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870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b/>
                <w:bCs/>
                <w:color w:val="000000"/>
                <w:sz w:val="21"/>
                <w:szCs w:val="21"/>
              </w:rPr>
            </w:pPr>
            <w:r>
              <w:rPr>
                <w:rFonts w:hint="eastAsia" w:ascii="方正仿宋_GB2312" w:hAnsi="方正仿宋_GB2312" w:eastAsia="方正仿宋_GB2312" w:cs="方正仿宋_GB2312"/>
                <w:b/>
                <w:bCs/>
                <w:color w:val="000000"/>
                <w:kern w:val="0"/>
                <w:sz w:val="21"/>
                <w:szCs w:val="21"/>
                <w:lang w:bidi="ar"/>
              </w:rPr>
              <w:t>中类（代码及名称）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7A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b/>
                <w:bCs/>
                <w:color w:val="000000"/>
                <w:sz w:val="21"/>
                <w:szCs w:val="21"/>
              </w:rPr>
            </w:pPr>
            <w:r>
              <w:rPr>
                <w:rFonts w:hint="eastAsia" w:ascii="方正仿宋_GB2312" w:hAnsi="方正仿宋_GB2312" w:eastAsia="方正仿宋_GB2312" w:cs="方正仿宋_GB2312"/>
                <w:b/>
                <w:bCs/>
                <w:color w:val="000000"/>
                <w:kern w:val="0"/>
                <w:sz w:val="21"/>
                <w:szCs w:val="21"/>
                <w:lang w:bidi="ar"/>
              </w:rPr>
              <w:t>小类（代码及名称）</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9AD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b/>
                <w:bCs/>
                <w:color w:val="000000"/>
                <w:sz w:val="21"/>
                <w:szCs w:val="21"/>
              </w:rPr>
            </w:pPr>
            <w:r>
              <w:rPr>
                <w:rFonts w:hint="eastAsia" w:ascii="方正仿宋_GB2312" w:hAnsi="方正仿宋_GB2312" w:eastAsia="方正仿宋_GB2312" w:cs="方正仿宋_GB2312"/>
                <w:b/>
                <w:bCs/>
                <w:color w:val="000000"/>
                <w:kern w:val="0"/>
                <w:sz w:val="21"/>
                <w:szCs w:val="21"/>
                <w:lang w:bidi="ar"/>
              </w:rPr>
              <w:t>产业存在状况</w:t>
            </w:r>
          </w:p>
        </w:tc>
        <w:tc>
          <w:tcPr>
            <w:tcW w:w="6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0DC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b/>
                <w:bCs/>
                <w:color w:val="000000"/>
                <w:sz w:val="21"/>
                <w:szCs w:val="21"/>
              </w:rPr>
            </w:pPr>
            <w:r>
              <w:rPr>
                <w:rFonts w:hint="eastAsia" w:ascii="方正仿宋_GB2312" w:hAnsi="方正仿宋_GB2312" w:eastAsia="方正仿宋_GB2312" w:cs="方正仿宋_GB2312"/>
                <w:b/>
                <w:bCs/>
                <w:color w:val="000000"/>
                <w:kern w:val="0"/>
                <w:sz w:val="21"/>
                <w:szCs w:val="21"/>
                <w:lang w:bidi="ar"/>
              </w:rPr>
              <w:t>管控要求</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E1B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b/>
                <w:bCs/>
                <w:color w:val="000000"/>
                <w:sz w:val="21"/>
                <w:szCs w:val="21"/>
              </w:rPr>
            </w:pPr>
            <w:r>
              <w:rPr>
                <w:rFonts w:hint="eastAsia" w:ascii="方正仿宋_GB2312" w:hAnsi="方正仿宋_GB2312" w:eastAsia="方正仿宋_GB2312" w:cs="方正仿宋_GB2312"/>
                <w:b/>
                <w:bCs/>
                <w:color w:val="000000"/>
                <w:kern w:val="0"/>
                <w:sz w:val="21"/>
                <w:szCs w:val="21"/>
                <w:lang w:bidi="ar"/>
              </w:rPr>
              <w:t>备注</w:t>
            </w:r>
          </w:p>
        </w:tc>
      </w:tr>
      <w:tr w14:paraId="1CC93EC4">
        <w:tblPrEx>
          <w:tblCellMar>
            <w:top w:w="0" w:type="dxa"/>
            <w:left w:w="108" w:type="dxa"/>
            <w:bottom w:w="0" w:type="dxa"/>
            <w:right w:w="108" w:type="dxa"/>
          </w:tblCellMar>
        </w:tblPrEx>
        <w:trPr>
          <w:cantSplit/>
          <w:trHeight w:val="23" w:hRule="atLeast"/>
          <w:jc w:val="center"/>
        </w:trPr>
        <w:tc>
          <w:tcPr>
            <w:tcW w:w="14919" w:type="dxa"/>
            <w:gridSpan w:val="8"/>
            <w:tcBorders>
              <w:top w:val="single" w:color="000000" w:sz="4" w:space="0"/>
              <w:left w:val="single" w:color="000000" w:sz="4" w:space="0"/>
              <w:bottom w:val="single" w:color="000000" w:sz="4" w:space="0"/>
              <w:right w:val="single" w:color="000000" w:sz="4" w:space="0"/>
            </w:tcBorders>
            <w:shd w:val="clear" w:color="auto" w:fill="C6D9F1"/>
            <w:vAlign w:val="center"/>
          </w:tcPr>
          <w:p w14:paraId="366005B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b/>
                <w:bCs/>
                <w:color w:val="000000"/>
                <w:sz w:val="21"/>
                <w:szCs w:val="21"/>
              </w:rPr>
            </w:pPr>
            <w:r>
              <w:rPr>
                <w:rFonts w:hint="eastAsia" w:ascii="方正仿宋_GB2312" w:hAnsi="方正仿宋_GB2312" w:eastAsia="方正仿宋_GB2312" w:cs="方正仿宋_GB2312"/>
                <w:b/>
                <w:bCs/>
                <w:color w:val="000000"/>
                <w:kern w:val="0"/>
                <w:sz w:val="21"/>
                <w:szCs w:val="21"/>
                <w:lang w:bidi="ar"/>
              </w:rPr>
              <w:t>限制类</w:t>
            </w:r>
          </w:p>
        </w:tc>
      </w:tr>
      <w:tr w14:paraId="1B671E77">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988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5D2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0F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01农业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86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011谷物种植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480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0111稻谷种植</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905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现有主导产业</w:t>
            </w:r>
          </w:p>
        </w:tc>
        <w:tc>
          <w:tcPr>
            <w:tcW w:w="6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FB0C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1.禁止施用剧毒、高毒农药。实施农药、化肥使用量零增长行动。</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2.禁止毁林、毁草、烧山、天然草地垦植。</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3.禁止在25度以上陡坡地开垦种植农作物。在25度以上陡坡地种植经济林的，应当科学选择树种，合理确定规模，采取水土保持措施，防止造成水土流失。禁止在25度以上陡坡地、重要水源地15度以上坡地开垦耕地。对非基本农田耕地根据国家退耕还林计划任务安排还林还草。</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4.在不破坏天然林资源的基础上，适度发展食（药）用菌。</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5.禁止占用天然湿地、天然草场种植中药材。</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E75B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《指导目录》鼓励类</w:t>
            </w:r>
          </w:p>
        </w:tc>
      </w:tr>
      <w:tr w14:paraId="4D36449E">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700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A51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8C0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01农业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70C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012豆类、油料和薯类种植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A81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0121豆类种植</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12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76AB4">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545DE">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0B03FAC8">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3B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C42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2A3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01农业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9CC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012豆类、油料和薯类种植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6B5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0122油料种植</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E70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E21F9">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A3D07">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7B21B0FD">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77D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3AE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F0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01农业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F1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012豆类、油料和薯类种植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4B7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0123薯类种植</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BE6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0CC76">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0B08C">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11DDADDD">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DA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5B3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65A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01农业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11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014蔬菜、食用菌及园艺作物种植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168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0141蔬菜种植</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1C7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4294C">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10C31">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04CC6718">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A6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B3A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6F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01农业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BC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015水果种植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72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0153柑橘类种植</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698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现有主导产业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F11FD">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2037B">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199A3520">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BC4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420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6DB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01农业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2D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016坚果、含油果、香料和饮料作物种植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31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0169茶及其他饮料作物种植</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0B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D96A2">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89147">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502E866E">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C87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68A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E7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01农业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62D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017中药材种植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D34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0171中药材种植</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2A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4FC16">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7B3EE">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77CE265E">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030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E27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BEE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02林业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4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022造林和更新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7A6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0220造林和更新</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68B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75B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禁止种植桉树等高耗水速生林，现有高耗水速生林应在2025年12月31日之前实施树种替换。生态林、经济林建设必须落实水土保持措施。生态林建设限制全面整地。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FEF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《指导目录》限制类</w:t>
            </w:r>
          </w:p>
        </w:tc>
      </w:tr>
      <w:tr w14:paraId="6F04AA62">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EB0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F6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kern w:val="0"/>
                <w:sz w:val="21"/>
                <w:szCs w:val="21"/>
                <w:lang w:eastAsia="zh-CN"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19C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02林业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E36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024木材和竹材采运</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D20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0241木材采运</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B70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D42D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禁止天然林商业性采伐、禁止公益林采伐（抚育和更新性质的采伐除外），现有天然林、公益林实行封禁抚育，其中公益林中的毛竹林除外（可作更新经营）。对采伐区和集材道应当采取水土流失的保护措施。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ACD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《指导目录》限制类</w:t>
            </w:r>
          </w:p>
        </w:tc>
      </w:tr>
      <w:tr w14:paraId="786B9E4C">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775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740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kern w:val="0"/>
                <w:sz w:val="21"/>
                <w:szCs w:val="21"/>
                <w:lang w:eastAsia="zh-CN"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79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02林业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FD8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024木材和竹材采运</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C26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0242竹材采运</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3F7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5021">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000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《指导目录》限制类</w:t>
            </w:r>
          </w:p>
        </w:tc>
      </w:tr>
      <w:tr w14:paraId="69A4B1A2">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CB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EA8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kern w:val="0"/>
                <w:sz w:val="21"/>
                <w:szCs w:val="21"/>
                <w:lang w:eastAsia="zh-CN"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948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02林业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34E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025林产品采集</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08F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0251木竹材林产品采集</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A23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80D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禁止开展天然林、生态公益林等各种林木产品、古树名木及其他野生植物的采集等活动（科研除外）。禁止在林产品采集时采伐林木（人工栽植厚朴、杜仲除外）。林产品采集过程中应严格落实水土保持措施。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19F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《指导目录》限制类</w:t>
            </w:r>
          </w:p>
        </w:tc>
      </w:tr>
      <w:tr w14:paraId="2173FA91">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92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90B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ED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03畜牧业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3CB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031牲畜饲养</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B7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0311牛的饲养</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B2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372A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城镇、文化教育科学研究及医疗卫生等人口集中区，生态保护红线范围的一类管控区，重点工业园区，资江干流、柘溪库区沿岸两侧500米范围内等属于禁止畜禽养殖的区域。依法关闭或搬迁禁养区内畜禽养殖场和养殖专业户。</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2.城镇、工业园区上风向1000米范围内，行政村、自然村人口聚集区周边200米，自然保护区的实验区，水库库区1000米范围，主要交通干线两侧边界外延500米属于限制畜禽养殖区域，该区域内不得新建、扩建各类畜禽养殖场。</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3.适养区实行舍饲圈养，以草定畜，并配套建设牲畜排泄等集中处理设施。</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4.限养区和适养区畜禽养殖场废弃物需经处理后实现资源化利用或按照《畜禽养殖业污染物排放标准》（GB18596-2001）达标排放。</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2C59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《指导目录》鼓励类</w:t>
            </w:r>
          </w:p>
        </w:tc>
      </w:tr>
      <w:tr w14:paraId="3F67652E">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61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D11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4C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03畜牧业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5D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031牲畜饲养</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27F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0313猪的饲养</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B55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E0A65">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184FB">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5053E9E1">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60F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BF1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lang w:eastAsia="zh-CN"/>
              </w:rPr>
            </w:pPr>
            <w:r>
              <w:rPr>
                <w:rFonts w:hint="eastAsia" w:ascii="方正仿宋_GB2312" w:hAnsi="方正仿宋_GB2312" w:eastAsia="方正仿宋_GB2312" w:cs="方正仿宋_GB2312"/>
                <w:color w:val="000000"/>
                <w:kern w:val="0"/>
                <w:sz w:val="21"/>
                <w:szCs w:val="21"/>
                <w:lang w:eastAsia="zh-CN"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92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03畜牧业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59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031牲畜饲养</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78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0314羊的饲养</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201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FD623">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CBC4">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6CD80FA8">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481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3F2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757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03畜牧业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3BF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032家禽饲养</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45D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0321鸡的饲养</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542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C40D8">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638D">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2D2D3333">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8E6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CE5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A农、林、牧、渔业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15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03畜牧业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166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032家禽饲养</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5A1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0322鸭的饲养</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003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0C41">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D2C9">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56EF8A9B">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FEA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04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B采矿业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EF8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08黑色金属矿采选业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943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082锰矿、铬矿采选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CB3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0820锰矿、铬矿采选</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6F7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现有主导产业</w:t>
            </w:r>
          </w:p>
        </w:tc>
        <w:tc>
          <w:tcPr>
            <w:tcW w:w="6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C608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1.禁止在国省干线、旅游公路沿线等区域布局。</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2.新建项目的生产工艺、环保设施和清洁生产水平必须达到国内先进水平。</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3.现有项目对生态造成破坏的以及现有废弃矿坑，立即开展生态修复。</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4.对关停的项目，按照谁破坏谁治理的原则进行矿山地质环境恢复治理。</w:t>
            </w:r>
            <w:r>
              <w:rPr>
                <w:rFonts w:hint="eastAsia" w:ascii="方正仿宋_GB2312" w:hAnsi="方正仿宋_GB2312" w:eastAsia="方正仿宋_GB2312" w:cs="方正仿宋_GB2312"/>
                <w:color w:val="000000"/>
                <w:kern w:val="0"/>
                <w:sz w:val="21"/>
                <w:szCs w:val="21"/>
                <w:lang w:bidi="ar"/>
              </w:rPr>
              <w:br w:type="textWrapping"/>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FD51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《指导目录》限制类</w:t>
            </w:r>
          </w:p>
        </w:tc>
      </w:tr>
      <w:tr w14:paraId="3A45D6EE">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4AA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BE0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B采矿业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74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09有色金属矿采选业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D1E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w:t>
            </w:r>
            <w:bookmarkStart w:id="0" w:name="_GoBack"/>
            <w:bookmarkEnd w:id="0"/>
            <w:r>
              <w:rPr>
                <w:rFonts w:hint="eastAsia" w:ascii="方正仿宋_GB2312" w:hAnsi="方正仿宋_GB2312" w:eastAsia="方正仿宋_GB2312" w:cs="方正仿宋_GB2312"/>
                <w:color w:val="000000"/>
                <w:kern w:val="0"/>
                <w:sz w:val="21"/>
                <w:szCs w:val="21"/>
                <w:lang w:bidi="ar"/>
              </w:rPr>
              <w:t>91常用有色金属矿采选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50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0915锑矿采选</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9A8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现有主导产业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DC47">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A6D73">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1B65058C">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2F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B5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B采矿业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0BA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09有色金属矿采选业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5C6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092贵金属矿采选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184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0921金矿采选</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8B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6B26">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81F3">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7EFD615F">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7D2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7BA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B采矿业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069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10非金属矿采选业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D26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101土砂石开采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783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1019粘土及其他土砂石开采</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6B5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B932A">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92B1">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43A898EC">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67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120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C制造业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A67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26化学原料和化学制品制造业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6D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266专用化学产品制造</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64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2661化学试剂和助剂制造</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8A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DA32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1.新建项目仅限于布局在湖南安化经济开发区；</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2.新建项目的生产工艺、环保设施和清洁生产标准要达到国内先进水平。</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8EF1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《指导目录》限制类</w:t>
            </w:r>
          </w:p>
        </w:tc>
      </w:tr>
      <w:tr w14:paraId="7E46EC27">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7A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B91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C制造业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7C3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26化学原料和化学制品制造业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4F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266专用化学产品制造</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35F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2669其他专用化学产品制造</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9F5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5B44E">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2FD2A">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6FC60497">
        <w:tblPrEx>
          <w:tblCellMar>
            <w:top w:w="0" w:type="dxa"/>
            <w:left w:w="108" w:type="dxa"/>
            <w:bottom w:w="0" w:type="dxa"/>
            <w:right w:w="108" w:type="dxa"/>
          </w:tblCellMar>
        </w:tblPrEx>
        <w:trPr>
          <w:cantSplit/>
          <w:trHeight w:val="386"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815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B31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C制造业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FE1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30非金属矿物制品业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46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301水泥、石灰和石膏制造</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C2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3011水泥制造</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868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现有主导产业</w:t>
            </w:r>
          </w:p>
        </w:tc>
        <w:tc>
          <w:tcPr>
            <w:tcW w:w="6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B7F7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1.新建建筑材料生产项目仅限于布局在湖南安化经济开发区；</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2.现有项目的生产工艺、环保设施和清洁生产标准应达到国内先进水平。</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51E3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《指导目录》限制类</w:t>
            </w:r>
          </w:p>
        </w:tc>
      </w:tr>
      <w:tr w14:paraId="46AAC867">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0D6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7F6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C制造业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D7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30非金属矿物制品业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D21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303砖瓦、石材等建筑材料制造</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098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3031粘土砖瓦及建筑砌块制造</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A6C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0F9DC">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E62A2">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6C350301">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F24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80D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D电力、热力、燃气及水生产和供应业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7E2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44电力、热力生产和供应业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E4C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441电力生产</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7A9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4413水力发电</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D9B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0A0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1.禁止新建无下泄生态流量的引水式水利发电项目；</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2.对长江流域已建小水电工程，不符合生态保护要求的，县级以上地方人民政府应当组织分类整改或者采取措施逐步退出；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A21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《指导目录》限制类</w:t>
            </w:r>
          </w:p>
        </w:tc>
      </w:tr>
      <w:tr w14:paraId="5F68E032">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40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6FF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D电力、热力、燃气及水生产和供应业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2FF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44电力、热力生产和供应业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49D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441电力生产</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8E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4415风力发电</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218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0ED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1.新建项目一律不得占用永久基本农田、基本草原、I级保护林地、自然保护地核心保护区等，项目选址避让生态保护红线、具有特殊自然景观价值区域、天然林保护工程区、国家沙化土地封禁保护区等；</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2新建项目不能占用省级及国家级公益林，不得占用天然林；</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3.新建项目不得在采矿区内进行建设；</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4.禁止在河道和湖泊管理范围内新建风力发电项目；</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5.现有项目对生态造成破坏的，立即治理恢复。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282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《指导目录》鼓励类</w:t>
            </w:r>
          </w:p>
        </w:tc>
      </w:tr>
      <w:tr w14:paraId="45765DD1">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D18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03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D电力、热力、燃气及水生产和供应业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CF6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44电力、热力生产和供应业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70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441电力生产</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8F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4416太阳能发电</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FCC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657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新建项目的光伏方阵在避让耕地、生态保护红线历史文化保护线、特殊自然景观价值和文化标识区域、国家沙化土地封禁保护区、有原生植被覆盖和土壤结皮的草原、天然林地以及其他不符合条件的林地等前提下，使用未利用地或农用地</w:t>
            </w:r>
            <w:r>
              <w:rPr>
                <w:rFonts w:hint="eastAsia" w:ascii="方正仿宋_GB2312" w:hAnsi="方正仿宋_GB2312" w:eastAsia="方正仿宋_GB2312" w:cs="方正仿宋_GB2312"/>
                <w:color w:val="000000"/>
                <w:kern w:val="0"/>
                <w:sz w:val="21"/>
                <w:szCs w:val="21"/>
                <w:lang w:eastAsia="zh-CN" w:bidi="ar"/>
              </w:rPr>
              <w:t>（</w:t>
            </w:r>
            <w:r>
              <w:rPr>
                <w:rFonts w:hint="eastAsia" w:ascii="方正仿宋_GB2312" w:hAnsi="方正仿宋_GB2312" w:eastAsia="方正仿宋_GB2312" w:cs="方正仿宋_GB2312"/>
                <w:color w:val="000000"/>
                <w:kern w:val="0"/>
                <w:sz w:val="21"/>
                <w:szCs w:val="21"/>
                <w:lang w:bidi="ar"/>
              </w:rPr>
              <w:t>河道、湖泊、水库除外</w:t>
            </w:r>
            <w:r>
              <w:rPr>
                <w:rFonts w:hint="eastAsia" w:ascii="方正仿宋_GB2312" w:hAnsi="方正仿宋_GB2312" w:eastAsia="方正仿宋_GB2312" w:cs="方正仿宋_GB2312"/>
                <w:color w:val="000000"/>
                <w:kern w:val="0"/>
                <w:sz w:val="21"/>
                <w:szCs w:val="21"/>
                <w:lang w:eastAsia="zh-CN" w:bidi="ar"/>
              </w:rPr>
              <w:t>）</w:t>
            </w:r>
            <w:r>
              <w:rPr>
                <w:rFonts w:hint="eastAsia" w:ascii="方正仿宋_GB2312" w:hAnsi="方正仿宋_GB2312" w:eastAsia="方正仿宋_GB2312" w:cs="方正仿宋_GB2312"/>
                <w:color w:val="000000"/>
                <w:kern w:val="0"/>
                <w:sz w:val="21"/>
                <w:szCs w:val="21"/>
                <w:lang w:bidi="ar"/>
              </w:rPr>
              <w:t>，不改变地表形态。</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2.新建项目不得在采矿区内进行建设；</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3.禁止在河道和湖泊管理范围内新建太阳能发电项目；</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4.现有项目对生态造成破坏的，立即治理恢复。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79D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《指导目录》鼓励类</w:t>
            </w:r>
          </w:p>
        </w:tc>
      </w:tr>
      <w:tr w14:paraId="77C808B8">
        <w:tblPrEx>
          <w:tblCellMar>
            <w:top w:w="0" w:type="dxa"/>
            <w:left w:w="108" w:type="dxa"/>
            <w:bottom w:w="0" w:type="dxa"/>
            <w:right w:w="108" w:type="dxa"/>
          </w:tblCellMar>
        </w:tblPrEx>
        <w:trPr>
          <w:cantSplit/>
          <w:trHeight w:val="13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F3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768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K房地产业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0E3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70房地产业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10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701房地产开发经营</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0EE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7010房地产开发经营</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18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现在一般产业</w:t>
            </w:r>
          </w:p>
        </w:tc>
        <w:tc>
          <w:tcPr>
            <w:tcW w:w="6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2D1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1.禁止新增别墅类房地产开发项目；</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2.禁止新增房地产项目占用林地、农田。</w:t>
            </w:r>
            <w:r>
              <w:rPr>
                <w:rFonts w:hint="eastAsia" w:ascii="方正仿宋_GB2312" w:hAnsi="方正仿宋_GB2312" w:eastAsia="方正仿宋_GB2312" w:cs="方正仿宋_GB2312"/>
                <w:color w:val="000000"/>
                <w:kern w:val="0"/>
                <w:sz w:val="21"/>
                <w:szCs w:val="21"/>
                <w:lang w:bidi="ar"/>
              </w:rPr>
              <w:br w:type="textWrapping"/>
            </w:r>
            <w:r>
              <w:rPr>
                <w:rFonts w:hint="eastAsia" w:ascii="方正仿宋_GB2312" w:hAnsi="方正仿宋_GB2312" w:eastAsia="方正仿宋_GB2312" w:cs="方正仿宋_GB2312"/>
                <w:color w:val="000000"/>
                <w:kern w:val="0"/>
                <w:sz w:val="21"/>
                <w:szCs w:val="21"/>
                <w:lang w:bidi="ar"/>
              </w:rPr>
              <w:t>3.房地产开发项目必须在现有城镇总体规划建设用地范围内集中布局、据点式开发，禁止成片蔓延式扩张。</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C94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《指导目录》限制类</w:t>
            </w:r>
          </w:p>
        </w:tc>
      </w:tr>
      <w:tr w14:paraId="320FBC09">
        <w:tblPrEx>
          <w:tblCellMar>
            <w:top w:w="0" w:type="dxa"/>
            <w:left w:w="108" w:type="dxa"/>
            <w:bottom w:w="0" w:type="dxa"/>
            <w:right w:w="108" w:type="dxa"/>
          </w:tblCellMar>
        </w:tblPrEx>
        <w:trPr>
          <w:cantSplit/>
          <w:trHeight w:val="23" w:hRule="atLeast"/>
          <w:jc w:val="center"/>
        </w:trPr>
        <w:tc>
          <w:tcPr>
            <w:tcW w:w="14919" w:type="dxa"/>
            <w:gridSpan w:val="8"/>
            <w:tcBorders>
              <w:top w:val="single" w:color="000000" w:sz="4" w:space="0"/>
              <w:left w:val="single" w:color="000000" w:sz="4" w:space="0"/>
              <w:bottom w:val="single" w:color="000000" w:sz="4" w:space="0"/>
              <w:right w:val="single" w:color="000000" w:sz="4" w:space="0"/>
            </w:tcBorders>
            <w:shd w:val="clear" w:color="auto" w:fill="C6D9F1"/>
            <w:vAlign w:val="center"/>
          </w:tcPr>
          <w:p w14:paraId="500384F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b/>
                <w:bCs/>
                <w:color w:val="000000"/>
                <w:sz w:val="21"/>
                <w:szCs w:val="21"/>
              </w:rPr>
            </w:pPr>
            <w:r>
              <w:rPr>
                <w:rFonts w:hint="eastAsia" w:ascii="方正仿宋_GB2312" w:hAnsi="方正仿宋_GB2312" w:eastAsia="方正仿宋_GB2312" w:cs="方正仿宋_GB2312"/>
                <w:b/>
                <w:bCs/>
                <w:color w:val="000000"/>
                <w:kern w:val="0"/>
                <w:sz w:val="21"/>
                <w:szCs w:val="21"/>
                <w:lang w:bidi="ar"/>
              </w:rPr>
              <w:t>禁止类</w:t>
            </w:r>
          </w:p>
        </w:tc>
      </w:tr>
      <w:tr w14:paraId="7952D80B">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7EB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C77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B采矿业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F46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06煤炭开采和洗选业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062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061烟煤和无烟煤开采洗选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23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0610烟煤和无烟煤开采洗选</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E3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713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禁止新建、改扩建。</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6DE1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《指导目录》限制类</w:t>
            </w:r>
          </w:p>
        </w:tc>
      </w:tr>
      <w:tr w14:paraId="5DCAE066">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06F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44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B采矿业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8F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08黑色金属矿采选业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D58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081铁矿采选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69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0810铁矿采选</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80C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E11E">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方正仿宋_GB2312" w:hAnsi="方正仿宋_GB2312" w:eastAsia="方正仿宋_GB2312" w:cs="方正仿宋_GB2312"/>
                <w:color w:val="000000"/>
                <w:sz w:val="21"/>
                <w:szCs w:val="21"/>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03DAE">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方正仿宋_GB2312" w:hAnsi="方正仿宋_GB2312" w:eastAsia="方正仿宋_GB2312" w:cs="方正仿宋_GB2312"/>
                <w:color w:val="000000"/>
                <w:sz w:val="21"/>
                <w:szCs w:val="21"/>
              </w:rPr>
            </w:pPr>
          </w:p>
        </w:tc>
      </w:tr>
      <w:tr w14:paraId="25EEECA2">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9EF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4C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C制造业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80A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17纺织业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2E1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171棉纺织及印染精加工</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CA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1713棉印染精加工</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50E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规划发展产业</w:t>
            </w:r>
          </w:p>
        </w:tc>
        <w:tc>
          <w:tcPr>
            <w:tcW w:w="6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5A8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禁止新建。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E35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《指导目录》限制类</w:t>
            </w:r>
          </w:p>
        </w:tc>
      </w:tr>
      <w:tr w14:paraId="1BB581DE">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BCC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BB1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C制造业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4B6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26化学原料和化学制品制造业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5CA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263农药制造</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4F0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2631化学农药制造</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EAB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规划发展产业</w:t>
            </w:r>
          </w:p>
        </w:tc>
        <w:tc>
          <w:tcPr>
            <w:tcW w:w="6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A3B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禁止新建。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25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《指导目录》限制类</w:t>
            </w:r>
          </w:p>
        </w:tc>
      </w:tr>
      <w:tr w14:paraId="533BC445">
        <w:tblPrEx>
          <w:tblCellMar>
            <w:top w:w="0" w:type="dxa"/>
            <w:left w:w="108" w:type="dxa"/>
            <w:bottom w:w="0" w:type="dxa"/>
            <w:right w:w="108" w:type="dxa"/>
          </w:tblCellMar>
        </w:tblPrEx>
        <w:trPr>
          <w:cantSplit/>
          <w:trHeight w:val="2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EC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B5D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C制造业</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FAC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26化学原料和化学制品制造业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74B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267炸药、火工及焰火产品制造</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805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2672焰火、鞭炮产品制造</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915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现有一般产业</w:t>
            </w:r>
          </w:p>
        </w:tc>
        <w:tc>
          <w:tcPr>
            <w:tcW w:w="6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C8B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禁止新建、改扩建。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F5F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lang w:bidi="ar"/>
              </w:rPr>
              <w:t>《指导目录》限制类</w:t>
            </w:r>
          </w:p>
        </w:tc>
      </w:tr>
    </w:tbl>
    <w:p w14:paraId="3F7D6AEF">
      <w:pPr>
        <w:keepNext w:val="0"/>
        <w:keepLines w:val="0"/>
        <w:pageBreakBefore w:val="0"/>
        <w:widowControl/>
        <w:kinsoku w:val="0"/>
        <w:wordWrap/>
        <w:overflowPunct/>
        <w:topLinePunct w:val="0"/>
        <w:autoSpaceDE w:val="0"/>
        <w:autoSpaceDN w:val="0"/>
        <w:bidi w:val="0"/>
        <w:adjustRightInd w:val="0"/>
        <w:snapToGrid w:val="0"/>
        <w:spacing w:line="240" w:lineRule="auto"/>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FF1F683-6E75-41FC-8002-B8A4E154A61E}"/>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C9A5AD15-3427-4C70-8D6A-774DFBB2151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0397D"/>
    <w:rsid w:val="19577B6B"/>
    <w:rsid w:val="28B5297E"/>
    <w:rsid w:val="2BA70CA4"/>
    <w:rsid w:val="3683492F"/>
    <w:rsid w:val="411A73CB"/>
    <w:rsid w:val="413F61EB"/>
    <w:rsid w:val="441B5933"/>
    <w:rsid w:val="459D16E6"/>
    <w:rsid w:val="49975A5C"/>
    <w:rsid w:val="4F905428"/>
    <w:rsid w:val="4FAA5ED0"/>
    <w:rsid w:val="562F6DF0"/>
    <w:rsid w:val="623F6839"/>
    <w:rsid w:val="648D485F"/>
    <w:rsid w:val="65F36523"/>
    <w:rsid w:val="68DD0716"/>
    <w:rsid w:val="6A9C42B0"/>
    <w:rsid w:val="6C735A5D"/>
    <w:rsid w:val="6E0A7824"/>
    <w:rsid w:val="6E1F5E9D"/>
    <w:rsid w:val="6FAB6C59"/>
    <w:rsid w:val="76C375E1"/>
    <w:rsid w:val="7C0D3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3725</Words>
  <Characters>4021</Characters>
  <Lines>0</Lines>
  <Paragraphs>0</Paragraphs>
  <TotalTime>3</TotalTime>
  <ScaleCrop>false</ScaleCrop>
  <LinksUpToDate>false</LinksUpToDate>
  <CharactersWithSpaces>4021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2025-04-17T10:21:00Z</dcterms:created>
  <dc:creator>dada</dc:creator>
  <cp:lastModifiedBy>陈江南</cp:lastModifiedBy>
  <dcterms:modified xsi:type="dcterms:W3CDTF">2025-04-18T13:35:03Z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eyJoZGlkIjoiYzIxNjdlYTE5OGI0YmQwZGZkNTIyZjFiY2FjMzY4MjEiLCJ1c2VySWQiOiI0MjMwNTYyOTUifQ==</vt:lpwstr>
  </property>
  <property fmtid="{D5CDD505-2E9C-101B-9397-08002B2CF9AE}" pid="4" name="ICV">
    <vt:lpwstr>786EA1EE2DFA40EC8554744F1900B448_12</vt:lpwstr>
  </property>
</Properties>
</file>