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rPr>
          <w:rFonts w:hint="eastAsia" w:ascii="宋体" w:hAnsi="宋体" w:eastAsia="宋体" w:cs="宋体"/>
          <w:bCs/>
          <w:color w:val="000000"/>
          <w:kern w:val="0"/>
          <w:sz w:val="28"/>
          <w:szCs w:val="28"/>
          <w:lang w:eastAsia="zh-CN"/>
        </w:rPr>
      </w:pPr>
      <w:r>
        <w:rPr>
          <w:rFonts w:hint="eastAsia" w:ascii="宋体" w:hAnsi="宋体" w:eastAsia="宋体" w:cs="宋体"/>
          <w:color w:val="000000"/>
          <w:sz w:val="28"/>
          <w:szCs w:val="28"/>
          <w:lang w:eastAsia="zh-CN"/>
        </w:rPr>
        <w:t>附件</w:t>
      </w:r>
      <w:r>
        <w:rPr>
          <w:rFonts w:hint="eastAsia" w:ascii="宋体" w:hAnsi="宋体" w:eastAsia="宋体" w:cs="宋体"/>
          <w:color w:val="000000"/>
          <w:sz w:val="28"/>
          <w:szCs w:val="28"/>
          <w:lang w:val="en-US" w:eastAsia="zh-CN"/>
        </w:rPr>
        <w:t>3：</w:t>
      </w:r>
    </w:p>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aps w:val="0"/>
          <w:color w:val="000000"/>
          <w:spacing w:val="0"/>
          <w:kern w:val="0"/>
          <w:sz w:val="21"/>
          <w:szCs w:val="21"/>
          <w:u w:val="none"/>
          <w:lang w:val="en-US" w:eastAsia="zh-CN" w:bidi="ar"/>
        </w:rPr>
      </w:pPr>
      <w:bookmarkStart w:id="0" w:name="_GoBack"/>
      <w:r>
        <w:rPr>
          <w:rFonts w:hint="eastAsia" w:ascii="Times New Roman" w:hAnsi="Times New Roman" w:eastAsia="方正小标宋简体" w:cs="Times New Roman"/>
          <w:bCs/>
          <w:color w:val="000000"/>
          <w:kern w:val="0"/>
          <w:sz w:val="42"/>
          <w:szCs w:val="42"/>
          <w:lang w:eastAsia="zh-CN"/>
        </w:rPr>
        <w:t>安化县国防动员行政执法事项目录</w:t>
      </w:r>
    </w:p>
    <w:bookmarkEnd w:id="0"/>
    <w:tbl>
      <w:tblPr>
        <w:tblStyle w:val="2"/>
        <w:tblW w:w="138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9"/>
        <w:gridCol w:w="2335"/>
        <w:gridCol w:w="915"/>
        <w:gridCol w:w="1483"/>
        <w:gridCol w:w="8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1" w:hRule="atLeast"/>
          <w:tblHeader/>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aps w:val="0"/>
                <w:color w:val="000000"/>
                <w:spacing w:val="0"/>
                <w:sz w:val="21"/>
                <w:szCs w:val="21"/>
                <w:u w:val="none"/>
              </w:rPr>
            </w:pPr>
            <w:r>
              <w:rPr>
                <w:rFonts w:hint="eastAsia" w:ascii="黑体" w:hAnsi="黑体" w:eastAsia="黑体" w:cs="黑体"/>
                <w:b w:val="0"/>
                <w:bCs w:val="0"/>
                <w:i w:val="0"/>
                <w:iCs w:val="0"/>
                <w:caps w:val="0"/>
                <w:color w:val="000000"/>
                <w:spacing w:val="0"/>
                <w:kern w:val="0"/>
                <w:sz w:val="21"/>
                <w:szCs w:val="21"/>
                <w:u w:val="none"/>
                <w:lang w:val="en-US" w:eastAsia="zh-CN" w:bidi="ar"/>
              </w:rPr>
              <w:t>序号</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aps w:val="0"/>
                <w:color w:val="000000"/>
                <w:spacing w:val="0"/>
                <w:sz w:val="21"/>
                <w:szCs w:val="21"/>
                <w:highlight w:val="none"/>
                <w:u w:val="none"/>
              </w:rPr>
            </w:pP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t>执法事项名称</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aps w:val="0"/>
                <w:color w:val="000000"/>
                <w:spacing w:val="0"/>
                <w:sz w:val="21"/>
                <w:szCs w:val="21"/>
                <w:highlight w:val="none"/>
                <w:u w:val="none"/>
              </w:rPr>
            </w:pP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t>执法类别</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aps w:val="0"/>
                <w:color w:val="000000"/>
                <w:spacing w:val="0"/>
                <w:sz w:val="21"/>
                <w:szCs w:val="21"/>
                <w:highlight w:val="none"/>
                <w:u w:val="none"/>
              </w:rPr>
            </w:pP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t>执法主体</w:t>
            </w: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br w:type="textWrapping"/>
            </w: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t>（实施层级）</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tabs>
                <w:tab w:val="center" w:pos="4838"/>
                <w:tab w:val="left" w:pos="9450"/>
                <w:tab w:val="right" w:pos="9556"/>
              </w:tabs>
              <w:spacing w:before="0" w:beforeAutospacing="0" w:after="0" w:afterAutospacing="0"/>
              <w:ind w:left="0" w:right="514" w:rightChars="245"/>
              <w:jc w:val="left"/>
              <w:textAlignment w:val="center"/>
              <w:rPr>
                <w:rFonts w:hint="eastAsia" w:ascii="黑体" w:hAnsi="黑体" w:eastAsia="黑体" w:cs="黑体"/>
                <w:b w:val="0"/>
                <w:bCs w:val="0"/>
                <w:i w:val="0"/>
                <w:iCs w:val="0"/>
                <w:caps w:val="0"/>
                <w:color w:val="000000"/>
                <w:spacing w:val="0"/>
                <w:sz w:val="21"/>
                <w:szCs w:val="21"/>
                <w:highlight w:val="none"/>
                <w:u w:val="none"/>
              </w:rPr>
            </w:pP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tab/>
            </w: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t>执法依据</w:t>
            </w:r>
            <w:r>
              <w:rPr>
                <w:rFonts w:hint="eastAsia" w:ascii="黑体" w:hAnsi="黑体" w:eastAsia="黑体" w:cs="黑体"/>
                <w:b w:val="0"/>
                <w:bCs w:val="0"/>
                <w:i w:val="0"/>
                <w:iCs w:val="0"/>
                <w:caps w:val="0"/>
                <w:color w:val="000000"/>
                <w:spacing w:val="0"/>
                <w:kern w:val="0"/>
                <w:sz w:val="21"/>
                <w:szCs w:val="21"/>
                <w:highlight w:val="none"/>
                <w:u w:val="none"/>
                <w:lang w:val="en-US" w:eastAsia="zh-CN" w:bidi="ar"/>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63"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color w:val="000000"/>
                <w:spacing w:val="0"/>
                <w:kern w:val="2"/>
                <w:sz w:val="21"/>
                <w:szCs w:val="21"/>
                <w:u w:val="none"/>
                <w:lang w:val="en-US" w:eastAsia="zh-CN" w:bidi="ar-SA"/>
              </w:rPr>
            </w:pPr>
            <w:r>
              <w:rPr>
                <w:rFonts w:hint="eastAsia" w:ascii="宋体" w:hAnsi="宋体" w:eastAsia="宋体" w:cs="宋体"/>
                <w:i w:val="0"/>
                <w:iCs w:val="0"/>
                <w:caps w:val="0"/>
                <w:color w:val="000000"/>
                <w:spacing w:val="0"/>
                <w:kern w:val="0"/>
                <w:sz w:val="21"/>
                <w:szCs w:val="21"/>
                <w:u w:val="none"/>
                <w:lang w:val="en-US" w:eastAsia="zh-CN" w:bidi="ar"/>
              </w:rPr>
              <w:t>1</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color w:val="000000"/>
                <w:spacing w:val="0"/>
                <w:kern w:val="2"/>
                <w:sz w:val="21"/>
                <w:szCs w:val="21"/>
                <w:u w:val="none"/>
                <w:lang w:val="en-US" w:eastAsia="zh-CN" w:bidi="ar-SA"/>
              </w:rPr>
            </w:pPr>
            <w:r>
              <w:rPr>
                <w:rFonts w:hint="eastAsia" w:ascii="宋体" w:hAnsi="宋体" w:eastAsia="宋体" w:cs="宋体"/>
                <w:i w:val="0"/>
                <w:iCs w:val="0"/>
                <w:caps w:val="0"/>
                <w:color w:val="000000"/>
                <w:spacing w:val="0"/>
                <w:kern w:val="0"/>
                <w:sz w:val="21"/>
                <w:szCs w:val="21"/>
                <w:u w:val="none"/>
                <w:lang w:val="en-US" w:eastAsia="zh-CN" w:bidi="ar"/>
              </w:rPr>
              <w:t>拆除人防工程审批</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color w:val="000000"/>
                <w:spacing w:val="0"/>
                <w:kern w:val="2"/>
                <w:sz w:val="21"/>
                <w:szCs w:val="21"/>
                <w:u w:val="none"/>
                <w:lang w:val="en-US" w:eastAsia="zh-CN" w:bidi="ar-SA"/>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color w:val="000000"/>
                <w:spacing w:val="0"/>
                <w:kern w:val="2"/>
                <w:sz w:val="21"/>
                <w:szCs w:val="21"/>
                <w:u w:val="none"/>
                <w:lang w:val="en-US" w:eastAsia="zh-CN" w:bidi="ar-SA"/>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000000"/>
                <w:spacing w:val="0"/>
                <w:kern w:val="2"/>
                <w:sz w:val="21"/>
                <w:szCs w:val="21"/>
                <w:u w:val="none"/>
                <w:lang w:val="en-US" w:eastAsia="zh-CN" w:bidi="ar-SA"/>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1.《中华人民共和国人民防空法》第二十八条： 任何组织或者个人不得擅自拆除本法第二十一条规定的人民防空工程；确需拆除的，必须报经人民防空主管部门批准，并由拆除单位负责补建或者补偿。</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二十六条：人民防空工程的改造、拆除、报废，应当报经人民防空主管部门批准。改造人民防空工程的，不得降低国家规定的防护标准。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0"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2</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改造人防工程审批</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tabs>
                <w:tab w:val="left" w:pos="9460"/>
              </w:tabs>
              <w:spacing w:before="0" w:beforeAutospacing="0" w:after="0" w:afterAutospacing="0"/>
              <w:ind w:left="0" w:right="-82" w:rightChars="-39"/>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实施&lt;中华人民共和国人民防空法&gt;办法》第二十六条：人民防空工程的改造、拆除、报废，应当报经人民防空主管部门批准。改造人民防空工程的，不得降低国家规定的防护标准。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92"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3</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报废人防工程审批</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实施&lt;中华人民共和国人民防空法&gt;办法》第二十六条：人民防空工程的改造、拆除、报废，应当报经人民防空主管部门批准。改造人民防空工程的，不得降低国家规定的防护标准。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70"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4</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城市地下空间开发利用中人防工程竣工验收认可</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1.《中华人民共和国人民防空法》第十四条：城市的地下交通干线以及其他地下工程的建设，应当兼顾人民防空需要。</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十条：县级以上人民政府编制城市总体规划时，在城市建设布局、建筑密度，城市主要道路、广场、绿地和水面的分布以及城市地下空间的开发利用等方面，应当充分考虑人民防空的需要，提高城市整体防护能力。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一条   人民防空工程所需专用人民防空防护设备，必须符合国家规定的质量标准，并按照有关规定在土建施工时安装、预留、预埋。第二十二条   建设单位应当将人民防空工程档案报人民防空主管部门备案。</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十九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20"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aps w:val="0"/>
                <w:color w:val="000000"/>
                <w:spacing w:val="0"/>
                <w:kern w:val="0"/>
                <w:sz w:val="21"/>
                <w:szCs w:val="21"/>
                <w:u w:val="none"/>
                <w:lang w:val="en-US" w:eastAsia="zh-CN" w:bidi="ar"/>
              </w:rPr>
            </w:pPr>
            <w:r>
              <w:rPr>
                <w:rFonts w:hint="eastAsia" w:ascii="宋体" w:hAnsi="宋体" w:eastAsia="宋体" w:cs="宋体"/>
                <w:i w:val="0"/>
                <w:iCs w:val="0"/>
                <w:caps w:val="0"/>
                <w:color w:val="000000"/>
                <w:spacing w:val="0"/>
                <w:kern w:val="0"/>
                <w:sz w:val="21"/>
                <w:szCs w:val="21"/>
                <w:u w:val="none"/>
                <w:lang w:val="en-US" w:eastAsia="zh-CN" w:bidi="ar"/>
              </w:rPr>
              <w:t>5</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kern w:val="0"/>
                <w:sz w:val="21"/>
                <w:szCs w:val="21"/>
                <w:u w:val="none"/>
                <w:lang w:val="en-US" w:eastAsia="zh-CN" w:bidi="ar"/>
              </w:rPr>
            </w:pPr>
            <w:r>
              <w:rPr>
                <w:rFonts w:hint="eastAsia" w:ascii="宋体" w:hAnsi="宋体" w:eastAsia="宋体" w:cs="宋体"/>
                <w:i w:val="0"/>
                <w:iCs w:val="0"/>
                <w:caps w:val="0"/>
                <w:color w:val="000000"/>
                <w:spacing w:val="0"/>
                <w:kern w:val="0"/>
                <w:sz w:val="21"/>
                <w:szCs w:val="21"/>
                <w:u w:val="none"/>
                <w:lang w:val="en-US" w:eastAsia="zh-CN" w:bidi="ar"/>
              </w:rPr>
              <w:t>城市地下空间开发利用中人防工程的档案备案</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color w:val="000000"/>
                <w:spacing w:val="0"/>
                <w:kern w:val="0"/>
                <w:sz w:val="21"/>
                <w:szCs w:val="21"/>
                <w:u w:val="none"/>
                <w:lang w:val="en-US" w:eastAsia="zh-CN" w:bidi="ar"/>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color w:val="000000"/>
                <w:spacing w:val="0"/>
                <w:kern w:val="0"/>
                <w:sz w:val="21"/>
                <w:szCs w:val="21"/>
                <w:u w:val="none"/>
                <w:lang w:val="en-US" w:eastAsia="zh-CN" w:bidi="ar"/>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aps w:val="0"/>
                <w:color w:val="000000"/>
                <w:spacing w:val="0"/>
                <w:kern w:val="0"/>
                <w:sz w:val="21"/>
                <w:szCs w:val="21"/>
                <w:u w:val="none"/>
                <w:lang w:val="en-US" w:eastAsia="zh-CN" w:bidi="ar"/>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1.《中华人民共和国人民防空法》第十四条：城市的地下交通干线以及其他地下工程的建设，应当兼顾人民防空需要。</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十条：县级以上人民政府编制城市总体规划时，在城市建设布局、建筑密度，城市主要道路、广场、绿地和水面的分布以及城市地下空间的开发利用等方面，应当充分考虑人民防空的需要，提高城市整体防护能力。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一条   人民防空工程所需专用人民防空防护设备，必须符合国家规定的质量标准，并按照有关规定在土建施工时安装、预留、预埋。第二十二条   建设单位应当将人民防空工程档案报人民防空主管部门备案。</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十九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40"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6</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城市地下空间开发利用中人防工程报建审批</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1.《中华人民共和国人民防空法》第十四条：城市的地下交通干线以及其他地下工程的建设，应当兼顾人民防空需要。</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十条：县级以上人民政府编制城市总体规划时，在城市建设布局、建筑密度，城市主要道路、广场、绿地和水面的分布以及城市地下空间的开发利用等方面，应当充分考虑人民防空的需要，提高城市整体防护能力。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一条   人民防空工程所需专用人民防空防护设备，必须符合国家规定的质量标准，并按照有关规定在土建施工时安装、预留、预埋。第二十二条   建设单位应当将人民防空工程档案报人民防空主管部门备案。</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十九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7"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7</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城市地下空间开发利用中人防工程防护事项的施工图设计重大变更备案</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1.《中华人民共和国人民防空法》第十四条：城市的地下交通干线以及其他地下工程的建设，应当兼顾人民防空需要。</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十条：县级以上人民政府编制城市总体规划时，在城市建设布局、建筑密度，城市主要道路、广场、绿地和水面的分布以及城市地下空间的开发利用等方面，应当充分考虑人民防空的需要，提高城市整体防护能力。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一条   人民防空工程所需专用人民防空防护设备，必须符合国家规定的质量标准，并按照有关规定在土建施工时安装、预留、预埋。第二十二条   建设单位应当将人民防空工程档案报人民防空主管部门备案。</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十九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46"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8</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办理城市地下空间开发利用中人防工程的质量监督手续</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1.《中华人民共和国人民防空法》第十四条： 城市的地下交通干线以及其他地下工程的建设，应当兼顾人民防空需要。</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十条：县级以上人民政府编制城市总体规划时，在城市建设布局、建筑密度，城市主要道路、广场、绿地和水面的分布以及城市地下空间的开发利用等方面，应当充分考虑人民防空的需要，提高城市整体防护能力。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一条   人民防空工程所需专用人民防空防护设备，必须符合国家规定的质量标准，并按照有关规定在土建施工时安装、预留、预埋。第二十二条   建设单位应当将人民防空工程档案报人民防空主管部门备案。</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十九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43"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9</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新建民用建筑防空地下室竣工验收认可</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1.《中华人民共和国人民防空法》第二十二条：城市新建民用建筑，按照国家有关规定修建战时可用于防空的地下室；</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 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3.《湖南省实施&lt;中华人民共和国人民防空法&gt;办法》第十九条：人民防空主管部门负责防空地下室人民防空防护部分的工程质量监督管理。</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防空地下室竣工验收后，建设单位应当取得人民防空主管部门的认可文件；未取得认可文件的，住房和城乡建设主管部门不得办理工程竣工验收备案手续，房产管理部门不得办理房屋权属登记、发放房屋所有权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12"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10</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新建民用建筑防空地下室的档案备案</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1.《中华人民共和国人民防空法》第二十二条：城市新建民用建筑，按照国家有关规定修建战时可用于防空的地下室；</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 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3.《湖南省实施&lt;中华人民共和国人民防空法&gt;办法》第二十二条：建设单位应当将人民防空工程档案报人民防空主管部门备案。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60"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11</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新建民用建筑防空地下室的报建审批</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1.《中华人民共和国人民防空法》第二十二条：城市新建民用建筑，按照国家有关规定修建战时可用于防空的地下室；</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关于加强人民防空工作的决定》（中发〔2001〕9号）第9条：城市及城市规划区内的新建民用建筑，必须依法同步建设防空地下室。对应建防空地下室的建设项目，未经人民防空主管部门审核批准，建设、消防等部门不能办理相关手续。</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实施&lt;中华人民共和国人民防空法&gt;办法》第十四条：城市新建民用建筑应当根据国家和省人民政府的有关规定，按照地面建筑面积的一定比例修建战时可用于防空的地下室(以下简称防空地下室)，并与地面建筑同步设计、施工，同时投入使用。第十八条  人民防空主管部门参与应建防空地下室的民用建筑项目的报建联审，负责防空地下室人民防空部分除施工图设计文件以外的设计审查；未经审查或者审查不合格的，自然资源、住房和城乡建设主管部门不得核发建设工程许可证、施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12"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12</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新建民用建筑防空地下室的施工图设计重大变更备案</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1.《中华人民共和国人民防空法》第二十二条：城市新建民用建筑，按照国家有关规定修建战时可用于防空的地下室；</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 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九条：人防工程施工图不得擅自修改，确需修改的，应当经原勘察、设计单位变更设计，或者经原勘察、设计单位书面同意，由建设单位委托其他具有相应资质的勘察、设计单位修改；需要作重大修改的，还应当由施工图审查机构审查合格后，报人防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21"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13</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办理新建民用建筑防空地下室的质量监督手续</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1.《中华人民共和国人民防空法》第二十二条：城市新建民用建筑，按照国家有关规定修建战时可用于防空的地下室； </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3. 《湖南省实施&lt;中华人民共和国人民防空法&gt;办法》第十九条：人民防空主管部门负责防空地下室人民防空防护部分的工程质量监督管理。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0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14</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新建民用建筑防空地下室易地建设审批</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1.《中华人民共和国人民防空法》第二十二条：城市新建民用建筑，按照国家有关规定修建战时可用于防空的地下室；</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中华人民共和国人民防空法〉办法》第十五条：新建民用建筑因下列条件限制不宜修建防空地下室的，建设单位应当向人民防空主管部门提出易地建设申请：（1）采用桩基且桩基承台顶面埋置深度小于三米或者不足规定的地下室空间净高的；（2）按照规定标准应建防空地下室的面积小于地面建筑主楼首层的面积，且基础和结构处理困难的；（3）因流沙、暗河等地质条件限制不宜修建的；（4）因建设场址所在区域的房屋或者地下管道设施密集，防空地下室不能施工或者难以采取措施保证施工安全的；（5）不符合人民防空工程建设规划的。人民防空主管部门应当在收到易地建设书面申请后十五个工作日内，作出决定。不符合前款规定情形的，不得批准易地建设。</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十五条：在县城以上城市规划区内新建民用建筑，按照下列规定同步修建防空地下室：（一）一类国家人防重点城市不低于地面总建筑面积的6%；（二）二类和三类国家人防重点城市不低于地面总建筑面积的5%；（三）县城不低于地面总建筑面积的4%。开发区、保税区、工业园区、高校园区等各类园区和重要经济目标区新建防空地下室的建设标准，按照所在地城市或者县城的规定执行。新建防空地下室的抗力等级和战时用途由负责项目审查的人防主管部门按照国家相关规范确定。任何单位和个人不得批准免建、少建、缓建防空地下室，或者降低防空地下室抗力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4"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15</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易地建设费变更审批</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1.《中华人民共和国人民防空法》第二十二条：城市新建民用建筑，按照国家有关规定修建战时可用于防空的地下室；</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中华人民共和国人民防空法〉办法》第十五条：新建民用建筑因下列条件限制不宜修建防空地下室的，建设单位应当向人民防空主管部门提出易地建设申请：（1）采用桩基且桩基承台顶面埋置深度小于三米或者不足规定的地下室空间净高的；（2）按照规定标准应建防空地下室的面积小于地面建筑主楼首层的面积，且基础和结构处理困难的；（3）因流沙、暗河等地质条件限制不宜修建的；（4）因建设场址所在区域的房屋或者地下管道设施密集，防空地下室不能施工或者难以采取措施保证施工安全的；（5）不符合人民防空工程建设规划的。人民防空主管部门应当在收到易地建设书面申请后十五个工作日内，作出决定。不符合前款规定情形的，不得批准易地建设。</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工程建设与维护管理规定》第十五条：在县城以上城市规划区内新建民用建筑，按照下列规定同步修建防空地下室：（一）一类国家人防重点城市不低于地面总建筑面积的6%；（二）二类和三类国家人防重点城市不低于地面总建筑面积的5%；（三）县城不低于地面总建筑面积的4%。开发区、保税区、工业园区、高校园区等各类园区和重要经济目标区新建防空地下室的建设标准，按照所在地城市或者县城的规定执行。新建防空地下室的抗力等级和战时用途由负责项目审查的人防主管部门按照国家相关规范确定。任何单位和个人不得批准免建、少建、缓建防空地下室，或者降低防空地下室抗力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8"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16</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人防工程认定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行政确认</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《湖南省人民防空工程产权管理办法》第七条：县级以上人民政府人民防空行政主管部门（以下简称人防行政主管部门）负责人防工程的认定、监督有关产权的管理工作。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05" w:hRule="atLeast"/>
        </w:trPr>
        <w:tc>
          <w:tcPr>
            <w:tcW w:w="539" w:type="dxa"/>
            <w:tcBorders>
              <w:top w:val="single" w:color="000000" w:sz="8" w:space="0"/>
              <w:left w:val="single" w:color="000000" w:sz="8" w:space="0"/>
              <w:bottom w:val="single" w:color="auto" w:sz="4"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17</w:t>
            </w:r>
          </w:p>
        </w:tc>
        <w:tc>
          <w:tcPr>
            <w:tcW w:w="2335" w:type="dxa"/>
            <w:tcBorders>
              <w:top w:val="single" w:color="000000" w:sz="8" w:space="0"/>
              <w:left w:val="single" w:color="000000" w:sz="8" w:space="0"/>
              <w:bottom w:val="single" w:color="auto" w:sz="4"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人防工程隶属关系变动备案</w:t>
            </w:r>
          </w:p>
        </w:tc>
        <w:tc>
          <w:tcPr>
            <w:tcW w:w="915" w:type="dxa"/>
            <w:tcBorders>
              <w:top w:val="single" w:color="000000" w:sz="8" w:space="0"/>
              <w:left w:val="single" w:color="000000" w:sz="8" w:space="0"/>
              <w:bottom w:val="single" w:color="auto" w:sz="4"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其他行政权力</w:t>
            </w:r>
          </w:p>
        </w:tc>
        <w:tc>
          <w:tcPr>
            <w:tcW w:w="1483" w:type="dxa"/>
            <w:tcBorders>
              <w:top w:val="single" w:color="000000" w:sz="8" w:space="0"/>
              <w:left w:val="single" w:color="000000" w:sz="8" w:space="0"/>
              <w:bottom w:val="single" w:color="auto" w:sz="4"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auto" w:sz="4"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实施〈中华人民共和国人民防空法〉办法》 第二十三条：人民防空工程的平时维护管理，按照国家规定分类负责。公用的人民防空工程由人民防空主管部门负责，单位修建或者使用的人民防空工程由修建或者使用的单位负责，个人投资建设的人民防空工程由投资者负责。人民防空工程隶属关系发生变动时，应当办理交接手续，工程档案资料同时移交，并报人民防空主管部门备案。工程隶属关系变动时，其维护管理责任随之转移。人民防空主管部门对人民防空工程的维护管理进行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6" w:hRule="atLeast"/>
        </w:trPr>
        <w:tc>
          <w:tcPr>
            <w:tcW w:w="53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18</w:t>
            </w:r>
          </w:p>
        </w:tc>
        <w:tc>
          <w:tcPr>
            <w:tcW w:w="233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工程监理单位与被监理人防工程的施工承包单位以及建筑材料、建筑构配件和设备供应单位有隶属关系或者其他利害关系承担该项建设工程的监理业务的处罚</w:t>
            </w:r>
          </w:p>
        </w:tc>
        <w:tc>
          <w:tcPr>
            <w:tcW w:w="91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2" w:hRule="atLeast"/>
        </w:trPr>
        <w:tc>
          <w:tcPr>
            <w:tcW w:w="539" w:type="dxa"/>
            <w:tcBorders>
              <w:top w:val="single" w:color="auto" w:sz="4"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19</w:t>
            </w:r>
          </w:p>
        </w:tc>
        <w:tc>
          <w:tcPr>
            <w:tcW w:w="2335" w:type="dxa"/>
            <w:tcBorders>
              <w:top w:val="single" w:color="auto" w:sz="4"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6"/>
                <w:kern w:val="0"/>
                <w:sz w:val="21"/>
                <w:szCs w:val="21"/>
                <w:u w:val="none"/>
                <w:lang w:val="en-US" w:eastAsia="zh-CN" w:bidi="ar"/>
              </w:rPr>
              <w:t>建设单位将人防工程发包给不具有相应资质等级的勘察、设计、施工单位或者委托给不具有相应资质等级的工程监理单位的处罚</w:t>
            </w:r>
          </w:p>
        </w:tc>
        <w:tc>
          <w:tcPr>
            <w:tcW w:w="915" w:type="dxa"/>
            <w:tcBorders>
              <w:top w:val="single" w:color="auto" w:sz="4"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auto" w:sz="4"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auto" w:sz="4"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26"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20</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人防工程施工单位在施工中偷工减料或者使用不合格的建筑材料、建筑构配件和设备等的处罚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 (二)不按照国家规定的防护标准和质量标准修建人民防空工程的； </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1"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21</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设计、施工和监理单位未按人防工程战术、技术标准设计、施工和监理；建设单位未按规定将人防工程初步设计、施工图设计文件提交人防主管部门审查，未按规定申请办理人防工程质量监督手续，未经人防主管部门质量认可将人防工程交付使用。未按规定将人防工程有关资料提交人防主管部门存档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湖南省人民防空工程建设与维护管理规定》第二十九条：违反本规定，有下列情形之一的，由人防主管部门给予警告，责令改正，可以并处一万元以上十万元以下罚款：（一）勘察、设计、施工图审查、施工、监理单位未按照人防工程战术、技术标准进行勘察、设计、施工图审查、施工、监理的；（二）建设单位未按照规定将人防工程初步设计、施工图设计文件提交相关部门审查的；（三）建设单位未按照规定申请办理人防工程质量监督手续的； (四）建设单位未经人防主管部门质量认可将人防工程交付使用的；（五）建设单位未按照规定将人防工程有关资料提交人防主管部门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22</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承包单位将承包的人防工程转包或者违法分包的处罚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23</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建设单位将人防工程肢解发包的处罚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工程质量管理条例》 第五十五条：违反本条例规定，建设单位将建设工程肢解发包的，责令改正，处工程合同价款百分之零点五以上百分之一以下的罚款；对全部或者部分使用国有资金的项目，并可以暂停项目执行或者暂停资金拨付。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20"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24</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人防工程勘察单位未按照工程建设强制性标准进行勘察，设计单位未根据勘察成果文件进行设计或者指定建筑材料、建筑构配件的生产厂、供应商或者未按照工程建设强制性标准进行设计等的处罚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第七十三条：依照本条例规定，给予单位罚款处罚的，对单</w:t>
            </w:r>
            <w:r>
              <w:rPr>
                <w:rFonts w:hint="eastAsia" w:ascii="宋体" w:hAnsi="宋体" w:eastAsia="宋体" w:cs="宋体"/>
                <w:i w:val="0"/>
                <w:iCs w:val="0"/>
                <w:caps w:val="0"/>
                <w:color w:val="000000"/>
                <w:spacing w:val="-6"/>
                <w:kern w:val="0"/>
                <w:sz w:val="21"/>
                <w:szCs w:val="21"/>
                <w:u w:val="none"/>
                <w:lang w:val="en-US" w:eastAsia="zh-CN" w:bidi="ar"/>
              </w:rPr>
              <w:t>位直接负责的主管人员和其他直接责任人员处单位罚款数额百分之五以上百分之十以下的罚款。</w:t>
            </w:r>
            <w:r>
              <w:rPr>
                <w:rFonts w:hint="eastAsia" w:ascii="宋体" w:hAnsi="宋体" w:eastAsia="宋体" w:cs="宋体"/>
                <w:i w:val="0"/>
                <w:iCs w:val="0"/>
                <w:caps w:val="0"/>
                <w:color w:val="000000"/>
                <w:spacing w:val="-6"/>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人民防空工程建设与维护管理规定》第二十九条：违反本规定，有下列情形之一的，由人防主管部门给予警告，责令改正，可以并处一万元以上十万元以下罚款：（一）勘察、设计、施工图审查、施工、监理单位未按照人防工程战术、技术标准进行勘察、设计、施工图审查、施工、监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0"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25</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人防工程监理单位与建设单位或者施工单位串通，弄虚作假、降低工程质量或者将不合格的建设工程、建筑材料、建筑构配件和设备按照合格签字的处罚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建设工程质量管理条例》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第七十三条：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人民防空工程建设与维护管理规定》第二十九条：违反本规定，有下列情形之一的，由人防主管部门给予警告，责令改正，可以并处一万元以上十万元以下罚款：（一）勘察、设计、施工图审查、施工、监理单位未按照人防工程战术、技术标准进行勘察、设计、施工图审查、施工、监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6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26</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人防工程施工单位未对建筑材料、建筑构配件、设备和商品混凝土进行检验，或者未对涉及结构安全的试块、试件以及有关材料取样检测的处罚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建设工程质量管理条例》第六十五条：违反本条例规定，施工单位未对建筑材料、建筑构配件、设备和商品混凝土进行检验，或者未对涉及结构安全的试块、试件以及有关材料取样检测的，责令改正，处10万元以上20万元以下的罚款；情节严重的，资令停业整顿，降低资质等级或者吊销资质证书，造成损失的，依法承担赔偿责任。第七十三条：依照本条例规定，给予单位罚款处罚的，对单位直接负责的主管人员和其他直接责任人员处单位罚款数额百分之五以上百分之十以下的罚款。 </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人民防空工程建设与维护管理规定》第二十九条：违反本规定，有下列情形之一的，由人防主管部门给予警告，责令改正，可以并处一万元以上十万元以下罚款：（一）勘察、设计、施工图审查、施工、监理单位未按照人防工程战术、技术标准进行勘察、设计、施工图审查、施工、监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68"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27</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建设单位未取得人防工程施工许可证或者开工报告未经批准擅自施工的处罚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建设工程质量管理条例》第五十七条：违反本条例规定，建设单位未取得施工许可证或者开工报告未经批准，擅自施工的，责令停止施工，限期改正，处工程合同价款百分之一以上百分之二以下的罚款。第七十三条：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人民防空工程建设与维护管理规定》第二十九条 ：违反本规定，有下列情形之一的，由人防主管部门给予警告，责令改正，可以并处一万元以上十万元以下罚款：（一）勘察、设计、施工图审查、施工、监理单位未按照人防工程战术、技术标准进行勘察、设计、施工图审查、施工、监理的；（二）建设单位未按照规定将人防工程初步设计、施工图设计文件提交相关部门审查的；（三）建设单位未按照规定申请办理人防工程质量监督手续的； (四）建设单位未经人防主管部门质量认可将人防工程交付使用的；（五）建设单位未按照规定将人防工程有关资料提交人防主管部门备案的；（六）人民防空专用设备生产安装企业未按照人防设备产品国家标准和技术规范进行生产安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28</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勘察、设计、施工、工程监理单位超越本单位资质等级承揽人防工程的处罚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取揽工程的，吊销资质证书，依照本条第一款规定处以罚款；有违法所得的，予以没收。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6"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29</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建设单位未按照国家规定将人防工程竣工验收报告、有关认可文件或者准许使用文件报送人防部门备案等的处罚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工程建设与维护管理规定》第二十九条 ：违反本规定，有下列情形之一的，由人防主管部门给予警告，责令改正，可以并处一万元以上十万元以下罚款：...（五）建设单位未按照规定将人防工程有关资料提交人防主管部门备案的；（六）人民防空专用设备生产安装企业未按照人防设备产品国家标准和技术规范进行生产安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11"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30</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施工单位不履行人防工程保修义务或者拖延履行保修义务的处罚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建设工程质量管理条例》第六十六条：违反本条例规定，施工单位不履行保修义务或者拖延履行保修义务的，责令改正，处10万元以上20万元以下的罚款，并对在保修期内因质量缺陷造成的损失承担赔偿责任。第七十三条：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 (三)违反国家有关规定，改变人民防空工程主体结构、拆除人民防空工程设备设施或者采用其他方法危害人民防空工程的安全和使用效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31</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城市新建民用建筑不修建或者少于规定面积修建防空地下室室的处罚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四十八条：城市新建民用建筑，违反国家有关规定不修建战时可用于防空的地下室的，由县级以上人民政府人民防空主管部门对当事人给予警告，并责令限期修建，可以并处十万元以下的罚款。 </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中华人民共和国人民防空法〉办法》 第三十七条 违反本办法规定，新建民用建筑不修建或者少于规定面积修建防空地下室的，由人民防空主管部门给予警告，责令限期补建或者缴纳防空地下室易地建设费，可以并处应建未建防空地下室面积工程造价百分之五的罚款，但总额不得超过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4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32</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勘察、设计、施工、工程监理单位允许其他单位或者个人以本单位名义承揽人防工程的处罚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5"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33</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侵占人民防空工程的处罚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 (一)侵占人民防空工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66"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34</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不按照国家规定的防护标准和质量标准修建人民防空工程的处罚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二)不按照国家规定的防护标准和质量标准修建人民防空工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7"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35</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违反国家有关规定，改变人民防空工程主体结构的处罚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 (三)违反国家有关规定，改变人民防空工程主体结构、拆除人民防空工程设备设施或者采用其他方法危害人民防空工程的安全和使用效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3"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36</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违反国家有关规定，拆除人民防空工程设备设施的处罚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 (三)违反国家有关规定，改变人民防空工程主体结构、拆除人民防空工程设备设施或者采用其他方法危害人民防空工程的安全和使用效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8"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37</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违反国家有关规定，采用其他方法危害人民防空工程的安全使用和效能的处罚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 (三)违反国家有关规定，改变人民防空工程主体结构、拆除人民防空工程设备设施或者采用其他方法危害人民防空工程的安全和使用效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4"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38</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拆除人民防空工程后，拒不补建的处罚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四)拆除人民防空工程后拒不补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3"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39</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向人民防空工程内排入废水、废气或者倾倒废弃物的处罚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  (七)向人民防空工程内排入废水、废气或者倾倒废弃物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8" w:hRule="atLeast"/>
        </w:trPr>
        <w:tc>
          <w:tcPr>
            <w:tcW w:w="53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lang w:val="en-US"/>
              </w:rPr>
            </w:pPr>
            <w:r>
              <w:rPr>
                <w:rFonts w:hint="eastAsia" w:ascii="宋体" w:hAnsi="宋体" w:eastAsia="宋体" w:cs="宋体"/>
                <w:i w:val="0"/>
                <w:iCs w:val="0"/>
                <w:caps w:val="0"/>
                <w:color w:val="000000"/>
                <w:spacing w:val="0"/>
                <w:kern w:val="0"/>
                <w:sz w:val="21"/>
                <w:szCs w:val="21"/>
                <w:u w:val="none"/>
                <w:lang w:val="en-US" w:eastAsia="zh-CN" w:bidi="ar"/>
              </w:rPr>
              <w:t>40</w:t>
            </w:r>
          </w:p>
        </w:tc>
        <w:tc>
          <w:tcPr>
            <w:tcW w:w="233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人民防空专用设备生产安装企业未按照人防设备产品国家标准和技术规范进行生产安装的处罚</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工程建设与维护管理规定》第二十九条：违反本规定，有下列情形之一的，由人防主管部门给予警告，责令改正，可以并处一万元以上十万元以下罚款：...（六）人民防空专用设备生产安装企业未按照人防设备产品国家标准和技术规范进行生产安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91"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41</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拆除人防通信设施审批</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231" w:leftChars="0" w:right="0" w:hanging="231" w:hangingChars="11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八条：任何组织或者个人不得擅自拆除本法第二十一条规定的人民防空工程；确需拆除的，必须报经人民防空主管部门批准，并由拆除单位负责补建或者补偿。 第四章通信和警报 。第三十五条   人民防空通信、警报设施必须保持良好使用状态。 设置在有关单位的人民防空警报设施，由其所在单位维护管理，不得擅自拆除。 县级以上地方各级人民政府根据需要可以组织试鸣防空警报；并在试鸣的五日以前发布公告。</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二十八条：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91"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42</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改造人防通信设施审批</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17" w:leftChars="8" w:right="0" w:firstLine="210" w:firstLineChars="10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八条：任何组织或者个人不得擅自拆除本法第二十一条规定的人民防空工程；确需拆除的，必须报经人民防空主管部门批准，并由拆除单位负责补建或者补偿。 第四章通信和警报 。第三十五条   人民防空通信、警报设施必须保持良好使用状态。 设置在有关单位的人民防空警报设施，由其所在单位维护管理，不得擅自拆除。 县级以上地方各级人民政府根据需要可以组织试鸣防空警报；并在试鸣的五日以前发布公告。 </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二十八条：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36"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43</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报废人防通信设施审批</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二十八条：任何组织或者个人不得擅自拆除本法第二十一条规定的人民防空工程；确需拆除的，必须报经人民防空主管部门批准，并由拆除单位负责补建或者补偿。 第四章通信和警报 。第三十五条   人民防空通信、警报设施必须保持良好使用状态。 设置在有关单位的人民防空警报设施，由其所在单位维护管理，不得擅自拆除。 县级以上地方各级人民政府根据需要可以组织试鸣防空警报；并在试鸣的五日以前发布公告。</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二十八条：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3.《湖南省人民防空通信管理办法》第十七条：防空警报通信设施达到使用期限或者因故损坏需要报废的，经市州人民防空主管部门认定后，由该设施产权单位拆除并重装新的防空警报通信设施。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37"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44</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拆除防空警报通信设施审批</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1.《中华人民共和国人民防空法》第三十五条 ：民防空通信、警报设施必须保持良好使用状态。设置在有关单位的人民防空警报设施，由其所在单位维护管理，不得擅自拆除。县级以上地方各级人民政府根据需要可以组织试鸣防空警报；并在试鸣的五日以前发布公告；</w:t>
            </w:r>
            <w:r>
              <w:rPr>
                <w:rFonts w:hint="eastAsia" w:ascii="宋体" w:hAnsi="宋体" w:eastAsia="宋体" w:cs="宋体"/>
                <w:i w:val="0"/>
                <w:iCs w:val="0"/>
                <w:caps w:val="0"/>
                <w:color w:val="000000"/>
                <w:spacing w:val="0"/>
                <w:kern w:val="0"/>
                <w:sz w:val="21"/>
                <w:szCs w:val="21"/>
                <w:u w:val="none"/>
                <w:lang w:val="en-US" w:eastAsia="zh-CN" w:bidi="ar"/>
              </w:rPr>
              <w:br w:type="textWrapping"/>
            </w:r>
            <w:r>
              <w:rPr>
                <w:rFonts w:hint="eastAsia" w:ascii="宋体" w:hAnsi="宋体" w:eastAsia="宋体" w:cs="宋体"/>
                <w:i w:val="0"/>
                <w:iCs w:val="0"/>
                <w:caps w:val="0"/>
                <w:color w:val="000000"/>
                <w:spacing w:val="0"/>
                <w:kern w:val="0"/>
                <w:sz w:val="21"/>
                <w:szCs w:val="21"/>
                <w:u w:val="none"/>
                <w:lang w:val="en-US" w:eastAsia="zh-CN" w:bidi="ar"/>
              </w:rPr>
              <w:t>2.《湖南省实施&lt;中华人民共和国人民防空法&gt;办法》第二十八条 ：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45"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45</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迁移防空警报通信设施审批</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行政许可</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实施&lt;中华人民共和国人民防空法&gt;办法》第二十八条 ：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51"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46</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防空警报通信设施达到使用期限或因故损坏需要报废认定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行政确认</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《湖南省人民防空通信管理方法》第十七条：防空警报通信设施达到使用年限或者因故损坏需要报废的，经市州人民防空主管部门认定后，由该设施产权部门备案。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7"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47</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防空警报设施安装竣工验收</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其他行政权力</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《湖南省人民防空通信管理办法》第十一条：…防空警报设施安装竣工后，由市、县人民防空主管部门按照国家规定的技术标准和质量要求组织验收。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29"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48</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占用人民防空通信专用频率、使用与防空警报相同的音响信号的处罚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五)占用人民防空通信专用频率、使用与防空警报相同的音响信号或者擅自拆除人民防空通信、警报设备设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80"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49</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擅自拆除人民防空通信、警报设备设施的处罚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五)占用人民防空通信专用频率、使用与防空警报相同的音响信号或者擅自拆除人民防空通信、警报设备设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02"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50</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阻挠安装人民防空通信、警报设施，拒不改正的处罚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中华人民共和国人民防空法》 第四十九条：有下列行为之一的，由县级以上人民政府人民防空主管部门对当事人给予警告，并责令限期改正违法行为，可以对个人并处五千元以下的罚款、对单位并处一万元至五万元的罚款；造成损失的，应当依法赔偿损失：..  (六)阻挠安装人民防空通信、警报设施，拒不改正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95"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51</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无故中断人民防空通信信号的处罚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通信管理办法》第二十七条：有下列行为之一的，由县级以上人民防空主管部门给予警告、责令限期改正，可以并处1000元以下罚款；造成损失的，应当依法赔偿损失；构成犯罪的，依法追究刑事责任：（一）无故中断人民防空通信信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11"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52</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擅自移交、迁移防空警报设施的处罚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通信管理办法》第二十七条：有下列行为之一的，由县级以上人民防空主管部门给予警告、责令限期改正，可以并处1000元以下罚款；造成损失的，应当依法赔偿损失；构成犯罪的，依法追究刑事责任：...（二）擅自移交、迁移、重装防空警报设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95"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53</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擅自重装防空警报设施的处罚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通信管理办法》第二十七条：有下列行为之一的，由县级以上人民防空主管部门给予警告、责令限期改正，可以并处1000元以下罚款；造成损失的，应当依法赔偿损失；构成犯罪的，依法追究刑事责任：...（二）擅自移交、迁移、重装防空警报设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26"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54</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199" w:leftChars="-95" w:right="0" w:firstLine="210" w:firstLineChars="10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阻挠鸣放防空警报信号的处罚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通信管理办法》第二十七条：有下列行为之一的，由县级以上人民防空主管部门给予警告、责令限期改正，可以并处1000元以下罚款；造成损失的，应当依法赔偿损失；构成犯罪的，依法追究刑事责任：...（三）阻挠或者不按规定鸣放防空警报信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23" w:hRule="atLeast"/>
        </w:trPr>
        <w:tc>
          <w:tcPr>
            <w:tcW w:w="5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numPr>
                <w:ilvl w:val="0"/>
                <w:numId w:val="0"/>
              </w:numPr>
              <w:suppressLineNumbers w:val="0"/>
              <w:spacing w:before="0" w:beforeAutospacing="0" w:after="0" w:afterAutospacing="0"/>
              <w:ind w:leftChars="0" w:right="0" w:rightChars="0"/>
              <w:jc w:val="center"/>
              <w:textAlignment w:val="center"/>
              <w:rPr>
                <w:rFonts w:hint="eastAsia" w:ascii="宋体" w:hAnsi="宋体" w:eastAsia="宋体" w:cs="宋体"/>
                <w:i w:val="0"/>
                <w:iCs w:val="0"/>
                <w:caps w:val="0"/>
                <w:color w:val="000000"/>
                <w:spacing w:val="0"/>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55</w:t>
            </w:r>
          </w:p>
        </w:tc>
        <w:tc>
          <w:tcPr>
            <w:tcW w:w="23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不按规定鸣放防空警报信号的处罚</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行政处罚</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县市区人防业务主管部门</w:t>
            </w:r>
          </w:p>
        </w:tc>
        <w:tc>
          <w:tcPr>
            <w:tcW w:w="85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lang w:val="en-US" w:eastAsia="zh-CN" w:bidi="ar"/>
              </w:rPr>
              <w:t>《湖南省人民防空通信管理办法》第二十七条：有下列行为之一的，由县级以上人民防空主管部门给予警告、责令限期改正，可以并处1000元以下罚款；造成损失的，应当依法赔偿损失；构成犯罪的，依法追究刑事责任：...（三）阻挠或者不按规定鸣放防空警报信号的。</w:t>
            </w:r>
          </w:p>
        </w:tc>
      </w:tr>
    </w:tbl>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2448E"/>
    <w:rsid w:val="30C24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2025-10-24T09:33:00Z</dcterms:created>
  <dc:creator>谌韵</dc:creator>
  <cp:lastModifiedBy>谌韵</cp:lastModifiedBy>
  <dcterms:modified xsi:type="dcterms:W3CDTF">2025-10-24T09:34:23Z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