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68472">
      <w:pPr>
        <w:rPr>
          <w:rFonts w:hint="eastAsia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4</w:t>
      </w:r>
    </w:p>
    <w:p w14:paraId="1D066B8B">
      <w:pPr>
        <w:rPr>
          <w:rFonts w:hint="eastAsia" w:ascii="黑体" w:hAnsi="黑体" w:eastAsia="黑体" w:cs="仿宋"/>
          <w:sz w:val="32"/>
          <w:szCs w:val="32"/>
          <w:lang w:val="en-US" w:eastAsia="zh-CN"/>
        </w:rPr>
      </w:pPr>
    </w:p>
    <w:p w14:paraId="57BB3764">
      <w:pPr>
        <w:rPr>
          <w:rFonts w:hint="eastAsia" w:ascii="黑体" w:hAnsi="黑体" w:eastAsia="黑体" w:cs="仿宋"/>
          <w:sz w:val="32"/>
          <w:szCs w:val="32"/>
          <w:lang w:val="en-US" w:eastAsia="zh-CN"/>
        </w:rPr>
      </w:pPr>
    </w:p>
    <w:p w14:paraId="1F62AAFF">
      <w:pPr>
        <w:rPr>
          <w:rFonts w:hint="eastAsia" w:ascii="黑体" w:hAnsi="黑体" w:eastAsia="黑体" w:cs="仿宋"/>
          <w:sz w:val="32"/>
          <w:szCs w:val="32"/>
          <w:lang w:val="en-US" w:eastAsia="zh-CN"/>
        </w:rPr>
      </w:pPr>
    </w:p>
    <w:p w14:paraId="7347A9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  <w:t>2024年度安化县高明乡中心学校</w:t>
      </w:r>
    </w:p>
    <w:p w14:paraId="1BB9B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微软雅黑" w:hAnsi="微软雅黑" w:eastAsia="微软雅黑" w:cs="微软雅黑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</w:rPr>
        <w:t>整体支出</w:t>
      </w:r>
      <w:r>
        <w:rPr>
          <w:rFonts w:hint="eastAsia" w:ascii="微软雅黑" w:hAnsi="微软雅黑" w:eastAsia="微软雅黑" w:cs="微软雅黑"/>
          <w:sz w:val="52"/>
          <w:szCs w:val="52"/>
          <w:lang w:eastAsia="zh-CN"/>
        </w:rPr>
        <w:t>绩效自评报告</w:t>
      </w:r>
    </w:p>
    <w:p w14:paraId="259CC34B">
      <w:pPr>
        <w:widowControl/>
        <w:ind w:firstLine="361" w:firstLineChars="100"/>
        <w:rPr>
          <w:rFonts w:ascii="楷体" w:hAnsi="楷体" w:eastAsia="楷体" w:cs="楷体"/>
          <w:b/>
          <w:bCs/>
          <w:kern w:val="0"/>
          <w:sz w:val="36"/>
          <w:szCs w:val="36"/>
        </w:rPr>
      </w:pPr>
    </w:p>
    <w:p w14:paraId="40A63115"/>
    <w:p w14:paraId="23DC1C5C">
      <w:pPr>
        <w:rPr>
          <w:rFonts w:ascii="楷体" w:hAnsi="楷体" w:eastAsia="楷体" w:cs="楷体"/>
          <w:b/>
          <w:bCs/>
          <w:kern w:val="0"/>
          <w:sz w:val="36"/>
          <w:szCs w:val="36"/>
        </w:rPr>
      </w:pPr>
    </w:p>
    <w:p w14:paraId="1FCF5A19">
      <w:pPr>
        <w:rPr>
          <w:rFonts w:ascii="楷体" w:hAnsi="楷体" w:eastAsia="楷体" w:cs="楷体"/>
          <w:b/>
          <w:bCs/>
          <w:kern w:val="0"/>
          <w:sz w:val="36"/>
          <w:szCs w:val="36"/>
        </w:rPr>
      </w:pPr>
    </w:p>
    <w:p w14:paraId="4BA370F2">
      <w:pPr>
        <w:rPr>
          <w:rFonts w:ascii="楷体" w:hAnsi="楷体" w:eastAsia="楷体" w:cs="楷体"/>
          <w:b/>
          <w:bCs/>
          <w:kern w:val="0"/>
          <w:sz w:val="36"/>
          <w:szCs w:val="36"/>
        </w:rPr>
      </w:pPr>
    </w:p>
    <w:p w14:paraId="23F8E7A8">
      <w:pPr>
        <w:rPr>
          <w:rFonts w:ascii="楷体" w:hAnsi="楷体" w:eastAsia="楷体" w:cs="楷体"/>
          <w:b/>
          <w:bCs/>
          <w:kern w:val="0"/>
          <w:sz w:val="36"/>
          <w:szCs w:val="36"/>
        </w:rPr>
      </w:pPr>
    </w:p>
    <w:p w14:paraId="3427B930">
      <w:pPr>
        <w:pStyle w:val="5"/>
      </w:pPr>
    </w:p>
    <w:p w14:paraId="311F1E4D">
      <w:pPr>
        <w:widowControl/>
        <w:ind w:firstLine="361" w:firstLineChars="100"/>
        <w:rPr>
          <w:rFonts w:hint="eastAsia" w:ascii="楷体" w:hAnsi="楷体" w:eastAsia="楷体" w:cs="楷体"/>
          <w:b/>
          <w:bCs/>
          <w:kern w:val="0"/>
          <w:sz w:val="36"/>
          <w:szCs w:val="36"/>
        </w:rPr>
      </w:pPr>
    </w:p>
    <w:p w14:paraId="7D7DCF73">
      <w:pPr>
        <w:widowControl/>
        <w:ind w:firstLine="360" w:firstLineChars="100"/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  <w:u w:val="single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申报单位（盖章）</w:t>
      </w:r>
      <w:r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</w:rPr>
        <w:t>：</w:t>
      </w:r>
      <w:r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  <w:u w:val="single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  <w:u w:val="single"/>
          <w:lang w:eastAsia="zh-CN"/>
        </w:rPr>
        <w:t>高明乡中心学校</w:t>
      </w:r>
      <w:r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  <w:u w:val="single"/>
        </w:rPr>
        <w:t xml:space="preserve">            </w:t>
      </w:r>
    </w:p>
    <w:p w14:paraId="70454183">
      <w:pPr>
        <w:widowControl/>
        <w:rPr>
          <w:rFonts w:hint="eastAsia" w:ascii="黑体" w:hAnsi="黑体" w:eastAsia="黑体" w:cs="黑体"/>
          <w:b w:val="0"/>
          <w:bCs w:val="0"/>
          <w:kern w:val="0"/>
          <w:sz w:val="48"/>
          <w:szCs w:val="48"/>
          <w:u w:val="single"/>
        </w:rPr>
      </w:pPr>
    </w:p>
    <w:p w14:paraId="364D5A88">
      <w:pPr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2025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 xml:space="preserve">年 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04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 xml:space="preserve"> 月 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 xml:space="preserve"> 日</w:t>
      </w:r>
    </w:p>
    <w:p w14:paraId="718667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6" w:lineRule="exact"/>
        <w:jc w:val="center"/>
        <w:textAlignment w:val="auto"/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br w:type="page"/>
      </w:r>
    </w:p>
    <w:p w14:paraId="1BF26E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6" w:lineRule="exact"/>
        <w:jc w:val="center"/>
        <w:textAlignment w:val="auto"/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  <w:lang w:eastAsia="zh-CN"/>
        </w:rPr>
      </w:pPr>
      <w:r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  <w:lang w:val="en-US" w:eastAsia="zh-CN"/>
        </w:rPr>
        <w:t>2024</w:t>
      </w:r>
      <w:r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</w:rPr>
        <w:t>年度安化县</w:t>
      </w:r>
      <w:r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  <w:lang w:eastAsia="zh-CN"/>
        </w:rPr>
        <w:t>高明乡中心学校</w:t>
      </w:r>
    </w:p>
    <w:p w14:paraId="25A9E6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line="576" w:lineRule="exact"/>
        <w:jc w:val="center"/>
        <w:textAlignment w:val="auto"/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</w:rPr>
      </w:pPr>
      <w:r>
        <w:rPr>
          <w:rFonts w:hint="eastAsia" w:ascii="微软雅黑" w:hAnsi="仿宋" w:eastAsia="微软雅黑" w:cs="宋体"/>
          <w:b w:val="0"/>
          <w:bCs/>
          <w:kern w:val="0"/>
          <w:sz w:val="44"/>
          <w:szCs w:val="44"/>
        </w:rPr>
        <w:t>整体支出绩效自评报告</w:t>
      </w:r>
    </w:p>
    <w:p w14:paraId="206A68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一、部门(单位)基本情况</w:t>
      </w:r>
    </w:p>
    <w:p w14:paraId="20C11F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(一)202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年度重点工作</w:t>
      </w:r>
    </w:p>
    <w:p w14:paraId="1351D458">
      <w:pPr>
        <w:pStyle w:val="6"/>
        <w:shd w:val="clear" w:color="auto" w:fill="FFFFFF"/>
        <w:spacing w:before="0" w:beforeAutospacing="0" w:after="0" w:afterAutospacing="0" w:line="594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1.足额及时保障干职工待遇。2.严格执行部门预算批复的公用经费。3.严格执行部门预算批复的项目支出.4.保障单位工作正常运转，提升教育管理质量。</w:t>
      </w:r>
    </w:p>
    <w:p w14:paraId="0AB67CC8">
      <w:pPr>
        <w:pStyle w:val="6"/>
        <w:shd w:val="clear" w:color="auto" w:fill="FFFFFF"/>
        <w:spacing w:before="0" w:beforeAutospacing="0" w:after="0" w:afterAutospacing="0" w:line="594" w:lineRule="exact"/>
        <w:ind w:firstLine="640" w:firstLineChars="200"/>
        <w:jc w:val="both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(二)部门整体支出规模、使用方向、主要内容和涉及范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围</w:t>
      </w:r>
    </w:p>
    <w:p w14:paraId="03817F08">
      <w:pPr>
        <w:pStyle w:val="6"/>
        <w:shd w:val="clear" w:color="auto" w:fill="FFFFFF"/>
        <w:spacing w:before="0" w:beforeAutospacing="0" w:after="0" w:afterAutospacing="0" w:line="594" w:lineRule="exact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2024年度整体支出总额1746.32万元，其中财政拨款收入1746.32万元，占总收入的100%。主要内容和涉及范围：人员经费包括基本工资、津贴补贴、奖金、其他社会保障缴费、退休费生活补助、住房公积金等；日常公用经费包括办公费、差旅费、培训费、公务接待费、劳务费、工会经费、福利费、公务用车运行维护费、其他交通费用、其他商品和服务支出等；项目支出主要包括其他对个人和家庭的补助支出、办公费、印刷费、邮电费、差旅费、维修（护）费、会议费、培训费、公务接待费、劳务费、委托业务费、公务用车运行维护费、其他交通费、其他商品和服务支出、办公设备购置。涉及人员经费、保障基本运转、开展各项专项业务工作、精准扶贫、党建所发生的全部支出。</w:t>
      </w:r>
    </w:p>
    <w:p w14:paraId="680679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二、一般公共预算支出情况</w:t>
      </w:r>
    </w:p>
    <w:p w14:paraId="75D3A8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(一)基本支出情况</w:t>
      </w:r>
    </w:p>
    <w:p w14:paraId="33DBFE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  <w:t>基本支出1590.38万元，是为保障各部门正常运转、完成日常工作任务而发生的各项支出，主要包括工资福利支出1210.76万元，商品和服务支出331.82万元，对个人和家庭支出31.17万元。</w:t>
      </w:r>
    </w:p>
    <w:p w14:paraId="7685E5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  <w:t>“三公”经费支出情况：2024年，“三公”经费完成0万元，比上年减少0元。</w:t>
      </w:r>
    </w:p>
    <w:p w14:paraId="2D3F4A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(二)项目支出情况</w:t>
      </w:r>
    </w:p>
    <w:p w14:paraId="49145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  <w:t>项目支出155.94万元，包含：</w:t>
      </w:r>
      <w:r>
        <w:rPr>
          <w:rFonts w:hint="eastAsia" w:ascii="仿宋_GB2312" w:eastAsia="仿宋_GB2312"/>
          <w:sz w:val="32"/>
          <w:szCs w:val="32"/>
          <w:lang w:eastAsia="zh-CN"/>
        </w:rPr>
        <w:t>业务工作</w:t>
      </w:r>
      <w:r>
        <w:rPr>
          <w:rFonts w:hint="eastAsia" w:ascii="仿宋_GB2312" w:eastAsia="仿宋_GB2312"/>
          <w:sz w:val="32"/>
          <w:szCs w:val="32"/>
        </w:rPr>
        <w:t>经费</w:t>
      </w:r>
      <w:r>
        <w:rPr>
          <w:rFonts w:hint="eastAsia" w:ascii="仿宋_GB2312" w:eastAsia="仿宋_GB2312"/>
          <w:sz w:val="32"/>
          <w:szCs w:val="32"/>
          <w:lang w:eastAsia="zh-CN"/>
        </w:rPr>
        <w:t>以及运行维护经费、安化县高明乡中学教师周转房等。</w:t>
      </w:r>
    </w:p>
    <w:p w14:paraId="75EC802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政府性基金预算支出情况</w:t>
      </w:r>
    </w:p>
    <w:p w14:paraId="70D39C70">
      <w:pPr>
        <w:ind w:firstLine="640" w:firstLineChars="200"/>
        <w:rPr>
          <w:rFonts w:hint="default" w:eastAsia="仿宋_GB2312"/>
          <w:lang w:val="en-US" w:eastAsia="zh-CN"/>
        </w:rPr>
      </w:pPr>
      <w:r>
        <w:rPr>
          <w:color w:val="232323"/>
          <w:sz w:val="32"/>
          <w:szCs w:val="32"/>
          <w:shd w:val="clear" w:color="auto" w:fill="FFFFFF"/>
        </w:rPr>
        <w:t>202</w:t>
      </w:r>
      <w:r>
        <w:rPr>
          <w:rFonts w:hint="eastAsia"/>
          <w:color w:val="23232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 w:cs="仿宋_GB2312"/>
          <w:color w:val="232323"/>
          <w:sz w:val="32"/>
          <w:szCs w:val="32"/>
          <w:shd w:val="clear" w:color="auto" w:fill="FFFFFF"/>
        </w:rPr>
        <w:t>年本部门政府性基金支出预算</w:t>
      </w:r>
      <w:r>
        <w:rPr>
          <w:rFonts w:hint="eastAsia" w:eastAsia="仿宋_GB2312"/>
          <w:color w:val="232323"/>
          <w:sz w:val="32"/>
          <w:szCs w:val="32"/>
          <w:shd w:val="clear" w:color="auto" w:fill="FFFFFF"/>
          <w:lang w:val="en-US" w:eastAsia="zh-CN"/>
        </w:rPr>
        <w:t>27.13</w:t>
      </w:r>
      <w:r>
        <w:rPr>
          <w:rFonts w:hint="eastAsia" w:ascii="仿宋_GB2312" w:eastAsia="仿宋_GB2312" w:cs="仿宋_GB2312"/>
          <w:color w:val="232323"/>
          <w:sz w:val="32"/>
          <w:szCs w:val="32"/>
          <w:shd w:val="clear" w:color="auto" w:fill="FFFFFF"/>
        </w:rPr>
        <w:t>万元</w:t>
      </w:r>
      <w:r>
        <w:rPr>
          <w:rFonts w:hint="eastAsia" w:ascii="仿宋_GB2312" w:hAnsi="宋体" w:eastAsia="仿宋_GB2312" w:cs="仿宋_GB2312"/>
          <w:color w:val="232323"/>
          <w:sz w:val="32"/>
          <w:szCs w:val="32"/>
          <w:shd w:val="clear" w:color="auto" w:fill="FFFFFF"/>
        </w:rPr>
        <w:t>。</w:t>
      </w:r>
    </w:p>
    <w:p w14:paraId="4146400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国有资本经营预算支出情况</w:t>
      </w:r>
    </w:p>
    <w:p w14:paraId="2231DFB3">
      <w:pPr>
        <w:pStyle w:val="7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color w:val="232323"/>
          <w:shd w:val="clear" w:color="auto" w:fill="FFFFFF"/>
        </w:rPr>
        <w:t>202</w:t>
      </w:r>
      <w:r>
        <w:rPr>
          <w:rFonts w:hint="eastAsia"/>
          <w:color w:val="232323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 w:cs="仿宋_GB2312"/>
          <w:color w:val="232323"/>
          <w:shd w:val="clear" w:color="auto" w:fill="FFFFFF"/>
        </w:rPr>
        <w:t>年</w:t>
      </w:r>
      <w:r>
        <w:rPr>
          <w:rFonts w:hint="eastAsia" w:ascii="仿宋_GB2312" w:hAnsi="宋体" w:eastAsia="仿宋_GB2312" w:cs="仿宋_GB2312"/>
          <w:color w:val="232323"/>
          <w:shd w:val="clear" w:color="auto" w:fill="FFFFFF"/>
        </w:rPr>
        <w:t>本部门无国有资本经营预算的支出。</w:t>
      </w:r>
    </w:p>
    <w:p w14:paraId="4675B08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社会保险基金预算支出情况</w:t>
      </w:r>
    </w:p>
    <w:p w14:paraId="4D3BC260">
      <w:pPr>
        <w:pStyle w:val="7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color w:val="232323"/>
          <w:shd w:val="clear" w:color="auto" w:fill="FFFFFF"/>
        </w:rPr>
        <w:t>202</w:t>
      </w:r>
      <w:r>
        <w:rPr>
          <w:rFonts w:hint="eastAsia"/>
          <w:color w:val="232323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 w:cs="仿宋_GB2312"/>
          <w:color w:val="232323"/>
          <w:shd w:val="clear" w:color="auto" w:fill="FFFFFF"/>
        </w:rPr>
        <w:t>年</w:t>
      </w:r>
      <w:r>
        <w:rPr>
          <w:rFonts w:hint="eastAsia" w:ascii="仿宋_GB2312" w:hAnsi="宋体" w:eastAsia="仿宋_GB2312" w:cs="仿宋_GB2312"/>
          <w:color w:val="232323"/>
          <w:shd w:val="clear" w:color="auto" w:fill="FFFFFF"/>
        </w:rPr>
        <w:t>本部门无社会保险基金预算的支出。</w:t>
      </w:r>
    </w:p>
    <w:p w14:paraId="3CE7EE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六、部门整体支出绩效情况</w:t>
      </w:r>
    </w:p>
    <w:p w14:paraId="38786B0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0" w:firstLine="640" w:firstLineChars="200"/>
        <w:jc w:val="left"/>
        <w:textAlignment w:val="center"/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2024年度支出总额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1746.32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万元，其中基本支出</w:t>
      </w:r>
      <w:r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  <w:t>1590.38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万元，基本支出保障了单位正常运转的日常支出，包括基本工资、津贴补贴等人员经费以及办公费、水电费、差旅费等日常公用经费；项目支出金额</w:t>
      </w:r>
      <w:r>
        <w:rPr>
          <w:rFonts w:hint="eastAsia" w:ascii="仿宋" w:hAnsi="仿宋" w:eastAsia="仿宋" w:cs="Times New Roman"/>
          <w:kern w:val="2"/>
          <w:sz w:val="32"/>
          <w:szCs w:val="24"/>
          <w:u w:val="none"/>
          <w:shd w:val="clear" w:color="auto" w:fill="auto"/>
          <w:lang w:val="en-US" w:eastAsia="zh-CN" w:bidi="ar-SA"/>
        </w:rPr>
        <w:t>155.94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万元。</w:t>
      </w:r>
    </w:p>
    <w:p w14:paraId="562B9C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七、存在的问题及原因分析</w:t>
      </w:r>
    </w:p>
    <w:p w14:paraId="62E653A6">
      <w:pPr>
        <w:keepNext w:val="0"/>
        <w:keepLines w:val="0"/>
        <w:widowControl/>
        <w:suppressLineNumbers w:val="0"/>
        <w:ind w:firstLine="640" w:firstLineChars="200"/>
        <w:jc w:val="left"/>
        <w:rPr>
          <w:kern w:val="0"/>
          <w:szCs w:val="32"/>
        </w:rPr>
      </w:pP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>部门预算的人员经费和公用经费不足。单位日常运转的刚性支出大，现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有的部门预算资金不能满足日益增长的工作需要。</w:t>
      </w:r>
    </w:p>
    <w:p w14:paraId="217F7C8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下一步改进措施</w:t>
      </w:r>
    </w:p>
    <w:p w14:paraId="3362534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>对存在的问题提出切实可行的改进措施和有关建议等。</w:t>
      </w:r>
    </w:p>
    <w:p w14:paraId="696474B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1、加强财务管理，严格财务审核。</w:t>
      </w:r>
    </w:p>
    <w:p w14:paraId="047BDF4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2、对相关人员加强培训，切实提高</w:t>
      </w:r>
      <w:r>
        <w:rPr>
          <w:rFonts w:hint="eastAsia" w:ascii="仿宋_GB2312" w:hAnsi="仿宋" w:cs="Times New Roman"/>
          <w:sz w:val="32"/>
          <w:szCs w:val="32"/>
          <w:lang w:val="en-US" w:eastAsia="zh-CN"/>
        </w:rPr>
        <w:t>财务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人员业务水平。</w:t>
      </w:r>
    </w:p>
    <w:p w14:paraId="1D8E193E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绩效自评结果拟应用和公开情况</w:t>
      </w:r>
    </w:p>
    <w:p w14:paraId="3E0F4A5D">
      <w:pPr>
        <w:pStyle w:val="2"/>
        <w:numPr>
          <w:ilvl w:val="0"/>
          <w:numId w:val="0"/>
        </w:numPr>
        <w:ind w:leftChars="200"/>
        <w:rPr>
          <w:rFonts w:hint="eastAsia" w:eastAsia="宋体"/>
          <w:lang w:eastAsia="zh-CN"/>
        </w:rPr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暂未公开。</w:t>
      </w:r>
    </w:p>
    <w:p w14:paraId="5AFD5637">
      <w:pPr>
        <w:numPr>
          <w:ilvl w:val="0"/>
          <w:numId w:val="2"/>
        </w:numPr>
        <w:ind w:left="0" w:leftChars="0"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其他需要说明的情况</w:t>
      </w:r>
    </w:p>
    <w:p w14:paraId="618679C7">
      <w:pPr>
        <w:numPr>
          <w:ilvl w:val="0"/>
          <w:numId w:val="0"/>
        </w:numPr>
        <w:ind w:leftChars="200"/>
      </w:pPr>
      <w:r>
        <w:rPr>
          <w:rFonts w:hint="eastAsia" w:eastAsia="仿宋_GB2312" w:cs="Times New Roman"/>
          <w:kern w:val="0"/>
          <w:sz w:val="32"/>
          <w:szCs w:val="32"/>
          <w:lang w:val="en-US" w:eastAsia="zh-CN" w:bidi="ar-SA"/>
        </w:rPr>
        <w:t>无。</w:t>
      </w:r>
      <w:r>
        <w:rPr>
          <w:rFonts w:eastAsia="Times New Roman"/>
          <w:kern w:val="0"/>
          <w:sz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4109C"/>
    <w:multiLevelType w:val="singleLevel"/>
    <w:tmpl w:val="0DF4109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048D7"/>
    <w:multiLevelType w:val="singleLevel"/>
    <w:tmpl w:val="7F4048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YmQ5Y2MzMGVhMDY4NDkwNTBhM2FiMTI1OTFmZTEifQ=="/>
  </w:docVars>
  <w:rsids>
    <w:rsidRoot w:val="6D445020"/>
    <w:rsid w:val="029228E1"/>
    <w:rsid w:val="074B01AA"/>
    <w:rsid w:val="14FF1319"/>
    <w:rsid w:val="21997DB7"/>
    <w:rsid w:val="257D691C"/>
    <w:rsid w:val="2F8A6D16"/>
    <w:rsid w:val="33357B76"/>
    <w:rsid w:val="53246BC3"/>
    <w:rsid w:val="58057740"/>
    <w:rsid w:val="64B56C4A"/>
    <w:rsid w:val="6D445020"/>
    <w:rsid w:val="720A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ind w:firstLine="640" w:firstLineChars="200"/>
    </w:pPr>
    <w:rPr>
      <w:sz w:val="32"/>
      <w:szCs w:val="32"/>
    </w:rPr>
  </w:style>
  <w:style w:type="paragraph" w:styleId="4">
    <w:name w:val="toc 5"/>
    <w:basedOn w:val="1"/>
    <w:next w:val="1"/>
    <w:unhideWhenUsed/>
    <w:qFormat/>
    <w:uiPriority w:val="39"/>
    <w:pPr>
      <w:ind w:left="1680" w:leftChars="800"/>
    </w:pPr>
    <w:rPr>
      <w:rFonts w:ascii="等线" w:hAnsi="等线" w:eastAsia="等线" w:cs="Times New Roman"/>
      <w:szCs w:val="22"/>
    </w:rPr>
  </w:style>
  <w:style w:type="paragraph" w:styleId="5">
    <w:name w:val="toc 1"/>
    <w:basedOn w:val="1"/>
    <w:next w:val="1"/>
    <w:unhideWhenUsed/>
    <w:qFormat/>
    <w:uiPriority w:val="99"/>
    <w:pPr>
      <w:spacing w:beforeLines="0" w:afterLines="0"/>
    </w:pPr>
    <w:rPr>
      <w:rFonts w:hint="default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Body Text First Indent 2"/>
    <w:basedOn w:val="3"/>
    <w:qFormat/>
    <w:uiPriority w:val="99"/>
    <w:pPr>
      <w:ind w:firstLine="420"/>
    </w:pPr>
  </w:style>
  <w:style w:type="character" w:styleId="10">
    <w:name w:val="Strong"/>
    <w:basedOn w:val="9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1007</Words>
  <Characters>1107</Characters>
  <Lines>0</Lines>
  <Paragraphs>0</Paragraphs>
  <TotalTime>51</TotalTime>
  <ScaleCrop>false</ScaleCrop>
  <LinksUpToDate>false</LinksUpToDate>
  <CharactersWithSpaces>1126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2024-06-17T10:01:00Z</dcterms:created>
  <dc:creator>啊斌</dc:creator>
  <cp:lastModifiedBy>高亚文</cp:lastModifiedBy>
  <dcterms:modified xsi:type="dcterms:W3CDTF">2025-09-26T06:43:19Z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B31B3E754D084C718E9CF0D1D6D23CB1_13</vt:lpwstr>
  </property>
  <property fmtid="{D5CDD505-2E9C-101B-9397-08002B2CF9AE}" pid="4" name="KSOTemplateDocerSaveRecord">
    <vt:lpwstr>eyJoZGlkIjoiMDk4N2UwZjE0NzJjYWMyNDAxMmJmNTM4OGU4MmRiMmMiLCJ1c2VySWQiOiIyNTE0NzQ2MTAifQ==</vt:lpwstr>
  </property>
</Properties>
</file>