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86D09">
      <w:pPr>
        <w:pageBreakBefore w:val="0"/>
        <w:kinsoku/>
        <w:wordWrap/>
        <w:overflowPunct/>
        <w:topLinePunct w:val="0"/>
        <w:autoSpaceDE/>
        <w:autoSpaceDN/>
        <w:bidi w:val="0"/>
        <w:spacing w:line="560" w:lineRule="exact"/>
        <w:jc w:val="center"/>
        <w:rPr>
          <w:rFonts w:hint="default"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安化县2025年高标准农田建设项目全过程造价咨询服务竞价文件</w:t>
      </w:r>
    </w:p>
    <w:p w14:paraId="51C19E19">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2FBE6375">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为确保安化县2025年高标准农田建设项目全过程造价咨询服务顺利采购，特制定此竞价采购文件。</w:t>
      </w:r>
    </w:p>
    <w:p w14:paraId="41C41984">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 xml:space="preserve">一、采购项目名称 </w:t>
      </w:r>
    </w:p>
    <w:p w14:paraId="4C996CB0">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安化县2025年高标准农田建设项目全过程造价咨询服务</w:t>
      </w:r>
    </w:p>
    <w:p w14:paraId="7389951D">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二、项目预算金额</w:t>
      </w:r>
    </w:p>
    <w:p w14:paraId="05702F26">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安化县2025年高标准农田建设项目项目建安费用2733.89万元，参照《湖南省建设工程造价管理协会关于规范工程造价咨询服务收费的意见》（湘建价协〔2016〕25 号）文件附表6及附表8（</w:t>
      </w:r>
      <w:r>
        <w:rPr>
          <w:rFonts w:hint="eastAsia" w:ascii="仿宋_GB2312" w:hAnsi="仿宋_GB2312" w:eastAsia="仿宋_GB2312" w:cs="仿宋_GB2312"/>
          <w:b/>
          <w:bCs/>
          <w:color w:val="auto"/>
          <w:kern w:val="2"/>
          <w:sz w:val="32"/>
          <w:szCs w:val="32"/>
          <w:highlight w:val="none"/>
          <w:lang w:val="en-US" w:eastAsia="zh-CN" w:bidi="ar-SA"/>
        </w:rPr>
        <w:t>现场驻场人员2人</w:t>
      </w:r>
      <w:r>
        <w:rPr>
          <w:rFonts w:hint="eastAsia" w:ascii="仿宋_GB2312" w:hAnsi="仿宋_GB2312" w:eastAsia="仿宋_GB2312" w:cs="仿宋_GB2312"/>
          <w:b w:val="0"/>
          <w:bCs w:val="0"/>
          <w:color w:val="auto"/>
          <w:kern w:val="2"/>
          <w:sz w:val="32"/>
          <w:szCs w:val="32"/>
          <w:highlight w:val="none"/>
          <w:lang w:val="en-US" w:eastAsia="zh-CN" w:bidi="ar-SA"/>
        </w:rPr>
        <w:t>）收费标准，本项目咨询服务费采购控制价为：贰拾肆万肆仟陆佰元整（</w:t>
      </w:r>
      <w:r>
        <w:rPr>
          <w:rFonts w:hint="default"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244600.00）。</w:t>
      </w:r>
    </w:p>
    <w:p w14:paraId="679974B7">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 xml:space="preserve">三、项目概况 </w:t>
      </w:r>
    </w:p>
    <w:p w14:paraId="1F43D453">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本项目为</w:t>
      </w:r>
      <w:r>
        <w:rPr>
          <w:rFonts w:hint="eastAsia" w:ascii="仿宋_GB2312" w:hAnsi="仿宋_GB2312" w:eastAsia="仿宋_GB2312" w:cs="仿宋_GB2312"/>
          <w:b w:val="0"/>
          <w:bCs w:val="0"/>
          <w:color w:val="auto"/>
          <w:kern w:val="2"/>
          <w:sz w:val="32"/>
          <w:szCs w:val="32"/>
          <w:highlight w:val="none"/>
          <w:lang w:val="en-US" w:eastAsia="zh-CN" w:bidi="ar-SA"/>
        </w:rPr>
        <w:t>安化县2025年高标准农田建设项目全部建设内容的全过程造价咨询服务，咨询服务类别:建设项目全过程造价咨询（D型）</w:t>
      </w:r>
      <w:r>
        <w:rPr>
          <w:rFonts w:hint="eastAsia" w:ascii="仿宋_GB2312" w:hAnsi="仿宋_GB2312" w:eastAsia="仿宋_GB2312" w:cs="仿宋_GB2312"/>
          <w:color w:val="auto"/>
          <w:kern w:val="0"/>
          <w:sz w:val="32"/>
          <w:szCs w:val="32"/>
          <w:highlight w:val="none"/>
          <w:lang w:val="en-US" w:eastAsia="zh-CN"/>
        </w:rPr>
        <w:t>。</w:t>
      </w:r>
    </w:p>
    <w:p w14:paraId="7EFBC9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项目建设规模为1.32万亩，项目内容包括</w:t>
      </w:r>
      <w:r>
        <w:rPr>
          <w:rFonts w:hint="eastAsia" w:ascii="仿宋_GB2312" w:hAnsi="仿宋_GB2312" w:eastAsia="仿宋_GB2312" w:cs="仿宋_GB2312"/>
          <w:b w:val="0"/>
          <w:bCs w:val="0"/>
          <w:color w:val="auto"/>
          <w:kern w:val="2"/>
          <w:sz w:val="32"/>
          <w:szCs w:val="32"/>
          <w:highlight w:val="none"/>
          <w:u w:val="none"/>
          <w:lang w:val="en-US" w:eastAsia="zh-CN" w:bidi="ar-SA"/>
        </w:rPr>
        <w:t>田块整治15.47亩；地力提升工程27469.00亩（其中发展绿肥种植13200亩，施用商品有机肥9927.00亩，酸性土壤改良撒生石灰4342.00亩）；山塘加固11口；加固（改造）河坝50座；改造灌溉泵站2座；衬砌改造渠道165条58.405km（其中骨干灌渠151条54.556km，排洪（涝）渠道14条3.849km）；配套渠系建筑物共3075处（其中分排水口1429处，节制闸614处，过路涵管592处，跌水73处，沉砂池及生物通道100处，码头106处，下田坡道10处，量水尺148处，渡槽3处）；附属建筑4座（新建消力池1座，新建机耕桥2座，重建涵管1座）；新增高效节水灌溉面积461亩，为低压管道灌溉；田间道路升级改造2条0.44km；农田防护护岸4条1.10km；耕地质量检测1.32万亩；农业气象观测系统1座</w:t>
      </w:r>
      <w:r>
        <w:rPr>
          <w:rFonts w:hint="eastAsia" w:ascii="仿宋_GB2312" w:hAnsi="仿宋_GB2312" w:eastAsia="仿宋_GB2312" w:cs="仿宋_GB2312"/>
          <w:b w:val="0"/>
          <w:bCs w:val="0"/>
          <w:color w:val="auto"/>
          <w:kern w:val="2"/>
          <w:sz w:val="32"/>
          <w:szCs w:val="32"/>
          <w:highlight w:val="none"/>
          <w:lang w:val="en-US" w:eastAsia="zh-CN" w:bidi="ar-SA"/>
        </w:rPr>
        <w:t>（以工程量清单为准）。</w:t>
      </w:r>
    </w:p>
    <w:p w14:paraId="292D32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项目区涉及</w:t>
      </w:r>
      <w:r>
        <w:rPr>
          <w:rFonts w:hint="eastAsia" w:ascii="仿宋_GB2312" w:hAnsi="仿宋_GB2312" w:eastAsia="仿宋_GB2312" w:cs="仿宋_GB2312"/>
          <w:b w:val="0"/>
          <w:bCs w:val="0"/>
          <w:color w:val="auto"/>
          <w:kern w:val="2"/>
          <w:sz w:val="32"/>
          <w:szCs w:val="32"/>
          <w:highlight w:val="none"/>
          <w:u w:val="none"/>
          <w:lang w:val="en-US" w:eastAsia="zh-CN" w:bidi="ar-SA"/>
        </w:rPr>
        <w:t>仙溪镇大桥新村、河东村、九龙社区、三丰村、山漳村、仙峰村、仙溪社区、仙中村、鑫都村、沿峰村、圳上村、圳中村；冷市镇大苍村、大桥水社区、高桥村、家兴社区、金湖村、冷家嘴社区、梁家社区、马桥村、文昌村、董家村、胡家村；东坪镇柳坪村共3个乡镇24个行政村。</w:t>
      </w:r>
    </w:p>
    <w:p w14:paraId="45E5682E">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四</w:t>
      </w:r>
      <w:r>
        <w:rPr>
          <w:rFonts w:hint="eastAsia" w:ascii="黑体" w:hAnsi="黑体" w:eastAsia="黑体" w:cs="黑体"/>
          <w:color w:val="auto"/>
          <w:kern w:val="0"/>
          <w:sz w:val="32"/>
          <w:szCs w:val="32"/>
          <w:highlight w:val="none"/>
          <w:lang w:eastAsia="zh-CN"/>
        </w:rPr>
        <w:t>、</w:t>
      </w:r>
      <w:r>
        <w:rPr>
          <w:rFonts w:hint="eastAsia" w:ascii="黑体" w:hAnsi="黑体" w:eastAsia="黑体" w:cs="黑体"/>
          <w:color w:val="auto"/>
          <w:kern w:val="0"/>
          <w:sz w:val="32"/>
          <w:szCs w:val="32"/>
          <w:highlight w:val="none"/>
          <w:lang w:val="en-US" w:eastAsia="zh-CN"/>
        </w:rPr>
        <w:t>资格要求</w:t>
      </w:r>
    </w:p>
    <w:p w14:paraId="722034C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1.供应商的基本资格条件：投标人必须是在中华人民共和国境内注册登记的法人或其他组织，且应当符合《政府采购法》第二十二条第一款的规定。</w:t>
      </w:r>
    </w:p>
    <w:p w14:paraId="6618C38C">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2.供应商的特定资格条件</w:t>
      </w:r>
    </w:p>
    <w:p w14:paraId="0F2C22B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（1）资质要求：</w:t>
      </w:r>
      <w:r>
        <w:rPr>
          <w:rFonts w:hint="eastAsia" w:ascii="仿宋_GB2312" w:hAnsi="仿宋_GB2312" w:eastAsia="仿宋_GB2312" w:cs="仿宋_GB2312"/>
          <w:color w:val="auto"/>
          <w:sz w:val="32"/>
          <w:szCs w:val="32"/>
          <w:highlight w:val="none"/>
          <w:lang w:val="en-US" w:eastAsia="zh-CN"/>
        </w:rPr>
        <w:t>在人员、设备、资金等方面具备相应的工程造价咨询服务能力。</w:t>
      </w:r>
    </w:p>
    <w:p w14:paraId="5D98D146">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（2）人员要求：拟派至少2名以上造价工程师，具有全国注册造价工程师资格(含二级及以上)，造价工程师证书注册单位与供应商名称一致，且证书在有效期内。拟派2名</w:t>
      </w:r>
      <w:r>
        <w:rPr>
          <w:rFonts w:hint="eastAsia" w:ascii="仿宋_GB2312" w:hAnsi="Times New Roman" w:eastAsia="仿宋_GB2312" w:cs="Times New Roman"/>
          <w:color w:val="auto"/>
          <w:kern w:val="2"/>
          <w:sz w:val="32"/>
          <w:szCs w:val="32"/>
          <w:highlight w:val="none"/>
          <w:lang w:val="en-US" w:eastAsia="zh-CN" w:bidi="ar-SA"/>
        </w:rPr>
        <w:t>造价员进行现场全过程驻场服务，具备工程造价、工程管理等相关专业的大专及以上学历。</w:t>
      </w:r>
      <w:r>
        <w:rPr>
          <w:rFonts w:hint="eastAsia" w:ascii="仿宋_GB2312" w:hAnsi="仿宋_GB2312" w:eastAsia="仿宋_GB2312" w:cs="仿宋_GB2312"/>
          <w:color w:val="auto"/>
          <w:sz w:val="32"/>
          <w:szCs w:val="32"/>
          <w:highlight w:val="none"/>
          <w:lang w:val="en-US" w:eastAsia="zh-CN"/>
        </w:rPr>
        <w:t>证明配备人员为供应商正式员工需提供下列资料：a、证明其在供应商单位近6个月（指2025年5月-2025年10月）参加社会保险的证明。国家和地方政府对退休人员和企业、事业社保缴费有专门规定的，从其规定。</w:t>
      </w:r>
      <w:r>
        <w:rPr>
          <w:rFonts w:hint="eastAsia" w:ascii="仿宋_GB2312" w:hAnsi="仿宋_GB2312" w:eastAsia="仿宋_GB2312" w:cs="仿宋_GB2312"/>
          <w:bCs/>
          <w:color w:val="auto"/>
          <w:sz w:val="32"/>
          <w:szCs w:val="32"/>
          <w:highlight w:val="none"/>
          <w:lang w:val="en-US" w:eastAsia="zh-CN"/>
        </w:rPr>
        <w:t>b、劳动合同。c、资质证书、学历证明或其他证明材料。</w:t>
      </w:r>
    </w:p>
    <w:p w14:paraId="44A0F3E0">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（3）信誉要求：列入失信被执行人、重大税收违法失信主体名单、政府采购严重违法失信行为记录名单的，拒绝其参与本项目采购活动。</w:t>
      </w:r>
    </w:p>
    <w:p w14:paraId="093E4186">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（4）业绩要求：至少提供1个近三年（2022年11月-2025年11月）土地整治类项目全过程造价咨询服务业绩，</w:t>
      </w:r>
      <w:r>
        <w:rPr>
          <w:rFonts w:hint="eastAsia" w:ascii="仿宋_GB2312" w:hAnsi="仿宋_GB2312" w:eastAsia="仿宋_GB2312" w:cs="仿宋_GB2312"/>
          <w:color w:val="auto"/>
          <w:sz w:val="32"/>
          <w:szCs w:val="32"/>
          <w:highlight w:val="none"/>
          <w:lang w:val="en-US" w:eastAsia="zh-CN"/>
        </w:rPr>
        <w:t>并附中标证明文件、合同协议书、合同工程竣工或完工验收文件（由建设单位、施工单位、监理单位、设计单位盖行政公章认可，不接受加盖施工项目部章和监理项目部章）的扫描件。完成时间以合同工程竣工或完工验收文件中建设单位签字之日为准。</w:t>
      </w:r>
    </w:p>
    <w:p w14:paraId="2897893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（5）不得恶意低价竞标，或者中标后拒绝提供服务。</w:t>
      </w:r>
    </w:p>
    <w:p w14:paraId="0914111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color w:val="auto"/>
          <w:highlight w:val="none"/>
        </w:rPr>
      </w:pPr>
      <w:r>
        <w:rPr>
          <w:rFonts w:hint="eastAsia" w:ascii="仿宋_GB2312" w:hAnsi="仿宋_GB2312" w:eastAsia="仿宋_GB2312" w:cs="仿宋_GB2312"/>
          <w:b w:val="0"/>
          <w:bCs w:val="0"/>
          <w:color w:val="auto"/>
          <w:kern w:val="2"/>
          <w:sz w:val="32"/>
          <w:szCs w:val="32"/>
          <w:highlight w:val="none"/>
          <w:lang w:val="en-US" w:eastAsia="zh-CN" w:bidi="ar-SA"/>
        </w:rPr>
        <w:t>3.提交项目全过程造价咨询服务实施方案并按要求组织实施，实施方案包括但不限于对项目的整体理解、项目团队（含人员配备）、项目进度、报价组成、质量保障措施（含保密措施）、合理化建议等。</w:t>
      </w:r>
    </w:p>
    <w:p w14:paraId="47F50043">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为</w:t>
      </w:r>
      <w:r>
        <w:rPr>
          <w:rFonts w:hint="eastAsia" w:ascii="仿宋_GB2312" w:hAnsi="仿宋_GB2312" w:eastAsia="仿宋_GB2312" w:cs="仿宋_GB2312"/>
          <w:bCs/>
          <w:color w:val="auto"/>
          <w:sz w:val="32"/>
          <w:szCs w:val="32"/>
          <w:highlight w:val="none"/>
        </w:rPr>
        <w:t>安化县2025年高标准农田建设项目</w:t>
      </w:r>
      <w:r>
        <w:rPr>
          <w:rFonts w:hint="eastAsia" w:ascii="仿宋_GB2312" w:hAnsi="仿宋_GB2312" w:eastAsia="仿宋_GB2312" w:cs="仿宋_GB2312"/>
          <w:bCs/>
          <w:color w:val="auto"/>
          <w:sz w:val="32"/>
          <w:szCs w:val="32"/>
          <w:highlight w:val="none"/>
          <w:lang w:val="en-US" w:eastAsia="zh-CN"/>
        </w:rPr>
        <w:t>提供</w:t>
      </w:r>
      <w:r>
        <w:rPr>
          <w:rFonts w:hint="eastAsia" w:ascii="仿宋_GB2312" w:hAnsi="仿宋_GB2312" w:eastAsia="仿宋_GB2312" w:cs="仿宋_GB2312"/>
          <w:bCs/>
          <w:color w:val="auto"/>
          <w:sz w:val="32"/>
          <w:szCs w:val="32"/>
          <w:highlight w:val="none"/>
        </w:rPr>
        <w:t>设计、预算审核</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施工、</w:t>
      </w:r>
      <w:r>
        <w:rPr>
          <w:rFonts w:hint="eastAsia" w:ascii="仿宋_GB2312" w:hAnsi="仿宋_GB2312" w:eastAsia="仿宋_GB2312" w:cs="仿宋_GB2312"/>
          <w:bCs/>
          <w:color w:val="auto"/>
          <w:sz w:val="32"/>
          <w:szCs w:val="32"/>
          <w:highlight w:val="none"/>
          <w:lang w:val="en-US" w:eastAsia="zh-CN"/>
        </w:rPr>
        <w:t>监理</w:t>
      </w:r>
      <w:r>
        <w:rPr>
          <w:rFonts w:hint="eastAsia" w:ascii="仿宋_GB2312" w:hAnsi="仿宋_GB2312" w:eastAsia="仿宋_GB2312" w:cs="仿宋_GB2312"/>
          <w:bCs/>
          <w:color w:val="auto"/>
          <w:sz w:val="32"/>
          <w:szCs w:val="32"/>
          <w:highlight w:val="none"/>
        </w:rPr>
        <w:t>的单位不允许参与本</w:t>
      </w:r>
      <w:r>
        <w:rPr>
          <w:rFonts w:hint="eastAsia" w:ascii="仿宋_GB2312" w:hAnsi="仿宋_GB2312" w:eastAsia="仿宋_GB2312" w:cs="仿宋_GB2312"/>
          <w:bCs/>
          <w:color w:val="auto"/>
          <w:sz w:val="32"/>
          <w:szCs w:val="32"/>
          <w:highlight w:val="none"/>
          <w:lang w:val="en-US" w:eastAsia="zh-CN"/>
        </w:rPr>
        <w:t>项目的采购活动</w:t>
      </w:r>
      <w:r>
        <w:rPr>
          <w:rFonts w:hint="eastAsia" w:ascii="仿宋_GB2312" w:hAnsi="仿宋_GB2312" w:eastAsia="仿宋_GB2312" w:cs="仿宋_GB2312"/>
          <w:bCs/>
          <w:color w:val="auto"/>
          <w:sz w:val="32"/>
          <w:szCs w:val="32"/>
          <w:highlight w:val="none"/>
        </w:rPr>
        <w:t>。</w:t>
      </w:r>
    </w:p>
    <w:p w14:paraId="2B5FF2B0">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联合体响应。本次采购不接受联合体响应。</w:t>
      </w:r>
    </w:p>
    <w:p w14:paraId="5313D474">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五、竞价文件的获取</w:t>
      </w:r>
    </w:p>
    <w:p w14:paraId="44E8F31F">
      <w:pPr>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val="en-US" w:eastAsia="zh-CN"/>
        </w:rPr>
        <w:t>1.</w:t>
      </w:r>
      <w:r>
        <w:rPr>
          <w:rFonts w:hint="eastAsia" w:ascii="仿宋_GB2312" w:hAnsi="仿宋_GB2312" w:eastAsia="仿宋_GB2312" w:cs="仿宋_GB2312"/>
          <w:b/>
          <w:bCs w:val="0"/>
          <w:color w:val="auto"/>
          <w:sz w:val="32"/>
          <w:szCs w:val="32"/>
          <w:highlight w:val="none"/>
          <w:lang w:eastAsia="zh-CN"/>
        </w:rPr>
        <w:t>获取</w:t>
      </w:r>
      <w:r>
        <w:rPr>
          <w:rFonts w:hint="eastAsia" w:ascii="仿宋_GB2312" w:hAnsi="仿宋_GB2312" w:eastAsia="仿宋_GB2312" w:cs="仿宋_GB2312"/>
          <w:b/>
          <w:bCs w:val="0"/>
          <w:color w:val="auto"/>
          <w:sz w:val="32"/>
          <w:szCs w:val="32"/>
          <w:highlight w:val="none"/>
          <w:lang w:val="en-US" w:eastAsia="zh-CN"/>
        </w:rPr>
        <w:t>竞价</w:t>
      </w:r>
      <w:r>
        <w:rPr>
          <w:rFonts w:hint="eastAsia" w:ascii="仿宋_GB2312" w:hAnsi="仿宋_GB2312" w:eastAsia="仿宋_GB2312" w:cs="仿宋_GB2312"/>
          <w:b/>
          <w:bCs w:val="0"/>
          <w:color w:val="auto"/>
          <w:sz w:val="32"/>
          <w:szCs w:val="32"/>
          <w:highlight w:val="none"/>
          <w:lang w:eastAsia="zh-CN"/>
        </w:rPr>
        <w:t>文件的时间：</w:t>
      </w:r>
      <w:r>
        <w:rPr>
          <w:rFonts w:hint="eastAsia" w:ascii="仿宋_GB2312" w:hAnsi="仿宋_GB2312" w:eastAsia="仿宋_GB2312" w:cs="仿宋_GB2312"/>
          <w:bCs/>
          <w:color w:val="auto"/>
          <w:sz w:val="32"/>
          <w:szCs w:val="32"/>
          <w:highlight w:val="none"/>
          <w:lang w:eastAsia="zh-CN"/>
        </w:rPr>
        <w:t>2025年</w:t>
      </w:r>
      <w:r>
        <w:rPr>
          <w:rFonts w:hint="eastAsia" w:ascii="仿宋_GB2312" w:hAnsi="仿宋_GB2312" w:eastAsia="仿宋_GB2312" w:cs="仿宋_GB2312"/>
          <w:bCs/>
          <w:color w:val="auto"/>
          <w:sz w:val="32"/>
          <w:szCs w:val="32"/>
          <w:highlight w:val="none"/>
          <w:lang w:val="en-US" w:eastAsia="zh-CN"/>
        </w:rPr>
        <w:t>11</w:t>
      </w:r>
      <w:r>
        <w:rPr>
          <w:rFonts w:hint="eastAsia" w:ascii="仿宋_GB2312" w:hAnsi="仿宋_GB2312" w:eastAsia="仿宋_GB2312" w:cs="仿宋_GB2312"/>
          <w:bCs/>
          <w:color w:val="auto"/>
          <w:sz w:val="32"/>
          <w:szCs w:val="32"/>
          <w:highlight w:val="none"/>
          <w:lang w:eastAsia="zh-CN"/>
        </w:rPr>
        <w:t>月</w:t>
      </w:r>
      <w:r>
        <w:rPr>
          <w:rFonts w:hint="eastAsia" w:ascii="仿宋_GB2312" w:hAnsi="仿宋_GB2312" w:eastAsia="仿宋_GB2312" w:cs="仿宋_GB2312"/>
          <w:bCs/>
          <w:color w:val="auto"/>
          <w:sz w:val="32"/>
          <w:szCs w:val="32"/>
          <w:highlight w:val="none"/>
          <w:lang w:val="en-US" w:eastAsia="zh-CN"/>
        </w:rPr>
        <w:t>21</w:t>
      </w:r>
      <w:r>
        <w:rPr>
          <w:rFonts w:hint="eastAsia" w:ascii="仿宋_GB2312" w:hAnsi="仿宋_GB2312" w:eastAsia="仿宋_GB2312" w:cs="仿宋_GB2312"/>
          <w:bCs/>
          <w:color w:val="auto"/>
          <w:sz w:val="32"/>
          <w:szCs w:val="32"/>
          <w:highlight w:val="none"/>
          <w:lang w:eastAsia="zh-CN"/>
        </w:rPr>
        <w:t>日至2025年</w:t>
      </w:r>
      <w:r>
        <w:rPr>
          <w:rFonts w:hint="eastAsia" w:ascii="仿宋_GB2312" w:hAnsi="仿宋_GB2312" w:eastAsia="仿宋_GB2312" w:cs="仿宋_GB2312"/>
          <w:bCs/>
          <w:color w:val="auto"/>
          <w:sz w:val="32"/>
          <w:szCs w:val="32"/>
          <w:highlight w:val="none"/>
          <w:lang w:val="en-US" w:eastAsia="zh-CN"/>
        </w:rPr>
        <w:t>11</w:t>
      </w:r>
      <w:r>
        <w:rPr>
          <w:rFonts w:hint="eastAsia" w:ascii="仿宋_GB2312" w:hAnsi="仿宋_GB2312" w:eastAsia="仿宋_GB2312" w:cs="仿宋_GB2312"/>
          <w:bCs/>
          <w:color w:val="auto"/>
          <w:sz w:val="32"/>
          <w:szCs w:val="32"/>
          <w:highlight w:val="none"/>
          <w:lang w:eastAsia="zh-CN"/>
        </w:rPr>
        <w:t>月</w:t>
      </w:r>
      <w:r>
        <w:rPr>
          <w:rFonts w:hint="eastAsia" w:ascii="仿宋_GB2312" w:hAnsi="仿宋_GB2312" w:eastAsia="仿宋_GB2312" w:cs="仿宋_GB2312"/>
          <w:bCs/>
          <w:color w:val="auto"/>
          <w:sz w:val="32"/>
          <w:szCs w:val="32"/>
          <w:highlight w:val="none"/>
          <w:lang w:val="en-US" w:eastAsia="zh-CN"/>
        </w:rPr>
        <w:t>27</w:t>
      </w:r>
      <w:r>
        <w:rPr>
          <w:rFonts w:hint="eastAsia" w:ascii="仿宋_GB2312" w:hAnsi="仿宋_GB2312" w:eastAsia="仿宋_GB2312" w:cs="仿宋_GB2312"/>
          <w:bCs/>
          <w:color w:val="auto"/>
          <w:sz w:val="32"/>
          <w:szCs w:val="32"/>
          <w:highlight w:val="none"/>
          <w:lang w:eastAsia="zh-CN"/>
        </w:rPr>
        <w:t>日</w:t>
      </w:r>
      <w:r>
        <w:rPr>
          <w:rFonts w:hint="eastAsia" w:ascii="仿宋_GB2312" w:hAnsi="仿宋_GB2312" w:eastAsia="仿宋_GB2312" w:cs="仿宋_GB2312"/>
          <w:bCs/>
          <w:color w:val="auto"/>
          <w:sz w:val="32"/>
          <w:szCs w:val="32"/>
          <w:highlight w:val="none"/>
          <w:lang w:val="en-US" w:eastAsia="zh-CN"/>
        </w:rPr>
        <w:t>9时59分59秒（</w:t>
      </w:r>
      <w:r>
        <w:rPr>
          <w:rFonts w:hint="eastAsia" w:ascii="仿宋_GB2312" w:hAnsi="仿宋_GB2312" w:eastAsia="仿宋_GB2312" w:cs="仿宋_GB2312"/>
          <w:bCs/>
          <w:color w:val="auto"/>
          <w:sz w:val="32"/>
          <w:szCs w:val="32"/>
          <w:highlight w:val="none"/>
          <w:lang w:eastAsia="zh-CN"/>
        </w:rPr>
        <w:t>北京时间）。</w:t>
      </w:r>
    </w:p>
    <w:p w14:paraId="490CDC91">
      <w:pPr>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val="en-US" w:eastAsia="zh-CN"/>
        </w:rPr>
        <w:t>2.</w:t>
      </w:r>
      <w:r>
        <w:rPr>
          <w:rFonts w:hint="eastAsia" w:ascii="仿宋_GB2312" w:hAnsi="仿宋_GB2312" w:eastAsia="仿宋_GB2312" w:cs="仿宋_GB2312"/>
          <w:b/>
          <w:bCs w:val="0"/>
          <w:color w:val="auto"/>
          <w:sz w:val="32"/>
          <w:szCs w:val="32"/>
          <w:highlight w:val="none"/>
          <w:lang w:eastAsia="zh-CN"/>
        </w:rPr>
        <w:t>获取</w:t>
      </w:r>
      <w:r>
        <w:rPr>
          <w:rFonts w:hint="eastAsia" w:ascii="仿宋_GB2312" w:hAnsi="仿宋_GB2312" w:eastAsia="仿宋_GB2312" w:cs="仿宋_GB2312"/>
          <w:b/>
          <w:bCs w:val="0"/>
          <w:color w:val="auto"/>
          <w:sz w:val="32"/>
          <w:szCs w:val="32"/>
          <w:highlight w:val="none"/>
          <w:lang w:val="en-US" w:eastAsia="zh-CN"/>
        </w:rPr>
        <w:t>竞价文件的方式</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Cs/>
          <w:color w:val="auto"/>
          <w:sz w:val="32"/>
          <w:szCs w:val="32"/>
          <w:highlight w:val="none"/>
          <w:lang w:eastAsia="zh-CN"/>
        </w:rPr>
        <w:t>有</w:t>
      </w:r>
      <w:r>
        <w:rPr>
          <w:rFonts w:hint="eastAsia" w:ascii="仿宋_GB2312" w:hAnsi="仿宋_GB2312" w:eastAsia="仿宋_GB2312" w:cs="仿宋_GB2312"/>
          <w:bCs/>
          <w:color w:val="auto"/>
          <w:sz w:val="32"/>
          <w:szCs w:val="32"/>
          <w:highlight w:val="none"/>
          <w:lang w:val="en-US" w:eastAsia="zh-CN"/>
        </w:rPr>
        <w:t>竞价</w:t>
      </w:r>
      <w:r>
        <w:rPr>
          <w:rFonts w:hint="eastAsia" w:ascii="仿宋_GB2312" w:hAnsi="仿宋_GB2312" w:eastAsia="仿宋_GB2312" w:cs="仿宋_GB2312"/>
          <w:bCs/>
          <w:color w:val="auto"/>
          <w:sz w:val="32"/>
          <w:szCs w:val="32"/>
          <w:highlight w:val="none"/>
          <w:lang w:eastAsia="zh-CN"/>
        </w:rPr>
        <w:t>意愿者，请在</w:t>
      </w:r>
      <w:r>
        <w:rPr>
          <w:rFonts w:hint="eastAsia" w:ascii="仿宋_GB2312" w:hAnsi="仿宋_GB2312" w:eastAsia="仿宋_GB2312" w:cs="仿宋_GB2312"/>
          <w:bCs/>
          <w:color w:val="auto"/>
          <w:sz w:val="32"/>
          <w:szCs w:val="32"/>
          <w:highlight w:val="none"/>
          <w:lang w:val="en-US" w:eastAsia="zh-CN"/>
        </w:rPr>
        <w:t>安化县人民政府门户网站自行</w:t>
      </w:r>
      <w:r>
        <w:rPr>
          <w:rFonts w:hint="eastAsia" w:ascii="仿宋_GB2312" w:hAnsi="仿宋_GB2312" w:eastAsia="仿宋_GB2312" w:cs="仿宋_GB2312"/>
          <w:bCs/>
          <w:color w:val="auto"/>
          <w:sz w:val="32"/>
          <w:szCs w:val="32"/>
          <w:highlight w:val="none"/>
          <w:lang w:eastAsia="zh-CN"/>
        </w:rPr>
        <w:t>下载数据电文形式的</w:t>
      </w:r>
      <w:r>
        <w:rPr>
          <w:rFonts w:hint="eastAsia" w:ascii="仿宋_GB2312" w:hAnsi="仿宋_GB2312" w:eastAsia="仿宋_GB2312" w:cs="仿宋_GB2312"/>
          <w:bCs/>
          <w:color w:val="auto"/>
          <w:sz w:val="32"/>
          <w:szCs w:val="32"/>
          <w:highlight w:val="none"/>
          <w:lang w:val="en-US" w:eastAsia="zh-CN"/>
        </w:rPr>
        <w:t>竞价</w:t>
      </w:r>
      <w:r>
        <w:rPr>
          <w:rFonts w:hint="eastAsia" w:ascii="仿宋_GB2312" w:hAnsi="仿宋_GB2312" w:eastAsia="仿宋_GB2312" w:cs="仿宋_GB2312"/>
          <w:bCs/>
          <w:color w:val="auto"/>
          <w:sz w:val="32"/>
          <w:szCs w:val="32"/>
          <w:highlight w:val="none"/>
          <w:lang w:eastAsia="zh-CN"/>
        </w:rPr>
        <w:t>文件。</w:t>
      </w:r>
    </w:p>
    <w:p w14:paraId="7450D2C5">
      <w:pPr>
        <w:pStyle w:val="5"/>
        <w:keepNext w:val="0"/>
        <w:keepLines w:val="0"/>
        <w:widowControl/>
        <w:suppressLineNumbers w:val="0"/>
        <w:shd w:val="clear" w:fill="FFFFFF"/>
        <w:spacing w:before="0" w:beforeAutospacing="0" w:after="0" w:afterAutospacing="0" w:line="560" w:lineRule="atLeast"/>
        <w:ind w:left="0" w:right="0" w:firstLine="640"/>
        <w:jc w:val="both"/>
        <w:rPr>
          <w:rFonts w:hint="default" w:ascii="Times New Roman" w:hAnsi="Times New Roman" w:eastAsia="黑体" w:cs="Times New Roman"/>
          <w:i w:val="0"/>
          <w:iCs w:val="0"/>
          <w:caps w:val="0"/>
          <w:color w:val="auto"/>
          <w:spacing w:val="0"/>
          <w:sz w:val="21"/>
          <w:szCs w:val="21"/>
          <w:highlight w:val="none"/>
          <w:lang w:val="en-US" w:eastAsia="zh-CN"/>
        </w:rPr>
      </w:pPr>
      <w:r>
        <w:rPr>
          <w:rFonts w:hint="eastAsia" w:ascii="黑体" w:hAnsi="宋体" w:eastAsia="黑体" w:cs="黑体"/>
          <w:i w:val="0"/>
          <w:iCs w:val="0"/>
          <w:caps w:val="0"/>
          <w:color w:val="auto"/>
          <w:spacing w:val="0"/>
          <w:sz w:val="32"/>
          <w:szCs w:val="32"/>
          <w:highlight w:val="none"/>
          <w:shd w:val="clear" w:fill="FFFFFF"/>
          <w:lang w:val="en-US" w:eastAsia="zh-CN"/>
        </w:rPr>
        <w:t>六、</w:t>
      </w:r>
      <w:r>
        <w:rPr>
          <w:rFonts w:hint="eastAsia" w:ascii="黑体" w:hAnsi="宋体" w:eastAsia="黑体" w:cs="黑体"/>
          <w:i w:val="0"/>
          <w:iCs w:val="0"/>
          <w:caps w:val="0"/>
          <w:color w:val="auto"/>
          <w:spacing w:val="0"/>
          <w:sz w:val="32"/>
          <w:szCs w:val="32"/>
          <w:highlight w:val="none"/>
          <w:shd w:val="clear" w:fill="FFFFFF"/>
        </w:rPr>
        <w:t>响应文件的</w:t>
      </w:r>
      <w:r>
        <w:rPr>
          <w:rFonts w:hint="eastAsia" w:ascii="黑体" w:hAnsi="宋体" w:eastAsia="黑体" w:cs="黑体"/>
          <w:i w:val="0"/>
          <w:iCs w:val="0"/>
          <w:caps w:val="0"/>
          <w:color w:val="auto"/>
          <w:spacing w:val="0"/>
          <w:sz w:val="32"/>
          <w:szCs w:val="32"/>
          <w:highlight w:val="none"/>
          <w:shd w:val="clear" w:fill="FFFFFF"/>
          <w:lang w:val="en-US" w:eastAsia="zh-CN"/>
        </w:rPr>
        <w:t>递交和接收</w:t>
      </w:r>
    </w:p>
    <w:p w14:paraId="752F7257">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textAlignment w:val="auto"/>
        <w:outlineLvl w:val="9"/>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1.统一提交响应文件的时间：</w:t>
      </w:r>
      <w:r>
        <w:rPr>
          <w:rFonts w:hint="eastAsia" w:ascii="仿宋_GB2312" w:hAnsi="仿宋_GB2312" w:eastAsia="仿宋_GB2312" w:cs="仿宋_GB2312"/>
          <w:b w:val="0"/>
          <w:bCs w:val="0"/>
          <w:color w:val="auto"/>
          <w:kern w:val="2"/>
          <w:sz w:val="32"/>
          <w:szCs w:val="32"/>
          <w:highlight w:val="none"/>
          <w:lang w:val="en-US" w:eastAsia="zh-CN" w:bidi="ar-SA"/>
        </w:rPr>
        <w:t>2025年11月27日9时30分至9时59分59秒（北京时间）</w:t>
      </w:r>
    </w:p>
    <w:p w14:paraId="2FC2601D">
      <w:pPr>
        <w:pStyle w:val="5"/>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2.统一提交响应文件的地点：</w:t>
      </w:r>
      <w:r>
        <w:rPr>
          <w:rFonts w:hint="eastAsia" w:ascii="仿宋_GB2312" w:hAnsi="仿宋_GB2312" w:eastAsia="仿宋_GB2312" w:cs="仿宋_GB2312"/>
          <w:b w:val="0"/>
          <w:bCs w:val="0"/>
          <w:color w:val="auto"/>
          <w:kern w:val="2"/>
          <w:sz w:val="32"/>
          <w:szCs w:val="32"/>
          <w:highlight w:val="none"/>
          <w:lang w:val="en-US" w:eastAsia="zh-CN" w:bidi="ar-SA"/>
        </w:rPr>
        <w:t>安化县沿江路691号（安化县农业农村局6楼会议室）</w:t>
      </w:r>
    </w:p>
    <w:p w14:paraId="03AA68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递交响应文件的方式：现场递交，需提交以下材料：持个人身份证、公司营业执照复印件（加盖公司行政公章）、法定代表人身份证明原件或授权委托书原件（附法定代表人身份证明）、被授权委托人在本公司近三个月的社保证明。</w:t>
      </w:r>
    </w:p>
    <w:p w14:paraId="22CB91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4.供应商应在规定的时间和地点提交响应文件。采购人拒收逾期送达的响应文件。</w:t>
      </w:r>
    </w:p>
    <w:p w14:paraId="0CFF2F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5.采购人收到响应文件后，应当如实记载响应文件的送达时间和密封情况，签收保存。任何单位和个人不得在提交响应文件截止时间前开启响应文件。</w:t>
      </w:r>
    </w:p>
    <w:p w14:paraId="0E0ADB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七、开标时间、地址</w:t>
      </w:r>
    </w:p>
    <w:p w14:paraId="60E8D57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开标时间：</w:t>
      </w:r>
      <w:r>
        <w:rPr>
          <w:rFonts w:hint="eastAsia" w:ascii="仿宋_GB2312" w:hAnsi="仿宋_GB2312" w:eastAsia="仿宋_GB2312" w:cs="仿宋_GB2312"/>
          <w:b w:val="0"/>
          <w:bCs w:val="0"/>
          <w:color w:val="auto"/>
          <w:kern w:val="2"/>
          <w:sz w:val="32"/>
          <w:szCs w:val="32"/>
          <w:highlight w:val="none"/>
          <w:lang w:val="en-US" w:eastAsia="zh-CN" w:bidi="ar-SA"/>
        </w:rPr>
        <w:t>2025年11月27日10时00分</w:t>
      </w:r>
    </w:p>
    <w:p w14:paraId="3A40025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color w:val="auto"/>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开标地址：</w:t>
      </w:r>
      <w:r>
        <w:rPr>
          <w:rFonts w:hint="eastAsia" w:ascii="仿宋_GB2312" w:hAnsi="仿宋_GB2312" w:eastAsia="仿宋_GB2312" w:cs="仿宋_GB2312"/>
          <w:b w:val="0"/>
          <w:bCs w:val="0"/>
          <w:color w:val="auto"/>
          <w:kern w:val="2"/>
          <w:sz w:val="32"/>
          <w:szCs w:val="32"/>
          <w:highlight w:val="none"/>
          <w:lang w:val="en-US" w:eastAsia="zh-CN" w:bidi="ar-SA"/>
        </w:rPr>
        <w:t>安化县农业农村局六楼会议室</w:t>
      </w:r>
    </w:p>
    <w:p w14:paraId="2804611A">
      <w:pPr>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履约要求</w:t>
      </w:r>
    </w:p>
    <w:p w14:paraId="69A223D7">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审核施工单位提交进度付款资料、验收结算资料，对照实施方案图册、竣工图、工程变更联系单审核工程量清单项目完整性；对照工程量清单计价表（控制价）审核工程计价的合理性；对于审核过程发现的异议，与施工单位进行技术核对，确定正确数据，并对工程量及造价按实调整；出具审核报告书等。</w:t>
      </w:r>
    </w:p>
    <w:p w14:paraId="7BC6FB0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2.在合同履行期间，项目施工阶段需委派两名造价员进行现场全过程驻场服务（</w:t>
      </w:r>
      <w:r>
        <w:rPr>
          <w:rFonts w:hint="eastAsia" w:ascii="仿宋_GB2312" w:hAnsi="仿宋_GB2312" w:eastAsia="仿宋_GB2312" w:cs="仿宋_GB2312"/>
          <w:b/>
          <w:bCs/>
          <w:color w:val="auto"/>
          <w:kern w:val="2"/>
          <w:sz w:val="32"/>
          <w:szCs w:val="32"/>
          <w:highlight w:val="none"/>
          <w:lang w:val="en-US" w:eastAsia="zh-CN" w:bidi="ar-SA"/>
        </w:rPr>
        <w:t>实际到岗工期不少于180日历天)</w:t>
      </w:r>
      <w:r>
        <w:rPr>
          <w:rFonts w:hint="eastAsia" w:ascii="仿宋_GB2312" w:hAnsi="Times New Roman" w:eastAsia="仿宋_GB2312" w:cs="Times New Roman"/>
          <w:color w:val="auto"/>
          <w:kern w:val="2"/>
          <w:sz w:val="32"/>
          <w:szCs w:val="32"/>
          <w:highlight w:val="none"/>
          <w:lang w:val="en-US" w:eastAsia="zh-CN" w:bidi="ar-SA"/>
        </w:rPr>
        <w:t>，对项目建设予以监督并核定进度工程量、确定隐蔽工程，进度款审核需在施工方提交申请资料后三个工作日内完成。</w:t>
      </w:r>
    </w:p>
    <w:p w14:paraId="324BECD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项目完工后乙方负责项目工程量的现场验收测量及确定的准确性。项目</w:t>
      </w:r>
      <w:r>
        <w:rPr>
          <w:rFonts w:hint="eastAsia" w:ascii="仿宋_GB2312" w:hAnsi="仿宋_GB2312" w:eastAsia="仿宋_GB2312" w:cs="仿宋_GB2312"/>
          <w:b w:val="0"/>
          <w:bCs w:val="0"/>
          <w:color w:val="auto"/>
          <w:kern w:val="2"/>
          <w:sz w:val="32"/>
          <w:szCs w:val="32"/>
          <w:highlight w:val="none"/>
          <w:lang w:val="en-US" w:eastAsia="zh-CN" w:bidi="ar-SA"/>
        </w:rPr>
        <w:t>工程量现场验收分两组</w:t>
      </w:r>
      <w:r>
        <w:rPr>
          <w:rFonts w:hint="eastAsia" w:ascii="仿宋_GB2312" w:hAnsi="Times New Roman" w:eastAsia="仿宋_GB2312" w:cs="Times New Roman"/>
          <w:color w:val="auto"/>
          <w:kern w:val="2"/>
          <w:sz w:val="32"/>
          <w:szCs w:val="32"/>
          <w:highlight w:val="none"/>
          <w:lang w:val="en-US" w:eastAsia="zh-CN" w:bidi="ar-SA"/>
        </w:rPr>
        <w:t>，乙方每组</w:t>
      </w:r>
      <w:r>
        <w:rPr>
          <w:rFonts w:hint="eastAsia" w:ascii="仿宋_GB2312" w:hAnsi="仿宋_GB2312" w:eastAsia="仿宋_GB2312" w:cs="仿宋_GB2312"/>
          <w:b w:val="0"/>
          <w:bCs w:val="0"/>
          <w:color w:val="auto"/>
          <w:kern w:val="2"/>
          <w:sz w:val="32"/>
          <w:szCs w:val="32"/>
          <w:highlight w:val="none"/>
          <w:lang w:val="en-US" w:eastAsia="zh-CN" w:bidi="ar-SA"/>
        </w:rPr>
        <w:t>至少需派（含二级及以上造价工程师在内的）3人一车进行现场测量踏勘。现场踏勘工作时间至少保证45天。此外，如有实际需要，应配合甲方进行工程现场勘察和调查取证。</w:t>
      </w:r>
    </w:p>
    <w:p w14:paraId="29112EC6">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3.应按采购人要求开展工作，在工作中遵循公平、公正、合法、独立的原则，应用合理技能，维护各方合法权益，认真、细致、周到地进行服务工作。</w:t>
      </w:r>
    </w:p>
    <w:p w14:paraId="0A092833">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4.合同履行期间，涉及用车、用餐、测量、对审等相关费用由供应商自行负责。</w:t>
      </w:r>
    </w:p>
    <w:p w14:paraId="0AE3D3E7">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5.供应商须在原始验收数据收集完成后的10个工作日提供咨询服务初审成果，项目负责人及造价工程师按时参加结算审核工作例会，及时向业主汇报工作进展。有特殊情况，业主可组织召开会议咨询工作情况。</w:t>
      </w:r>
    </w:p>
    <w:p w14:paraId="15E2D1BB">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6.最终咨询服务成果需在该项目现场验收工作开始后1个月内完成。</w:t>
      </w:r>
    </w:p>
    <w:p w14:paraId="430E1AB7">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7.供应商及其负责该项目的相关工作人员不得接受除本项目成交合同价格外的与本工程造价咨询项目有关的任何报酬，不得参与可能与甲方利益相冲突的任何活动。</w:t>
      </w:r>
    </w:p>
    <w:p w14:paraId="632455F8">
      <w:pPr>
        <w:pStyle w:val="11"/>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8.供应商应及时汇报全过程跟踪情况，提交跟踪审计日志，按要求完成安化县2025年高标准农田建设项目进度款支付审核、现场验收测量、核定工程量、完成对审等，提交涉及所有项目区合格的工程造价咨询审核报告。</w:t>
      </w:r>
    </w:p>
    <w:p w14:paraId="6B87E0C3">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9.本项目采用费用包干，供应商应根据项目要求和现场情况，充分考虑设备、人工、管理、财务等所有费用，如一旦成交，在项目实施中出现任何遗漏，均由供应商成交人免费提供，采购人不再支付任何费用。</w:t>
      </w:r>
    </w:p>
    <w:p w14:paraId="55A78E1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九、响应文件的组成</w:t>
      </w:r>
    </w:p>
    <w:p w14:paraId="465651D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1.法人或者其他组织的营业执照等主体资格证明文件</w:t>
      </w:r>
    </w:p>
    <w:p w14:paraId="61E927E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2.授权委托书</w:t>
      </w:r>
    </w:p>
    <w:p w14:paraId="06647E7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color w:val="auto"/>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3.项目承诺书（详见附表）</w:t>
      </w:r>
    </w:p>
    <w:p w14:paraId="089322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4.根据湘财购〔2022〕17号文，提供《湖南省政府采购供应商资格承诺函》。</w:t>
      </w:r>
    </w:p>
    <w:p w14:paraId="4946517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5.相关主体信用记录资料（信用中国、中国政府采购网查询截图）</w:t>
      </w:r>
    </w:p>
    <w:p w14:paraId="461E9B9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6.符合特定资格条件资质证明</w:t>
      </w:r>
    </w:p>
    <w:p w14:paraId="74436C9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7.提交项目全过程造价咨询服务实施方案</w:t>
      </w:r>
    </w:p>
    <w:p w14:paraId="4950FBF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8.提供拟派人员的相应资格证书或注册证书、劳动合同、学历证明及其近6个月（指2025年5月-2025年10月）社会保险证明资料等。</w:t>
      </w:r>
    </w:p>
    <w:p w14:paraId="6B02D3D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958" w:leftChars="304" w:hanging="320" w:hangingChars="100"/>
        <w:jc w:val="left"/>
        <w:textAlignment w:val="auto"/>
        <w:rPr>
          <w:rFonts w:hint="eastAsia"/>
          <w:color w:val="auto"/>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9.业绩证明资料。</w:t>
      </w:r>
    </w:p>
    <w:p w14:paraId="073CD14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10.报价表（含项目报价组成清单）。</w:t>
      </w:r>
    </w:p>
    <w:p w14:paraId="68F190B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eastAsia="zh-CN"/>
        </w:rPr>
        <w:t>供应商认为需提供的其他资料（如有）。</w:t>
      </w:r>
    </w:p>
    <w:p w14:paraId="736A1B9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color w:val="auto"/>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12.供应商对采购人要求做出书面响应，格式不限。</w:t>
      </w:r>
    </w:p>
    <w:p w14:paraId="4E6F5BBF">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3"/>
        <w:rPr>
          <w:rFonts w:hint="default" w:ascii="黑体" w:hAnsi="黑体" w:eastAsia="黑体"/>
          <w:b w:val="0"/>
          <w:bCs w:val="0"/>
          <w:color w:val="auto"/>
          <w:sz w:val="32"/>
          <w:szCs w:val="32"/>
          <w:highlight w:val="none"/>
          <w:lang w:val="en-US" w:eastAsia="zh-CN"/>
        </w:rPr>
      </w:pPr>
      <w:r>
        <w:rPr>
          <w:rFonts w:hint="eastAsia" w:ascii="黑体" w:hAnsi="黑体" w:eastAsia="黑体"/>
          <w:b w:val="0"/>
          <w:bCs w:val="0"/>
          <w:color w:val="auto"/>
          <w:sz w:val="32"/>
          <w:szCs w:val="32"/>
          <w:highlight w:val="none"/>
          <w:lang w:val="en-US" w:eastAsia="zh-CN"/>
        </w:rPr>
        <w:t>十、</w:t>
      </w:r>
      <w:r>
        <w:rPr>
          <w:rFonts w:hint="eastAsia" w:ascii="黑体" w:hAnsi="黑体" w:eastAsia="黑体"/>
          <w:b w:val="0"/>
          <w:bCs w:val="0"/>
          <w:color w:val="auto"/>
          <w:sz w:val="32"/>
          <w:szCs w:val="32"/>
          <w:highlight w:val="none"/>
        </w:rPr>
        <w:t>响应文件的</w:t>
      </w:r>
      <w:r>
        <w:rPr>
          <w:rFonts w:hint="eastAsia" w:ascii="黑体" w:hAnsi="黑体" w:eastAsia="黑体"/>
          <w:b w:val="0"/>
          <w:bCs w:val="0"/>
          <w:color w:val="auto"/>
          <w:sz w:val="32"/>
          <w:szCs w:val="32"/>
          <w:highlight w:val="none"/>
          <w:lang w:val="en-US" w:eastAsia="zh-CN"/>
        </w:rPr>
        <w:t>签署和规定</w:t>
      </w:r>
    </w:p>
    <w:p w14:paraId="6C92CF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响应文件应密封包装</w:t>
      </w:r>
      <w:r>
        <w:rPr>
          <w:rFonts w:hint="eastAsia" w:ascii="仿宋_GB2312" w:hAnsi="仿宋_GB2312" w:eastAsia="仿宋_GB2312" w:cs="仿宋_GB2312"/>
          <w:color w:val="auto"/>
          <w:sz w:val="32"/>
          <w:szCs w:val="32"/>
          <w:highlight w:val="none"/>
          <w:lang w:val="en-US" w:eastAsia="zh-CN"/>
        </w:rPr>
        <w:t>并加盖公司行政公章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在封面应写明项目名称、采购人名称、供应商名称、供应商代表签字、编制日期。</w:t>
      </w:r>
    </w:p>
    <w:p w14:paraId="440914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响应文件应按</w:t>
      </w:r>
      <w:r>
        <w:rPr>
          <w:rFonts w:hint="eastAsia" w:ascii="仿宋_GB2312" w:hAnsi="仿宋_GB2312" w:eastAsia="仿宋_GB2312" w:cs="仿宋_GB2312"/>
          <w:color w:val="auto"/>
          <w:sz w:val="32"/>
          <w:szCs w:val="32"/>
          <w:highlight w:val="none"/>
          <w:lang w:val="en-US" w:eastAsia="zh-CN"/>
        </w:rPr>
        <w:t>竞价</w:t>
      </w:r>
      <w:r>
        <w:rPr>
          <w:rFonts w:hint="eastAsia" w:ascii="仿宋_GB2312" w:hAnsi="仿宋_GB2312" w:eastAsia="仿宋_GB2312" w:cs="仿宋_GB2312"/>
          <w:color w:val="auto"/>
          <w:sz w:val="32"/>
          <w:szCs w:val="32"/>
          <w:highlight w:val="none"/>
        </w:rPr>
        <w:t>文件要求在签章处签章盖供应商单位</w:t>
      </w:r>
      <w:r>
        <w:rPr>
          <w:rFonts w:hint="eastAsia" w:ascii="仿宋_GB2312" w:hAnsi="仿宋_GB2312" w:eastAsia="仿宋_GB2312" w:cs="仿宋_GB2312"/>
          <w:color w:val="auto"/>
          <w:sz w:val="32"/>
          <w:szCs w:val="32"/>
          <w:highlight w:val="none"/>
          <w:lang w:eastAsia="zh-CN"/>
        </w:rPr>
        <w:t>行政</w:t>
      </w:r>
      <w:r>
        <w:rPr>
          <w:rFonts w:hint="eastAsia" w:ascii="仿宋_GB2312" w:hAnsi="仿宋_GB2312" w:eastAsia="仿宋_GB2312" w:cs="仿宋_GB2312"/>
          <w:color w:val="auto"/>
          <w:sz w:val="32"/>
          <w:szCs w:val="32"/>
          <w:highlight w:val="none"/>
        </w:rPr>
        <w:t>公章和在签字处由供应商代表签字。供应商代表可为供应商法定代表人(非法人组织为负责人或合伙人、个体工商户为负责人，</w:t>
      </w:r>
      <w:r>
        <w:rPr>
          <w:rFonts w:hint="eastAsia" w:ascii="仿宋_GB2312" w:hAnsi="仿宋_GB2312" w:eastAsia="仿宋_GB2312" w:cs="仿宋_GB2312"/>
          <w:color w:val="auto"/>
          <w:sz w:val="32"/>
          <w:szCs w:val="32"/>
          <w:highlight w:val="none"/>
          <w:lang w:val="en-US" w:eastAsia="zh-CN"/>
        </w:rPr>
        <w:t>竞价</w:t>
      </w:r>
      <w:r>
        <w:rPr>
          <w:rFonts w:hint="eastAsia" w:ascii="仿宋_GB2312" w:hAnsi="仿宋_GB2312" w:eastAsia="仿宋_GB2312" w:cs="仿宋_GB2312"/>
          <w:color w:val="auto"/>
          <w:sz w:val="32"/>
          <w:szCs w:val="32"/>
          <w:highlight w:val="none"/>
        </w:rPr>
        <w:t>文件统称单位负责人)；供应商代表不是供应商的法定代表人（单位负责人）的，应提供授权委托书。</w:t>
      </w:r>
      <w:r>
        <w:rPr>
          <w:rFonts w:hint="eastAsia" w:ascii="仿宋_GB2312" w:hAnsi="仿宋_GB2312" w:eastAsia="仿宋_GB2312" w:cs="仿宋_GB2312"/>
          <w:color w:val="auto"/>
          <w:sz w:val="32"/>
          <w:szCs w:val="32"/>
          <w:highlight w:val="none"/>
          <w:lang w:val="en-US" w:eastAsia="zh-CN"/>
        </w:rPr>
        <w:t>响应文件</w:t>
      </w:r>
      <w:r>
        <w:rPr>
          <w:rFonts w:hint="eastAsia" w:ascii="仿宋_GB2312" w:hAnsi="仿宋_GB2312" w:eastAsia="仿宋_GB2312" w:cs="仿宋_GB2312"/>
          <w:color w:val="auto"/>
          <w:sz w:val="32"/>
          <w:szCs w:val="32"/>
          <w:highlight w:val="none"/>
        </w:rPr>
        <w:t>编制应按要求及顺序装订和封装并加盖骑缝章。</w:t>
      </w:r>
    </w:p>
    <w:p w14:paraId="5D3512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lang w:val="en-US" w:eastAsia="zh-CN"/>
        </w:rPr>
        <w:t>3.每个供应商递交</w:t>
      </w:r>
      <w:r>
        <w:rPr>
          <w:rFonts w:hint="eastAsia" w:ascii="仿宋_GB2312" w:hAnsi="仿宋_GB2312" w:eastAsia="仿宋_GB2312" w:cs="仿宋_GB2312"/>
          <w:color w:val="auto"/>
          <w:sz w:val="32"/>
          <w:szCs w:val="32"/>
          <w:highlight w:val="none"/>
        </w:rPr>
        <w:t>响应文件</w:t>
      </w:r>
      <w:r>
        <w:rPr>
          <w:rFonts w:hint="eastAsia" w:ascii="仿宋_GB2312" w:hAnsi="仿宋_GB2312" w:eastAsia="仿宋_GB2312" w:cs="仿宋_GB2312"/>
          <w:color w:val="auto"/>
          <w:sz w:val="32"/>
          <w:szCs w:val="32"/>
          <w:highlight w:val="none"/>
          <w:lang w:val="en-US" w:eastAsia="zh-CN"/>
        </w:rPr>
        <w:t>时需提供纸质版</w:t>
      </w:r>
      <w:r>
        <w:rPr>
          <w:rFonts w:hint="eastAsia" w:ascii="仿宋_GB2312" w:hAnsi="仿宋_GB2312" w:eastAsia="仿宋_GB2312" w:cs="仿宋_GB2312"/>
          <w:color w:val="auto"/>
          <w:sz w:val="32"/>
          <w:szCs w:val="32"/>
          <w:highlight w:val="none"/>
        </w:rPr>
        <w:t>正本</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电子文档U盘</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一份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均须按要求密封</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color w:val="auto"/>
          <w:sz w:val="32"/>
          <w:szCs w:val="32"/>
          <w:highlight w:val="none"/>
        </w:rPr>
        <w:t>响应文件</w:t>
      </w:r>
      <w:r>
        <w:rPr>
          <w:rFonts w:hint="eastAsia" w:ascii="仿宋_GB2312" w:hAnsi="仿宋_GB2312" w:eastAsia="仿宋_GB2312" w:cs="仿宋_GB2312"/>
          <w:color w:val="auto"/>
          <w:sz w:val="32"/>
          <w:szCs w:val="32"/>
          <w:highlight w:val="none"/>
          <w:lang w:val="en-US" w:eastAsia="zh-CN"/>
        </w:rPr>
        <w:t>若有</w:t>
      </w:r>
      <w:r>
        <w:rPr>
          <w:rFonts w:hint="eastAsia" w:ascii="仿宋_GB2312" w:hAnsi="仿宋_GB2312" w:eastAsia="仿宋_GB2312" w:cs="仿宋_GB2312"/>
          <w:color w:val="auto"/>
          <w:sz w:val="32"/>
          <w:szCs w:val="32"/>
          <w:highlight w:val="none"/>
        </w:rPr>
        <w:t>加行、涂改、增删等改动，改动之处应由供应商代表签字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否则，将导致</w:t>
      </w:r>
      <w:r>
        <w:rPr>
          <w:rFonts w:hint="eastAsia" w:ascii="仿宋_GB2312" w:hAnsi="仿宋_GB2312" w:eastAsia="仿宋_GB2312" w:cs="仿宋_GB2312"/>
          <w:b w:val="0"/>
          <w:bCs/>
          <w:color w:val="auto"/>
          <w:sz w:val="32"/>
          <w:szCs w:val="32"/>
          <w:highlight w:val="none"/>
        </w:rPr>
        <w:t>响应文件无效。</w:t>
      </w:r>
    </w:p>
    <w:p w14:paraId="0FEF91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响应文件提倡双面打印，供应商对</w:t>
      </w:r>
      <w:r>
        <w:rPr>
          <w:rFonts w:hint="eastAsia" w:ascii="仿宋_GB2312" w:hAnsi="仿宋_GB2312" w:eastAsia="仿宋_GB2312" w:cs="仿宋_GB2312"/>
          <w:b w:val="0"/>
          <w:bCs/>
          <w:color w:val="auto"/>
          <w:sz w:val="32"/>
          <w:szCs w:val="32"/>
          <w:highlight w:val="none"/>
          <w:lang w:val="en-US" w:eastAsia="zh-CN"/>
        </w:rPr>
        <w:t>竞价</w:t>
      </w:r>
      <w:r>
        <w:rPr>
          <w:rFonts w:hint="eastAsia" w:ascii="仿宋_GB2312" w:hAnsi="仿宋_GB2312" w:eastAsia="仿宋_GB2312" w:cs="仿宋_GB2312"/>
          <w:b w:val="0"/>
          <w:bCs/>
          <w:color w:val="auto"/>
          <w:sz w:val="32"/>
          <w:szCs w:val="32"/>
          <w:highlight w:val="none"/>
        </w:rPr>
        <w:t>响应文件的编制应按要求及顺序装订和封装并加盖骑缝章。</w:t>
      </w:r>
    </w:p>
    <w:p w14:paraId="486EB9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 xml:space="preserve">十一、其它需要说明的事项 </w:t>
      </w:r>
    </w:p>
    <w:p w14:paraId="2C73538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1. 付款方式在全过程造价咨询服务合同中约定。 </w:t>
      </w:r>
    </w:p>
    <w:p w14:paraId="62E106E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 其它未尽事宜具体在全过程造价咨询服务合同中约定。</w:t>
      </w:r>
    </w:p>
    <w:p w14:paraId="3893772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十二、评审程序</w:t>
      </w:r>
    </w:p>
    <w:p w14:paraId="054494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1.本项目由采购人组织成立专家评审组进行评审。</w:t>
      </w:r>
    </w:p>
    <w:p w14:paraId="7661C9D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2.评审地点为安化县农业农村局（沿河路691号）六楼会议室。</w:t>
      </w:r>
    </w:p>
    <w:p w14:paraId="73A3523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递交响应文件时间截止后，在形成1:3竞争比例的前提下（未形成竞争比例视为流标），由专家评审组对供应商响应文件现场拆封，按照客观、公正、审慎的原则，根据竞价文件规定的程序和要求对各供应商提交的响应文件进行独立评审。</w:t>
      </w:r>
    </w:p>
    <w:p w14:paraId="0252E18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专家评审组应当从满足竞价文件实质性响应要求的供应商中，按照报价由低到高的顺序提出3名成交候选人。采购人应当在收到评审结果后2个工作日内，从专家评审组提出的成交候选人中，根据满足竞价文件实质性响应要求且报价最低的原则确定成交供应商，并将成交结果在安化县人民政府门户网站上公示，公示期为1个工作日。</w:t>
      </w:r>
    </w:p>
    <w:p w14:paraId="65F971B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十三、异议处理</w:t>
      </w:r>
    </w:p>
    <w:p w14:paraId="6765485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1.供应商或者其他利害关系人对成交结果有异议的，应当在公示期间以书面形式提出，异议应当有明确的请求和必要的证明材料，采购人将在3个工作日内作出答复。超过异议时效的，采购人不予受理。</w:t>
      </w:r>
    </w:p>
    <w:p w14:paraId="322C9C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2.递交异议文件的地点和方式：安化县农业农村局农田建设股（望江路13号），需提交以下材料：异议材料、佐证文件、人员证明材料等。</w:t>
      </w:r>
    </w:p>
    <w:p w14:paraId="79B6820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十四、联系方式</w:t>
      </w:r>
    </w:p>
    <w:p w14:paraId="68668DF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招标人：安化县农业农村局</w:t>
      </w:r>
    </w:p>
    <w:p w14:paraId="102DC83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地 址：益阳市东坪镇望江路13号</w:t>
      </w:r>
    </w:p>
    <w:p w14:paraId="08F7E9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联系人：莫泽东</w:t>
      </w:r>
    </w:p>
    <w:p w14:paraId="6CC63C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联系电话：13973676570</w:t>
      </w:r>
    </w:p>
    <w:p w14:paraId="32449170">
      <w:pPr>
        <w:pStyle w:val="2"/>
        <w:rPr>
          <w:rFonts w:hint="eastAsia" w:ascii="仿宋_GB2312" w:hAnsi="仿宋_GB2312" w:eastAsia="仿宋_GB2312" w:cs="仿宋_GB2312"/>
          <w:b w:val="0"/>
          <w:bCs w:val="0"/>
          <w:color w:val="auto"/>
          <w:kern w:val="2"/>
          <w:sz w:val="32"/>
          <w:szCs w:val="32"/>
          <w:highlight w:val="none"/>
          <w:lang w:val="en-US" w:eastAsia="zh-CN" w:bidi="ar-SA"/>
        </w:rPr>
      </w:pPr>
    </w:p>
    <w:p w14:paraId="39441FD0">
      <w:pPr>
        <w:pStyle w:val="11"/>
        <w:pageBreakBefore w:val="0"/>
        <w:kinsoku/>
        <w:wordWrap/>
        <w:overflowPunct/>
        <w:topLinePunct w:val="0"/>
        <w:autoSpaceDE/>
        <w:autoSpaceDN/>
        <w:bidi w:val="0"/>
        <w:spacing w:line="560" w:lineRule="exact"/>
        <w:ind w:left="0" w:leftChars="0" w:firstLine="0" w:firstLineChars="0"/>
        <w:jc w:val="right"/>
        <w:rPr>
          <w:rFonts w:hint="default" w:ascii="仿宋_GB2312" w:hAnsi="仿宋_GB2312" w:eastAsia="仿宋_GB2312" w:cs="仿宋_GB2312"/>
          <w:b w:val="0"/>
          <w:bCs w:val="0"/>
          <w:color w:val="auto"/>
          <w:kern w:val="2"/>
          <w:sz w:val="32"/>
          <w:szCs w:val="32"/>
          <w:highlight w:val="none"/>
          <w:lang w:val="en-US" w:eastAsia="zh-CN" w:bidi="ar-SA"/>
        </w:rPr>
      </w:pPr>
    </w:p>
    <w:p w14:paraId="38DECEDC">
      <w:pPr>
        <w:pStyle w:val="11"/>
        <w:pageBreakBefore w:val="0"/>
        <w:kinsoku/>
        <w:wordWrap/>
        <w:overflowPunct/>
        <w:topLinePunct w:val="0"/>
        <w:autoSpaceDE/>
        <w:autoSpaceDN/>
        <w:bidi w:val="0"/>
        <w:spacing w:line="560" w:lineRule="exact"/>
        <w:ind w:left="0" w:leftChars="0" w:firstLine="0" w:firstLineChars="0"/>
        <w:jc w:val="right"/>
        <w:rPr>
          <w:rFonts w:hint="default" w:ascii="仿宋_GB2312" w:hAnsi="仿宋_GB2312" w:eastAsia="仿宋_GB2312" w:cs="仿宋_GB2312"/>
          <w:b w:val="0"/>
          <w:bCs w:val="0"/>
          <w:color w:val="auto"/>
          <w:kern w:val="2"/>
          <w:sz w:val="32"/>
          <w:szCs w:val="32"/>
          <w:highlight w:val="none"/>
          <w:lang w:val="en-US" w:eastAsia="zh-CN" w:bidi="ar-SA"/>
        </w:rPr>
      </w:pPr>
    </w:p>
    <w:p w14:paraId="6E282E4E">
      <w:pPr>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br w:type="page"/>
      </w:r>
    </w:p>
    <w:p w14:paraId="0E4E3CBB">
      <w:pPr>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bookmarkStart w:id="0" w:name="_GoBack"/>
      <w:bookmarkEnd w:id="0"/>
      <w:r>
        <w:rPr>
          <w:rFonts w:hint="eastAsia" w:ascii="黑体" w:hAnsi="黑体" w:eastAsia="黑体" w:cs="黑体"/>
          <w:color w:val="auto"/>
          <w:sz w:val="32"/>
          <w:szCs w:val="32"/>
          <w:highlight w:val="none"/>
          <w:lang w:val="en-US" w:eastAsia="zh-CN"/>
        </w:rPr>
        <w:t>附表</w:t>
      </w:r>
    </w:p>
    <w:p w14:paraId="1D6CD85E">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项目承诺书</w:t>
      </w:r>
    </w:p>
    <w:p w14:paraId="18410CDD">
      <w:pPr>
        <w:pStyle w:val="2"/>
        <w:pageBreakBefore w:val="0"/>
        <w:kinsoku/>
        <w:wordWrap/>
        <w:overflowPunct/>
        <w:topLinePunct w:val="0"/>
        <w:autoSpaceDE/>
        <w:autoSpaceDN/>
        <w:bidi w:val="0"/>
        <w:adjustRightInd/>
        <w:snapToGrid/>
        <w:spacing w:before="0" w:after="0" w:line="240" w:lineRule="auto"/>
        <w:textAlignment w:val="auto"/>
        <w:rPr>
          <w:rFonts w:hint="eastAsia"/>
          <w:color w:val="auto"/>
          <w:highlight w:val="none"/>
          <w:lang w:val="en-US" w:eastAsia="zh-CN"/>
        </w:rPr>
      </w:pPr>
    </w:p>
    <w:p w14:paraId="4AC8F089">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安化县农业农村局：</w:t>
      </w:r>
    </w:p>
    <w:p w14:paraId="25ADFFD3">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我公司                参与安化县2025年高标准农田建设项目全过程跟踪审计服务竞价，若竞价成功，特此承诺如下，如有违反，业主有权解除合同，并追究法律责任：</w:t>
      </w:r>
    </w:p>
    <w:p w14:paraId="2104004D">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一、恪守独立、客观、公正的执业原则，遵守审核法律、法规、制度规定及执业规范要求，在规定时间内出具审核报告，保证审核结论的合法性、真实性、科学性。</w:t>
      </w:r>
    </w:p>
    <w:p w14:paraId="55E18FA3">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严格实行回避制度，选派能够胜任并且与项目单位没有利益关系的专业人员参与审核工作。搜集充分准确的证据，编制详细完整的工作底稿，完善审核内部控制、复核体系，保证所有审核工作符合相关行业规范的规定。</w:t>
      </w:r>
    </w:p>
    <w:p w14:paraId="439537A2">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三、对项目涉及的所有内容履行保密义务。未经贵局同意，我公司不向任何单位或个人披露项目的有关信息，不对外提供、泄漏或公开审核的有关情况。</w:t>
      </w:r>
    </w:p>
    <w:p w14:paraId="02ABF89F">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四、我公司对派出参与本次结算审核工作的专业人员实行全过程监督管理，保证不发生下列行为：</w:t>
      </w:r>
    </w:p>
    <w:p w14:paraId="7C8B40E3">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 提供的信息、资料可能损害国家利益及浪费公共资源；</w:t>
      </w:r>
    </w:p>
    <w:p w14:paraId="3C9D94EF">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 故意提供虚假信息、资料，出具虚假审核报告、证明文件及其他文件；</w:t>
      </w:r>
    </w:p>
    <w:p w14:paraId="421811EE">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 接受相关当事人的宴请和赠礼；</w:t>
      </w:r>
    </w:p>
    <w:p w14:paraId="7759EE24">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(四) 索取合同约定以外的酬金或其他财物，或者利用便利谋取其他不正当利益；</w:t>
      </w:r>
    </w:p>
    <w:p w14:paraId="5F363982">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(五) 采取欺诈、胁迫、贿赂、串通等非法手段，损害委托人或他人利益；</w:t>
      </w:r>
    </w:p>
    <w:p w14:paraId="36318F3A">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(六) 强行或变相强行推销商品、提供服务；</w:t>
      </w:r>
    </w:p>
    <w:p w14:paraId="7CD90A5B">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(七) 对项目单位实行歧视性待遇；</w:t>
      </w:r>
    </w:p>
    <w:p w14:paraId="3CB0547C">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(八) 擅自收取项目单位资料或调整审核内容范围。</w:t>
      </w:r>
    </w:p>
    <w:p w14:paraId="613D4B73">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4F88D046">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69374305">
      <w:pPr>
        <w:pageBreakBefore w:val="0"/>
        <w:widowControl/>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公  章：</w:t>
      </w:r>
    </w:p>
    <w:p w14:paraId="707AE594">
      <w:pPr>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法定代表人：</w:t>
      </w:r>
    </w:p>
    <w:p w14:paraId="4FEED46F">
      <w:pPr>
        <w:pageBreakBefore w:val="0"/>
        <w:widowControl/>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日  期：</w:t>
      </w:r>
    </w:p>
    <w:p w14:paraId="269AC206">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28D2B116">
      <w:pPr>
        <w:rPr>
          <w:color w:val="auto"/>
          <w:highlight w:val="none"/>
        </w:rPr>
      </w:pPr>
    </w:p>
    <w:p w14:paraId="2B5DFBC4">
      <w:pPr>
        <w:rPr>
          <w:color w:val="auto"/>
          <w:highlight w:val="none"/>
        </w:rPr>
      </w:pPr>
    </w:p>
    <w:sectPr>
      <w:footerReference r:id="rId3" w:type="default"/>
      <w:pgSz w:w="11906" w:h="16838"/>
      <w:pgMar w:top="2041"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52E1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C17D438">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2C17D438">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D257F"/>
    <w:multiLevelType w:val="singleLevel"/>
    <w:tmpl w:val="539D257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D0037"/>
    <w:rsid w:val="04EB58CA"/>
    <w:rsid w:val="089B57AE"/>
    <w:rsid w:val="0CB57209"/>
    <w:rsid w:val="0D455F3A"/>
    <w:rsid w:val="25BC3478"/>
    <w:rsid w:val="2A824361"/>
    <w:rsid w:val="2D8B7182"/>
    <w:rsid w:val="2F4F64B6"/>
    <w:rsid w:val="398B4AA4"/>
    <w:rsid w:val="3C0D0037"/>
    <w:rsid w:val="44B235F5"/>
    <w:rsid w:val="4F2E6945"/>
    <w:rsid w:val="5CB41B1B"/>
    <w:rsid w:val="740550A4"/>
    <w:rsid w:val="77567F4C"/>
    <w:rsid w:val="79F72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BodyText1I2"/>
    <w:basedOn w:val="9"/>
    <w:next w:val="1"/>
    <w:autoRedefine/>
    <w:qFormat/>
    <w:uiPriority w:val="0"/>
    <w:pPr>
      <w:ind w:firstLine="420" w:firstLineChars="200"/>
    </w:pPr>
  </w:style>
  <w:style w:type="paragraph" w:customStyle="1" w:styleId="9">
    <w:name w:val="BodyTextIndent"/>
    <w:basedOn w:val="1"/>
    <w:next w:val="10"/>
    <w:autoRedefine/>
    <w:qFormat/>
    <w:uiPriority w:val="0"/>
    <w:pPr>
      <w:spacing w:after="120"/>
      <w:ind w:left="420" w:leftChars="200"/>
      <w:textAlignment w:val="baseline"/>
    </w:pPr>
    <w:rPr>
      <w:rFonts w:ascii="Times New Roman" w:hAnsi="Times New Roman" w:eastAsia="宋体"/>
    </w:rPr>
  </w:style>
  <w:style w:type="paragraph" w:customStyle="1" w:styleId="10">
    <w:name w:val="BodyTextIndent2"/>
    <w:basedOn w:val="1"/>
    <w:autoRedefine/>
    <w:qFormat/>
    <w:uiPriority w:val="0"/>
    <w:pPr>
      <w:spacing w:after="120" w:line="480" w:lineRule="auto"/>
      <w:ind w:left="420" w:leftChars="200"/>
      <w:textAlignment w:val="baseline"/>
    </w:pPr>
    <w:rPr>
      <w:rFonts w:ascii="Times New Roman" w:hAnsi="Times New Roman" w:eastAsia="宋体"/>
    </w:rPr>
  </w:style>
  <w:style w:type="paragraph" w:customStyle="1" w:styleId="11">
    <w:name w:val="正文格式"/>
    <w:basedOn w:val="1"/>
    <w:autoRedefine/>
    <w:qFormat/>
    <w:uiPriority w:val="0"/>
    <w:pPr>
      <w:widowControl/>
      <w:adjustRightInd w:val="0"/>
      <w:snapToGrid w:val="0"/>
      <w:spacing w:line="360" w:lineRule="auto"/>
      <w:ind w:firstLine="527"/>
      <w:textAlignment w:val="baseline"/>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3956</Words>
  <Characters>4218</Characters>
  <Lines>0</Lines>
  <Paragraphs>0</Paragraphs>
  <TotalTime>24</TotalTime>
  <ScaleCrop>false</ScaleCrop>
  <LinksUpToDate>false</LinksUpToDate>
  <CharactersWithSpaces>4264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2025-10-25T12:57:00Z</dcterms:created>
  <dc:creator>陌上银雪 JMY</dc:creator>
  <cp:lastModifiedBy>锦瑟</cp:lastModifiedBy>
  <dcterms:modified xsi:type="dcterms:W3CDTF">2025-11-21T12:07:12Z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765044DCB25E4FB5BD82F8639EB65504_13</vt:lpwstr>
  </property>
  <property fmtid="{D5CDD505-2E9C-101B-9397-08002B2CF9AE}" pid="4" name="KSOTemplateDocerSaveRecord">
    <vt:lpwstr>eyJoZGlkIjoiNGRiZjA4YzFlNjI1MjNiMjEyOGQ5MWNiNGNkNWMzMjEiLCJ1c2VySWQiOiIyMjM2NjQ5MjkifQ==</vt:lpwstr>
  </property>
</Properties>
</file>