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附件4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b/>
          <w:bCs/>
          <w:spacing w:val="24"/>
          <w:sz w:val="51"/>
          <w:szCs w:val="51"/>
        </w:rPr>
      </w:pPr>
      <w:r>
        <w:rPr>
          <w:rFonts w:hint="eastAsia" w:ascii="黑体" w:hAnsi="黑体" w:eastAsia="黑体" w:cs="黑体"/>
          <w:b/>
          <w:bCs/>
          <w:spacing w:val="24"/>
          <w:sz w:val="51"/>
          <w:szCs w:val="51"/>
        </w:rPr>
        <w:t>2024年度安化县</w:t>
      </w:r>
      <w:r>
        <w:rPr>
          <w:rFonts w:hint="eastAsia" w:ascii="黑体" w:hAnsi="黑体" w:eastAsia="黑体" w:cs="黑体"/>
          <w:b/>
          <w:bCs/>
          <w:spacing w:val="24"/>
          <w:sz w:val="51"/>
          <w:szCs w:val="51"/>
          <w:lang w:eastAsia="zh-CN"/>
        </w:rPr>
        <w:t>教育局</w:t>
      </w:r>
      <w:r>
        <w:rPr>
          <w:rFonts w:hint="eastAsia" w:ascii="黑体" w:hAnsi="黑体" w:eastAsia="黑体" w:cs="黑体"/>
          <w:b/>
          <w:bCs/>
          <w:spacing w:val="24"/>
          <w:sz w:val="51"/>
          <w:szCs w:val="51"/>
        </w:rPr>
        <w:t>整体支出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51"/>
          <w:szCs w:val="51"/>
        </w:rPr>
        <w:t>绩效自评报告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7"/>
          <w:szCs w:val="37"/>
          <w:u w:val="single"/>
          <w:lang w:val="en-US" w:eastAsia="zh-CN"/>
        </w:rPr>
      </w:pPr>
      <w:r>
        <w:rPr>
          <w:rFonts w:hint="eastAsia" w:ascii="黑体" w:hAnsi="黑体" w:eastAsia="黑体" w:cs="黑体"/>
          <w:b/>
          <w:bCs/>
          <w:spacing w:val="24"/>
          <w:sz w:val="37"/>
          <w:szCs w:val="37"/>
        </w:rPr>
        <w:t>申报单位(盖章):</w:t>
      </w:r>
      <w:r>
        <w:rPr>
          <w:rFonts w:hint="eastAsia" w:ascii="黑体" w:hAnsi="黑体" w:eastAsia="黑体" w:cs="黑体"/>
          <w:b/>
          <w:bCs/>
          <w:spacing w:val="24"/>
          <w:sz w:val="37"/>
          <w:szCs w:val="37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24"/>
          <w:sz w:val="37"/>
          <w:szCs w:val="37"/>
          <w:u w:val="single"/>
        </w:rPr>
        <w:t>安化县</w:t>
      </w:r>
      <w:r>
        <w:rPr>
          <w:rFonts w:hint="eastAsia" w:ascii="黑体" w:hAnsi="黑体" w:eastAsia="黑体" w:cs="黑体"/>
          <w:b/>
          <w:bCs/>
          <w:spacing w:val="24"/>
          <w:sz w:val="37"/>
          <w:szCs w:val="37"/>
          <w:u w:val="single"/>
          <w:lang w:eastAsia="zh-CN"/>
        </w:rPr>
        <w:t>教育局</w:t>
      </w:r>
      <w:r>
        <w:rPr>
          <w:rFonts w:hint="eastAsia" w:ascii="黑体" w:hAnsi="黑体" w:eastAsia="黑体" w:cs="黑体"/>
          <w:b/>
          <w:bCs/>
          <w:spacing w:val="24"/>
          <w:sz w:val="37"/>
          <w:szCs w:val="37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b w:val="0"/>
          <w:bCs w:val="0"/>
          <w:spacing w:val="24"/>
          <w:sz w:val="31"/>
          <w:szCs w:val="31"/>
        </w:rPr>
      </w:pPr>
      <w:r>
        <w:rPr>
          <w:rFonts w:hint="eastAsia" w:ascii="黑体" w:hAnsi="黑体" w:eastAsia="黑体" w:cs="黑体"/>
          <w:b w:val="0"/>
          <w:bCs w:val="0"/>
          <w:spacing w:val="24"/>
          <w:sz w:val="31"/>
          <w:szCs w:val="31"/>
        </w:rPr>
        <w:t>2025年04月08日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b/>
          <w:bCs/>
          <w:spacing w:val="24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pacing w:val="24"/>
          <w:sz w:val="44"/>
          <w:szCs w:val="44"/>
        </w:rPr>
        <w:t>2024年度安化县</w:t>
      </w:r>
      <w:r>
        <w:rPr>
          <w:rFonts w:hint="eastAsia" w:ascii="黑体" w:hAnsi="黑体" w:eastAsia="黑体" w:cs="黑体"/>
          <w:b/>
          <w:bCs/>
          <w:spacing w:val="24"/>
          <w:sz w:val="44"/>
          <w:szCs w:val="44"/>
          <w:lang w:eastAsia="zh-CN"/>
        </w:rPr>
        <w:t>教育局</w:t>
      </w:r>
      <w:r>
        <w:rPr>
          <w:rFonts w:hint="eastAsia" w:ascii="黑体" w:hAnsi="黑体" w:eastAsia="黑体" w:cs="黑体"/>
          <w:b/>
          <w:bCs/>
          <w:spacing w:val="24"/>
          <w:sz w:val="44"/>
          <w:szCs w:val="44"/>
        </w:rPr>
        <w:t>整体支出绩效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一、部门(单位)基本情况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</w:pPr>
      <w:r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  <w:t>(一)2024年度重点工作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1.贯彻执行国家和省、市有关教育工作的法律、法规、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和政策、制度。研究提出并指导、协调和监督实施全县教育改革和教育事业发展计划。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2.负责全县各级各类教育事业统筹规划、协调管理，会同有关部门制定全县各级各类学校的设置标准，指导全县学校布局调整；指导全县各级各类学校的教育教学改革，负责教育基本信息的统计、分析与发布。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3.负责管理和指导全县基础教育、职业技术教育、成人教育、幼儿教育、特殊教育、社会力量办学等工作。推动素质教育全面实施。负责推进义务教育均衡发展和促进教育公平。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.统筹管理各类学历教育的招生考试和学籍工作，贯彻落实各类招生考试计划，负责教育人才的管理与服务工作。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.指导全县各类学校的思想政治工作、德育工作、体育与艺术教育及国防教育工作，统筹指导和协调教育系统的安全与稳定工作。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.依法管理全县教师队伍，统筹规划全县教师队伍建设，负责教师队伍的培训，主管教师职称评聘工作；负责全县教职工绩效考核工作。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.配合有关部门拟定教育系统劳动、工资、人事教育管理工作的具体办法和规章制度。指导全县各级教育行政干部队伍建设。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参与拟定全县教育经费筹措，教育拨款，教育基建投资政策和规划、事业经费、人员编制和统配物资设备的管理制度。依法依规管理和使用教育经费。负责统计和监测全县教育经费的投入和使用情况，指导管理全县资助经济困难学生工作，指导、组织实施教育系统内部审计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.统筹管理全县语言文字工作，指导推广普通话和规范学校普通话师资培训工作；负责全县教育、教学研究工作，负责全县各类教育的质量评估工作。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.完成县委、县人民政府交办的其他任务。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</w:pPr>
      <w:r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  <w:t>(二)部门整体支出规模、使用方向、主要内容和涉及范围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2024年度整体支出总额3535.73万元，其中财政拨款收入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2718.91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万元，占总收入的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%。主要内容和涉及范围：人员经费包括基本工资、津贴补贴、奖金、其他社会保障缴费、退休费生活补助、住房公积金等；日常公用经费包括办公费、差旅费、培训费、公务接待费、劳务费、工会经费、福利费、公务用车运行维护费、其他交通费用、其他商品和服务支出等；涉及人员经费、保障基本运转、开展各项专项业务工作、精准扶贫、党建所发生的全部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二、一般公共预算支出情况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</w:pPr>
      <w:r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  <w:t>(一)基本支出情况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基本支出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1496.62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万元，是为保障各部门正常运转、完成日常工作任务而发生的各项支出，主要包括工资福利支出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1319.25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万元，商品和服务支出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125.27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万元，对个人和家庭支出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51.76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万元，资本性支出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0.35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“三公”经费支出情况：2024年“三公”经费完成0万元，比上年增加0万元。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</w:pPr>
      <w:r>
        <w:rPr>
          <w:rFonts w:hint="eastAsia" w:ascii="楷体_GB2312" w:hAnsi="楷体_GB2312" w:eastAsia="楷体_GB2312" w:cs="楷体_GB2312"/>
          <w:b/>
          <w:bCs/>
          <w:spacing w:val="24"/>
          <w:sz w:val="31"/>
          <w:szCs w:val="31"/>
        </w:rPr>
        <w:t>(二)项目支出情况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项目支出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1109.82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万元，包含：业务工作经费以及运行维护经费等。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三、政府性基金预算支出情况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年本部门政府性基金支出预算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四、国有资本经营预算支出情况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年本部门无国有资本经营预算的支出。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五、社会保险基金预算支出情况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2023年本部门无社会保险基金预算的支出。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六、部门整体支出绩效情况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2024年度支出总额3535.73万元，其中基本支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eastAsia="zh-CN"/>
        </w:rPr>
        <w:t>出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1496.62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万元，基本支出保障了单位正常运转的日常支出，包括基本工资、津贴补贴等人员经费以及办公费、水电费、差旅费等日常公用经费；项目支出金额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  <w:lang w:val="en-US" w:eastAsia="zh-CN"/>
        </w:rPr>
        <w:t>2039.10</w:t>
      </w: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七、存在的问题及原因分析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部门预算的人员经费和公用经费不足。单位日常运转的刚性支出大，现有的部门预算资金不能满足日益增长的工作需要。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八、下一步改进措施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对存在的问题提出切实可行的改进措施和有关建议等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1、加强财务管理，严格财务审核。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2、对相关人员加强培训，切实提高财务人员业务水平。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九、绩效自评结果拟应用和公开情况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暂未公开。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8" w:firstLineChars="200"/>
        <w:textAlignment w:val="baseline"/>
        <w:rPr>
          <w:rFonts w:hint="eastAsia" w:ascii="黑体" w:hAnsi="黑体" w:eastAsia="黑体" w:cs="黑体"/>
          <w:b/>
          <w:bCs/>
          <w:spacing w:val="24"/>
          <w:sz w:val="31"/>
          <w:szCs w:val="31"/>
        </w:rPr>
      </w:pP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十</w:t>
      </w:r>
      <w:r>
        <w:rPr>
          <w:rFonts w:hint="eastAsia" w:ascii="黑体" w:hAnsi="黑体" w:eastAsia="黑体" w:cs="黑体"/>
          <w:b/>
          <w:bCs/>
          <w:spacing w:val="24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spacing w:val="24"/>
          <w:sz w:val="31"/>
          <w:szCs w:val="31"/>
        </w:rPr>
        <w:t>其他需要说明的情况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16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24"/>
          <w:sz w:val="31"/>
          <w:szCs w:val="31"/>
        </w:rPr>
        <w:t>无。</w:t>
      </w:r>
    </w:p>
    <w:sectPr>
      <w:pgSz w:w="12080" w:h="16920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D3C3C64"/>
    <w:rsid w:val="0D7673CB"/>
    <w:rsid w:val="20A759A6"/>
    <w:rsid w:val="3708698B"/>
    <w:rsid w:val="3D506593"/>
    <w:rsid w:val="483719BA"/>
    <w:rsid w:val="4B786A47"/>
    <w:rsid w:val="65C210C6"/>
    <w:rsid w:val="75FB6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1504</Words>
  <Characters>1638</Characters>
  <TotalTime>0</TotalTime>
  <ScaleCrop>false</ScaleCrop>
  <LinksUpToDate>false</LinksUpToDate>
  <CharactersWithSpaces>1645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2025-04-08T09:49:00Z</dcterms:created>
  <dc:creator>Administrator</dc:creator>
  <cp:lastModifiedBy>Administrator</cp:lastModifiedBy>
  <cp:lastPrinted>2025-04-23T02:59:00Z</cp:lastPrinted>
  <dcterms:modified xsi:type="dcterms:W3CDTF">2025-04-25T01:52:36Z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2025-04-08T09:49:28Z</vt:filetime>
  </property>
  <property fmtid="{D5CDD505-2E9C-101B-9397-08002B2CF9AE}" pid="4" name="UsrData">
    <vt:lpwstr>67f480a5df67f300202e1d26wl</vt:lpwstr>
  </property>
  <property fmtid="{D5CDD505-2E9C-101B-9397-08002B2CF9AE}" pid="5" name="KSOTemplateDocerSaveRecord">
    <vt:lpwstr>eyJoZGlkIjoiY2M3ZTgzZWM3YjJjMDJhN2EyYzA0ODA4NGY5Y2VhNTAiLCJ1c2VySWQiOiIxNDQ5NjY5ODE4In0=</vt:lpwstr>
  </property>
  <property fmtid="{D5CDD505-2E9C-101B-9397-08002B2CF9AE}" pid="6" name="KSOProductBuildVer">
    <vt:lpwstr>2052-11.1.0.10938</vt:lpwstr>
  </property>
  <property fmtid="{D5CDD505-2E9C-101B-9397-08002B2CF9AE}" pid="7" name="ICV">
    <vt:lpwstr>54CD358431444D95AA9AB63E957F6B4E</vt:lpwstr>
  </property>
</Properties>
</file>