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C188A">
      <w:pPr>
        <w:spacing w:line="580" w:lineRule="exact"/>
        <w:jc w:val="center"/>
        <w:rPr>
          <w:rFonts w:hint="eastAsia" w:eastAsia="宋体"/>
          <w:sz w:val="44"/>
          <w:szCs w:val="44"/>
          <w:lang w:val="en-US" w:eastAsia="zh-CN"/>
        </w:rPr>
      </w:pPr>
    </w:p>
    <w:p w14:paraId="60A0F041">
      <w:pPr>
        <w:spacing w:line="580" w:lineRule="exact"/>
        <w:jc w:val="center"/>
        <w:rPr>
          <w:sz w:val="44"/>
          <w:szCs w:val="44"/>
        </w:rPr>
      </w:pPr>
    </w:p>
    <w:p w14:paraId="6AE19C77">
      <w:pPr>
        <w:spacing w:line="580" w:lineRule="exact"/>
        <w:jc w:val="center"/>
        <w:rPr>
          <w:sz w:val="44"/>
          <w:szCs w:val="44"/>
        </w:rPr>
      </w:pPr>
    </w:p>
    <w:p w14:paraId="5FB01BF7">
      <w:pPr>
        <w:spacing w:line="580" w:lineRule="exact"/>
        <w:jc w:val="both"/>
        <w:rPr>
          <w:sz w:val="44"/>
          <w:szCs w:val="44"/>
        </w:rPr>
      </w:pPr>
    </w:p>
    <w:p w14:paraId="55D0B314">
      <w:pPr>
        <w:spacing w:line="580" w:lineRule="exact"/>
        <w:jc w:val="center"/>
        <w:rPr>
          <w:sz w:val="44"/>
          <w:szCs w:val="44"/>
        </w:rPr>
      </w:pPr>
    </w:p>
    <w:p w14:paraId="06944F11">
      <w:pPr>
        <w:spacing w:line="580" w:lineRule="exact"/>
        <w:jc w:val="center"/>
        <w:rPr>
          <w:sz w:val="44"/>
          <w:szCs w:val="44"/>
        </w:rPr>
      </w:pPr>
    </w:p>
    <w:p w14:paraId="508B5AFC">
      <w:pPr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</w:t>
      </w:r>
      <w:r>
        <w:rPr>
          <w:rFonts w:hint="eastAsia" w:ascii="仿宋_GB2312" w:eastAsia="仿宋_GB2312"/>
          <w:sz w:val="32"/>
          <w:szCs w:val="32"/>
          <w:lang w:eastAsia="zh-CN"/>
        </w:rPr>
        <w:t>茶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号</w:t>
      </w:r>
    </w:p>
    <w:p w14:paraId="25098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仿宋_GB2312" w:hAnsi="仿宋" w:eastAsia="仿宋_GB2312"/>
          <w:sz w:val="32"/>
          <w:szCs w:val="32"/>
        </w:rPr>
      </w:pPr>
    </w:p>
    <w:p w14:paraId="18AD7CE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kern w:val="2"/>
          <w:sz w:val="44"/>
          <w:szCs w:val="44"/>
          <w:lang w:val="en-US" w:eastAsia="zh-CN" w:bidi="ar-SA"/>
        </w:rPr>
        <w:t>关于2026—2027年茶产业项目库遴选的通知</w:t>
      </w:r>
    </w:p>
    <w:p w14:paraId="2C3119BE">
      <w:pPr>
        <w:pStyle w:val="2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</w:p>
    <w:p w14:paraId="54F4A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0"/>
          <w:sz w:val="32"/>
          <w:szCs w:val="32"/>
          <w:lang w:val="en-US" w:eastAsia="zh-CN" w:bidi="ar-SA"/>
        </w:rPr>
        <w:t>各乡镇、县城南区、安化经开区、茶叶企业：</w:t>
      </w:r>
    </w:p>
    <w:p w14:paraId="40D3E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紧扣“三茶”统筹发展要求，锚定高质量发展主线，健全现代茶产业发展体系，攻坚化解发展堵点弱项、持续放大特色竞争优势，以转型升级、提质增效为核心抓手，完成由茶叶大县向茶业强县的质变跨越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现将2026—2027年茶产业项目库遴选有关事宜通知如下：</w:t>
      </w:r>
    </w:p>
    <w:p w14:paraId="65BA60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、申报条件</w:t>
      </w:r>
    </w:p>
    <w:p w14:paraId="3B6B47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default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乡镇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为单位，选择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具有合法合规经营资质的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企业和合作社进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行申报。建立土地、资金、技术、人才等要素保障机制和协调推进机制，确保项目尽快实施见效。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原则上，重点产茶乡镇（仙溪镇、小淹镇、江南镇、田庄乡、马路镇、烟溪镇）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和安化经开区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推荐的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项目不超过6个，其他乡镇和县城南区推荐的项目不超过3个（可以弃权），且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均需纳入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2026-2027年茶产业项目库，项目实施主体需全面落实不少于3种联农带农机制（见附件1）。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每个项目财政资金和自筹资金的配比要求1：1以上。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同一项目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不能在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同级或同类财政资金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重复申报。</w:t>
      </w:r>
    </w:p>
    <w:p w14:paraId="1A211B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申报主体需申报主体须具备良好社会信用，近三年无重大违法违规行为、无严重失信惩戒记录，未纳入失信联合惩戒名单；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近一年内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没有发生重大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安全生产责任事故，或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重大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安全生产隐患拒不整改的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7F2B84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、建设内容</w:t>
      </w:r>
    </w:p>
    <w:p w14:paraId="12B72A9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1.标准化茶园建设。支持集成配套水肥一体化、机械采摘等标准化生产技术，加强茶园基础设施建设，建设一批“三品一标”基地、出口基地、新式茶饮原料基地。组建专业化社会服务团队，提高生产效率。</w:t>
      </w:r>
    </w:p>
    <w:p w14:paraId="711252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2.溯源体系建设。支持根据茶园现有实际情况及设施条件按需配备全要素监测终端，深度融合茶园分级精细化管理、全链条闭环溯源、全维度风险智能防控。</w:t>
      </w:r>
    </w:p>
    <w:p w14:paraId="28242B0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3.生产加工设备提质升级。支持企业引进新式茶饮、创新产品生产线，提升加工效率和产品品质稳定性。鼓励研发调味茶、功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能茶饮、茶食品、茶日化等新产品，延长产业链。</w:t>
      </w:r>
    </w:p>
    <w:p w14:paraId="616F385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4.现代化仓储建设。支持配套智能温控除湿、自动化分拣、立体货架、智慧物流调度等现代化仓储技术，加强冷链配套、装卸平台等基础设施建设，降低茶叶仓储损耗率，保障茶叶品质稳定。</w:t>
      </w:r>
    </w:p>
    <w:p w14:paraId="5C547C3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5.深化茶文旅融合发展。围绕“泡在安化·茶养人生”主题，塑造24小时健康茶生活特色文旅品牌，打造湖南茶文旅融合体验胜地。创新培育采茶体验、黑茶研学、茶山康养等“茶+”沉浸式新业态，提升产业综合效益。</w:t>
      </w:r>
    </w:p>
    <w:p w14:paraId="351FC8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  <w:t>、申报程序</w:t>
      </w:r>
    </w:p>
    <w:p w14:paraId="36B92B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实行“企业自主申报、乡镇初审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推荐、专家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答辩评审”的竞争性申报机制，全程公开、公平、公正，具体流程如下：</w:t>
      </w:r>
    </w:p>
    <w:p w14:paraId="619E5F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0" w:name="heading_8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（一）企业自主申报</w:t>
      </w:r>
      <w:bookmarkEnd w:id="0"/>
    </w:p>
    <w:p w14:paraId="6250AB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县域内符合申报条件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且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具备茶产业项目实施能力的茶叶企业、农民专业合作社等经营主体，对照本通知要求，自主梳理项目建设内容、联农带农举措、资金使用计划，规范编制项目申报书、分年度项目表、绩效目标表等全套申报资料，确保资料真实完整、内容贴合产业实际、符合政策申报标准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202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年拟实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施项目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原则上需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提前纳入县级巩固拓展脱贫攻坚成果和乡村振兴项目库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，建设时间为2026年6-11月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。</w:t>
      </w:r>
    </w:p>
    <w:p w14:paraId="3D8090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1" w:name="heading_9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（二）乡镇初审推荐</w:t>
      </w:r>
      <w:bookmarkEnd w:id="1"/>
    </w:p>
    <w:p w14:paraId="225C83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各乡镇人民政府对辖区内企业提交的申报资料进行全面初审，重点核查申报主体资质、项目真实性、建设可行性、资料完整性及是否存在违规失信等问题。严格对照申报条件逐一把关，对符合要求的项目择优排序、出具正式推荐意见；对资料不全、条件不符、可行性不足的项目予以退回并说明理由。初审完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成后，乡镇统一汇总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推荐名单及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项目资料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于2026年6月29日（星期一）下班前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报送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县茶产业发展服务中心科技创新股（联系人：夏之雨，18700499342，公职人员），推荐名单需以正式行文的方式报送。</w:t>
      </w:r>
    </w:p>
    <w:p w14:paraId="116C00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2" w:name="heading_10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（三）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专家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评审</w:t>
      </w:r>
      <w:bookmarkEnd w:id="2"/>
    </w:p>
    <w:p w14:paraId="411639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由工作专班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邀请县内外相关专家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组织开展项目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现场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集中评审答辩工作。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各乡镇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主要负责人围绕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辖区茶产业发展基础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发展规划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，结合推荐申报项目进行陈述。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申报企业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进行项目答辩，重点阐述项目建设方案、产业提质举措、资金筹措使用、联农带农实效、预期绩效目标等核心内容，并现场解答专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评审提问。评审专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严格按照统一评分标准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评审实行百分制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，从主体资质、项目可行性、建设创新性、联农带农成效、资金绩效、产业带动能力等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方面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进行现场打分、综合评议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pacing w:val="0"/>
          <w:w w:val="100"/>
          <w:kern w:val="0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根据现场得分结果确定县级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入围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项目名单，完成县域项目择优遴选工作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。</w:t>
      </w:r>
    </w:p>
    <w:p w14:paraId="2E1883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  <w:t>、工作要求</w:t>
      </w:r>
    </w:p>
    <w:p w14:paraId="265743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3" w:name="heading_13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（一）健全县级工作推进机制</w:t>
      </w:r>
      <w:bookmarkEnd w:id="3"/>
    </w:p>
    <w:p w14:paraId="42D1F3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由县茶产业发展服务中心牵头，联合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县农业农村局、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县库区移民事务中心、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县财政局、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县发改局、县农业农村局派驻纪检组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成立工作专班，统筹负责全县茶产业项目申报、评审立项、落地实施、进度调度、督导核查、绩效评估、总结推广等全流程工作。建立县级常态化调度、定期会商、年度评估机制，及时破解茶园改造、加工升级、品牌建设、联农带农、资金使用等重点难点问题。</w:t>
      </w:r>
    </w:p>
    <w:p w14:paraId="58BA6D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4" w:name="heading_14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（二）严格专项资金监管</w:t>
      </w:r>
      <w:bookmarkEnd w:id="4"/>
    </w:p>
    <w:p w14:paraId="3CC3A9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建立常态化资金监管、台账管理、绩效管控机制，严格执行专款专用，严禁截留、挤占、挪用、虚报套取资金，严禁使用专项资金支付中介费用。</w:t>
      </w:r>
      <w:bookmarkStart w:id="5" w:name="heading_15"/>
    </w:p>
    <w:bookmarkEnd w:id="5"/>
    <w:p w14:paraId="16FAEB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</w:pPr>
      <w:bookmarkStart w:id="6" w:name="heading_16"/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三</w:t>
      </w:r>
      <w:r>
        <w:rPr>
          <w:rFonts w:hint="eastAsia" w:ascii="楷体_GB2312" w:hAnsi="楷体_GB2312" w:eastAsia="楷体_GB2312" w:cs="楷体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）强化政策宣传与经验推广</w:t>
      </w:r>
      <w:bookmarkEnd w:id="6"/>
    </w:p>
    <w:p w14:paraId="1CA87A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多渠道、多形式开展茶产业扶持政策解读，提升企业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合作社、茶农政策知晓率。常态化总结我县茶园标准化建设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精深加工、联农带农、三产融合的优秀经验，打造一批可复制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100"/>
          <w:kern w:val="0"/>
          <w:position w:val="0"/>
          <w:sz w:val="32"/>
          <w:szCs w:val="32"/>
          <w:lang w:val="en-US" w:eastAsia="en-US" w:bidi="ar-SA"/>
        </w:rPr>
        <w:t>可推广的安化黑茶产业发展样板。</w:t>
      </w:r>
    </w:p>
    <w:p w14:paraId="2F74122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</w:p>
    <w:p w14:paraId="3074392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附件：1.联农带农要求</w:t>
      </w:r>
    </w:p>
    <w:p w14:paraId="12223FEB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1600" w:firstLineChars="5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申报书模板及附表</w:t>
      </w:r>
    </w:p>
    <w:p w14:paraId="6DA910B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500" w:right="0" w:rightChars="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</w:p>
    <w:p w14:paraId="60C89F9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500" w:right="0" w:rightChars="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</w:p>
    <w:p w14:paraId="46A4FEA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500" w:right="0" w:rightChars="0" w:firstLine="3200" w:firstLineChars="1000"/>
        <w:jc w:val="righ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安化县茶产业发展服务中心</w:t>
      </w:r>
    </w:p>
    <w:p w14:paraId="1537A8B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500" w:right="0" w:rightChars="0" w:firstLine="3200" w:firstLineChars="1000"/>
        <w:jc w:val="left"/>
        <w:textAlignment w:val="baseline"/>
        <w:outlineLvl w:val="9"/>
        <w:rPr>
          <w:rFonts w:hint="default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 xml:space="preserve">          2026年6月22日</w:t>
      </w:r>
    </w:p>
    <w:p w14:paraId="442EA155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4D3B6A4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019DDD65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1BCFEB5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6C390A4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  <w:bookmarkStart w:id="7" w:name="_GoBack"/>
      <w:bookmarkEnd w:id="7"/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  <w:t>附件1</w:t>
      </w:r>
    </w:p>
    <w:p w14:paraId="3543E0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center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</w:p>
    <w:p w14:paraId="0A768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position w:val="0"/>
          <w:sz w:val="44"/>
          <w:szCs w:val="44"/>
        </w:rPr>
        <w:t>联农带农要求</w:t>
      </w:r>
    </w:p>
    <w:p w14:paraId="480A3A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44"/>
          <w:szCs w:val="44"/>
        </w:rPr>
      </w:pPr>
    </w:p>
    <w:p w14:paraId="70CDF41E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每个项目原则上要建立不少于3种利益联结机制。</w:t>
      </w:r>
    </w:p>
    <w:p w14:paraId="7D756B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（以下3种方式中必须选择2种以上）</w:t>
      </w:r>
    </w:p>
    <w:p w14:paraId="0657B05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①吸纳就业。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项目主体吸纳农村劳动力〔优先保障脱贫劳动力（含监测对象，下同）〕长期就业或季节性务工，合理确定工资水平，规范用工合同，明确用工时间、工资标准和工资发放方式。项目实施期内，项目主体发放给农村劳动力的工资额度达到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资金支持额度的30%（含）以上，其中发放给脱贫劳动力的工资额度达到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资金支持额度的15%（含）以上，且通过实施项目新增脱贫劳动力就业，原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则上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按项目资金量（同时选择入股分红方式的，不包括入股资金）不低于1人/10万元折算（非完整数值，按四舍五入处理）。发放工资需保留必要的银行转账或其他支付记录，作为项目验收完成获得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资金支持的依据。</w:t>
      </w:r>
    </w:p>
    <w:p w14:paraId="2A24AD9E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②订单收购。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项目主体与农户（优先保障脱贫户、监测户）开展订单生产，统一提供种苗、技术、农资、收购等服务，签订农产品购销合同或协议，明确期限、 内容、方式等，形成稳定的购销关系。项目实施期内，项目主体通过此种方式给农户带来的直接收益达到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资金支持额度的20%（含）以上，其中给脱贫户带来的直接收益达到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资金支持额度的10%（含）以上。提供种苗、农资按市场价计算农户收益，收购产品按照支付给农户的资金计算农户收益。</w:t>
      </w:r>
    </w:p>
    <w:p w14:paraId="34D74F5B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③保底收益+入股分红。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将一定额度的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资金（不低于项目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获得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的40%）进行折股量化，与项目主体签订协议，明确受益对象（优先脱贫人口，且不低于受益对象总数的50%）、合作期限、保底收益比例、收益发放形式、分红兑现时限等。合作期限原则上不得少于3年。约定的保底收益比例要尊重市场规律，原则上不得低于6% 。受益对象为村集体的，相关收益的二次分配工作参照扶贫项目资产后续管理规定执行，并向脱贫户倾斜。约定协议到期后收回入股本金，确权到户的退还农户鼓励重新发展产业，确权到村的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，由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县级统筹在权属所在村重新实施产业项目。对于入股资金额度较大的项目，要采取建立资金共管账户、进行抵押担保等方式保障资金安全。</w:t>
      </w:r>
    </w:p>
    <w:p w14:paraId="208672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（以下4种方式中任选1项以上，确保单个项目联农带农机制不少于3项）</w:t>
      </w:r>
    </w:p>
    <w:p w14:paraId="45F18A36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④资产租赁。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使用一定额度的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资金（不得少于项目获得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的20%）形成经营性资产（如生产设备、生产厂房、生产基地等），确权到村集体，与项目主体签订协议，明确合作期限、租金额度、租金动态调整方式等。村集体获得租金收益要明确具体分配方案，具体使用范围参照扶贫项目资产后续管理有关规定执行，并向脱贫户倾斜。使用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资金形成的资产不得重复享受其他财政补贴。</w:t>
      </w:r>
    </w:p>
    <w:p w14:paraId="1B771AD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⑤托养托管。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对于无技术且自身劳动能力较弱的脱贫户，按照2000元/人的标准，将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委托给项目主体，签订“托养托管”协议，享受产业发展分红。协议期限原则上不得少于3年。分红比例可适当高于第3种联农带农方式“保底收益+入股分红”的比例。“托养托管”脱贫户数，由企业实施的项目不得少于20户、专业合作社及农业社会化服务组织等实施的项目不得少于10户。协议到期后，本金应退还脱贫户或重新约定“托养托管”相关事宜。</w:t>
      </w:r>
    </w:p>
    <w:p w14:paraId="368C23F3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⑥配套服务。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对有生产经营服务需求的农户，提供农业技术推广、农机作业、植物保护、优良品种、适用技术、农产品质量把关、疫病防治、供求信息、产品营销、烘干加工和仓储物流等服务，实行服务费用减免，帮助农户降低发展产业成本。减免的服务费用按照市场价计算，达到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资金支持额度的10%（含） 以上。</w:t>
      </w:r>
    </w:p>
    <w:p w14:paraId="6700F80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w w:val="100"/>
          <w:position w:val="0"/>
          <w:sz w:val="32"/>
          <w:szCs w:val="32"/>
        </w:rPr>
        <w:t>⑦其他方式。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</w:rPr>
        <w:t>对农户（优先保障脱贫户）拥有的闲置或低效利用的土地（山场、水面）等资源进行流转或租赁，实行实物计租货币结算、租金动态调整等计价方式，让农户获得稳定租金收入，或对农户（优先保障脱贫户）开展产前、产中、产后免费规范化的培训服务和指导（1 年不少于2次），提升技术水平，增加经营性收入。</w:t>
      </w:r>
    </w:p>
    <w:p w14:paraId="54BC70E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3283C44B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</w:pPr>
    </w:p>
    <w:p w14:paraId="75C7F6B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left"/>
        <w:textAlignment w:val="baseline"/>
        <w:outlineLvl w:val="9"/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0"/>
          <w:w w:val="100"/>
          <w:position w:val="0"/>
          <w:sz w:val="32"/>
          <w:szCs w:val="32"/>
          <w:lang w:val="en-US" w:eastAsia="zh-CN"/>
        </w:rPr>
        <w:t>2</w:t>
      </w:r>
    </w:p>
    <w:p w14:paraId="58D54A1C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37583D1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4901137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0EE72F2C">
      <w:pPr>
        <w:keepNext w:val="0"/>
        <w:keepLines w:val="0"/>
        <w:pageBreakBefore w:val="0"/>
        <w:widowControl/>
        <w:tabs>
          <w:tab w:val="left" w:pos="245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jc w:val="center"/>
        <w:textAlignment w:val="baseline"/>
        <w:rPr>
          <w:rFonts w:hint="eastAsia" w:ascii="微软雅黑" w:hAnsi="微软雅黑" w:eastAsia="微软雅黑" w:cs="微软雅黑"/>
          <w:sz w:val="47"/>
          <w:szCs w:val="47"/>
          <w:lang w:eastAsia="zh-CN"/>
        </w:rPr>
      </w:pPr>
      <w:r>
        <w:rPr>
          <w:rFonts w:ascii="微软雅黑" w:hAnsi="微软雅黑" w:eastAsia="微软雅黑" w:cs="微软雅黑"/>
          <w:spacing w:val="5"/>
          <w:sz w:val="35"/>
          <w:szCs w:val="35"/>
          <w:u w:val="single" w:color="auto"/>
        </w:rPr>
        <w:t>（</w:t>
      </w:r>
      <w:r>
        <w:rPr>
          <w:rFonts w:hint="eastAsia" w:ascii="微软雅黑" w:hAnsi="微软雅黑" w:eastAsia="微软雅黑" w:cs="微软雅黑"/>
          <w:spacing w:val="5"/>
          <w:sz w:val="35"/>
          <w:szCs w:val="35"/>
          <w:u w:val="single" w:color="auto"/>
          <w:lang w:eastAsia="zh-CN"/>
        </w:rPr>
        <w:t>项目名称</w:t>
      </w:r>
      <w:r>
        <w:rPr>
          <w:rFonts w:ascii="微软雅黑" w:hAnsi="微软雅黑" w:eastAsia="微软雅黑" w:cs="微软雅黑"/>
          <w:spacing w:val="5"/>
          <w:sz w:val="35"/>
          <w:szCs w:val="35"/>
          <w:u w:val="single" w:color="auto"/>
        </w:rPr>
        <w:t>）</w:t>
      </w:r>
      <w:r>
        <w:rPr>
          <w:rFonts w:ascii="微软雅黑" w:hAnsi="微软雅黑" w:eastAsia="微软雅黑" w:cs="微软雅黑"/>
          <w:spacing w:val="35"/>
          <w:sz w:val="31"/>
          <w:szCs w:val="31"/>
          <w:u w:val="single" w:color="auto"/>
        </w:rPr>
        <w:t xml:space="preserve">  </w:t>
      </w:r>
      <w:r>
        <w:rPr>
          <w:rFonts w:ascii="微软雅黑" w:hAnsi="微软雅黑" w:eastAsia="微软雅黑" w:cs="微软雅黑"/>
          <w:spacing w:val="-65"/>
          <w:sz w:val="31"/>
          <w:szCs w:val="31"/>
          <w:u w:val="single" w:color="auto"/>
        </w:rPr>
        <w:t xml:space="preserve"> </w:t>
      </w:r>
      <w:r>
        <w:rPr>
          <w:rFonts w:hint="eastAsia" w:ascii="微软雅黑" w:hAnsi="微软雅黑" w:eastAsia="微软雅黑" w:cs="微软雅黑"/>
          <w:spacing w:val="-15"/>
          <w:sz w:val="47"/>
          <w:szCs w:val="47"/>
          <w:lang w:eastAsia="zh-CN"/>
        </w:rPr>
        <w:t>项目</w:t>
      </w:r>
    </w:p>
    <w:p w14:paraId="77989D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firstLine="1440" w:firstLineChars="300"/>
        <w:jc w:val="center"/>
        <w:textAlignment w:val="baseline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5"/>
          <w:sz w:val="47"/>
          <w:szCs w:val="47"/>
        </w:rPr>
        <w:t>建设方案</w:t>
      </w:r>
      <w:r>
        <w:rPr>
          <w:rFonts w:ascii="微软雅黑" w:hAnsi="微软雅黑" w:eastAsia="微软雅黑" w:cs="微软雅黑"/>
          <w:spacing w:val="5"/>
          <w:sz w:val="35"/>
          <w:szCs w:val="35"/>
        </w:rPr>
        <w:t>（模板）</w:t>
      </w:r>
    </w:p>
    <w:p w14:paraId="69B141E6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00C0E49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0E70557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2582F52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3B361A7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2B51E39D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0473655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2D43745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2845BABC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196EE4CA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</w:pPr>
    </w:p>
    <w:p w14:paraId="7D7E9E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firstLine="355" w:firstLineChars="100"/>
        <w:jc w:val="center"/>
        <w:textAlignment w:val="baseline"/>
        <w:rPr>
          <w:rFonts w:hint="default" w:ascii="Times New Roman" w:hAnsi="Times New Roman" w:eastAsia="宋体" w:cs="Times New Roman"/>
          <w:b/>
          <w:bCs/>
          <w:spacing w:val="2"/>
          <w:sz w:val="35"/>
          <w:szCs w:val="35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pacing w:val="2"/>
          <w:sz w:val="35"/>
          <w:szCs w:val="35"/>
          <w:lang w:val="en-US" w:eastAsia="zh-CN"/>
        </w:rPr>
        <w:t>XX公司</w:t>
      </w:r>
      <w:r>
        <w:rPr>
          <w:rFonts w:hint="default" w:ascii="Times New Roman" w:hAnsi="Times New Roman" w:eastAsia="宋体" w:cs="Times New Roman"/>
          <w:b/>
          <w:bCs/>
          <w:spacing w:val="2"/>
          <w:sz w:val="35"/>
          <w:szCs w:val="35"/>
          <w:lang w:val="en-US" w:eastAsia="zh-CN"/>
        </w:rPr>
        <w:t>/</w:t>
      </w:r>
      <w:r>
        <w:rPr>
          <w:rFonts w:hint="eastAsia" w:ascii="Times New Roman" w:hAnsi="Times New Roman" w:eastAsia="宋体" w:cs="Times New Roman"/>
          <w:b/>
          <w:bCs/>
          <w:spacing w:val="2"/>
          <w:sz w:val="35"/>
          <w:szCs w:val="35"/>
          <w:lang w:val="en-US" w:eastAsia="zh-CN"/>
        </w:rPr>
        <w:t>合作社</w:t>
      </w:r>
    </w:p>
    <w:p w14:paraId="117D5B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jc w:val="center"/>
        <w:textAlignment w:val="baseline"/>
        <w:rPr>
          <w:rFonts w:ascii="楷体" w:hAnsi="楷体" w:eastAsia="楷体" w:cs="楷体"/>
          <w:sz w:val="35"/>
          <w:szCs w:val="35"/>
        </w:rPr>
      </w:pPr>
      <w:r>
        <w:rPr>
          <w:rFonts w:hint="eastAsia" w:ascii="Times New Roman" w:hAnsi="Times New Roman" w:eastAsia="宋体" w:cs="Times New Roman"/>
          <w:b/>
          <w:bCs/>
          <w:spacing w:val="3"/>
          <w:sz w:val="35"/>
          <w:szCs w:val="35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  <w:sz w:val="35"/>
          <w:szCs w:val="35"/>
        </w:rPr>
        <w:t>202</w:t>
      </w:r>
      <w:r>
        <w:rPr>
          <w:rFonts w:hint="eastAsia" w:ascii="Times New Roman" w:hAnsi="Times New Roman" w:eastAsia="宋体" w:cs="Times New Roman"/>
          <w:b/>
          <w:bCs/>
          <w:spacing w:val="3"/>
          <w:sz w:val="35"/>
          <w:szCs w:val="35"/>
          <w:lang w:val="en-US" w:eastAsia="zh-CN"/>
        </w:rPr>
        <w:t>6</w:t>
      </w:r>
      <w:r>
        <w:rPr>
          <w:rFonts w:ascii="楷体" w:hAnsi="楷体" w:eastAsia="楷体" w:cs="楷体"/>
          <w:b/>
          <w:bCs/>
          <w:spacing w:val="3"/>
          <w:sz w:val="35"/>
          <w:szCs w:val="35"/>
        </w:rPr>
        <w:t>年</w:t>
      </w:r>
      <w:r>
        <w:rPr>
          <w:rFonts w:ascii="Times New Roman" w:hAnsi="Times New Roman" w:eastAsia="Times New Roman" w:cs="Times New Roman"/>
          <w:b/>
          <w:bCs/>
          <w:spacing w:val="3"/>
          <w:sz w:val="35"/>
          <w:szCs w:val="35"/>
        </w:rPr>
        <w:t>**</w:t>
      </w:r>
      <w:r>
        <w:rPr>
          <w:rFonts w:ascii="楷体" w:hAnsi="楷体" w:eastAsia="楷体" w:cs="楷体"/>
          <w:b/>
          <w:bCs/>
          <w:spacing w:val="3"/>
          <w:sz w:val="35"/>
          <w:szCs w:val="35"/>
        </w:rPr>
        <w:t>月</w:t>
      </w:r>
      <w:r>
        <w:rPr>
          <w:rFonts w:ascii="Times New Roman" w:hAnsi="Times New Roman" w:eastAsia="Times New Roman" w:cs="Times New Roman"/>
          <w:b/>
          <w:bCs/>
          <w:spacing w:val="3"/>
          <w:sz w:val="35"/>
          <w:szCs w:val="35"/>
        </w:rPr>
        <w:t>**</w:t>
      </w:r>
      <w:r>
        <w:rPr>
          <w:rFonts w:ascii="楷体" w:hAnsi="楷体" w:eastAsia="楷体" w:cs="楷体"/>
          <w:b/>
          <w:bCs/>
          <w:spacing w:val="3"/>
          <w:sz w:val="35"/>
          <w:szCs w:val="35"/>
        </w:rPr>
        <w:t>日</w:t>
      </w:r>
    </w:p>
    <w:p w14:paraId="7CC68C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/>
        <w:textAlignment w:val="baseline"/>
        <w:rPr>
          <w:rFonts w:ascii="楷体" w:hAnsi="楷体" w:eastAsia="楷体" w:cs="楷体"/>
          <w:sz w:val="35"/>
          <w:szCs w:val="35"/>
        </w:rPr>
        <w:sectPr>
          <w:footerReference r:id="rId3" w:type="default"/>
          <w:pgSz w:w="11906" w:h="16839"/>
          <w:pgMar w:top="2098" w:right="1474" w:bottom="1984" w:left="1587" w:header="0" w:footer="0" w:gutter="0"/>
          <w:pgNumType w:fmt="decimal"/>
          <w:cols w:space="720" w:num="1"/>
        </w:sectPr>
      </w:pPr>
    </w:p>
    <w:p w14:paraId="2AAF91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一、基本情况</w:t>
      </w:r>
    </w:p>
    <w:p w14:paraId="7A62D0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本项目位于某某乡镇某某村，为什么要实施该项目，建设时间计划从什么时候起至什么时候止。</w:t>
      </w:r>
    </w:p>
    <w:p w14:paraId="636FF2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二、</w:t>
      </w: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绩效</w:t>
      </w:r>
      <w:r>
        <w:rPr>
          <w:rFonts w:ascii="黑体" w:hAnsi="黑体" w:eastAsia="黑体" w:cs="黑体"/>
          <w:spacing w:val="0"/>
          <w:sz w:val="32"/>
          <w:szCs w:val="32"/>
        </w:rPr>
        <w:t>目标</w:t>
      </w:r>
    </w:p>
    <w:p w14:paraId="3DF559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提出项目的建设思路、总体目标。包括项目建设完成后预期实现的经济效益，标准化生产和精深加工能力提升、经营主体培育、品牌打造等目标。</w:t>
      </w:r>
    </w:p>
    <w:p w14:paraId="5C464E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三、建设内容</w:t>
      </w:r>
    </w:p>
    <w:p w14:paraId="10FB6A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根据企业基础和发展实际，按照建设思路目标，阐述项目建设期内拟推进的建设内容（如厂房扩建、原材料、机器设备采购等，内容需具体到设备类型及数量），建设内容需详细区分建设年度。</w:t>
      </w:r>
    </w:p>
    <w:p w14:paraId="6F208C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四、联农带农</w:t>
      </w:r>
    </w:p>
    <w:p w14:paraId="58F1D9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详细阐述企业当前所申报项目计划采用主要的联农带农机制和模式，计划帮扶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XX户农户，其中XX户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脱贫（监测）户，每户脱贫（监测）户分红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XX元/万元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，采取的什么帮扶方式（如委托帮扶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人，或入股分红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人，或提供就业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人，或通过发放物资等方式直接帮扶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人等）；并列出承担项目建设的企业联农带农创新做法。</w:t>
      </w:r>
    </w:p>
    <w:p w14:paraId="7DA9C1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ascii="黑体" w:hAnsi="黑体" w:eastAsia="黑体" w:cs="黑体"/>
          <w:spacing w:val="0"/>
          <w:sz w:val="32"/>
          <w:szCs w:val="32"/>
        </w:rPr>
        <w:t>五、资金筹措</w:t>
      </w:r>
    </w:p>
    <w:p w14:paraId="1C9580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分类梳理社会金融资金、各级财政资金、企业自筹资金 等的筹措情况（具体列出财政资金支付哪些内容，自筹资金支付哪些内容），</w:t>
      </w:r>
      <w:r>
        <w:rPr>
          <w:rFonts w:hint="eastAsia" w:ascii="仿宋_GB2312" w:hAnsi="仿宋_GB2312" w:eastAsia="仿宋_GB2312" w:cs="仿宋_GB2312"/>
          <w:spacing w:val="0"/>
          <w:w w:val="100"/>
          <w:position w:val="0"/>
          <w:sz w:val="32"/>
          <w:szCs w:val="32"/>
          <w:lang w:val="en-US" w:eastAsia="zh-CN"/>
        </w:rPr>
        <w:t>财政资金和自筹资金的配比要求1：1以上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18CAC5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六</w:t>
      </w:r>
      <w:r>
        <w:rPr>
          <w:rFonts w:ascii="黑体" w:hAnsi="黑体" w:eastAsia="黑体" w:cs="黑体"/>
          <w:spacing w:val="0"/>
          <w:sz w:val="32"/>
          <w:szCs w:val="32"/>
        </w:rPr>
        <w:t>、其他需要说明的情况</w:t>
      </w:r>
    </w:p>
    <w:p w14:paraId="44FB28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企业近三年来以来是否出现过涉黑涉恶事件、202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年至今重大农产品质量安全事故、安全生产事故等不良记录；不履行帮扶协议；严重挤占挪用涉农资金；在帮扶产业考核、督查、检查、审计中发现存在重大问题。</w:t>
      </w:r>
    </w:p>
    <w:p w14:paraId="2272A5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</w:p>
    <w:p w14:paraId="2AD600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包括但不限于以下材料：</w:t>
      </w:r>
    </w:p>
    <w:p w14:paraId="5D6765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1.公司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合作社营业执照</w:t>
      </w:r>
    </w:p>
    <w:p w14:paraId="0FA985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2.公司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合作社2025年度的财务报表</w:t>
      </w:r>
    </w:p>
    <w:p w14:paraId="7077C6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3.公司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合作社2025年度联农带农相关证明资料（合同、支付记录等）</w:t>
      </w:r>
    </w:p>
    <w:p w14:paraId="203C9E75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4.公司</w:t>
      </w:r>
      <w:r>
        <w:rPr>
          <w:rFonts w:hint="default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合作社2026年茶叶鲜叶收购证明资料（合同、支付记录等）</w:t>
      </w:r>
    </w:p>
    <w:p w14:paraId="711A84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5.公司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合作社无违法违纪、不良记录等证明</w:t>
      </w:r>
    </w:p>
    <w:p w14:paraId="23C9BA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left"/>
        <w:textAlignment w:val="baseline"/>
        <w:rPr>
          <w:rFonts w:hint="eastAsia" w:eastAsia="宋体"/>
          <w:lang w:val="en-US" w:eastAsia="zh-CN"/>
        </w:rPr>
        <w:sectPr>
          <w:footerReference r:id="rId4" w:type="default"/>
          <w:pgSz w:w="11905" w:h="16838"/>
          <w:pgMar w:top="1984" w:right="1474" w:bottom="1701" w:left="1587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0"/>
          <w:cols w:space="720" w:num="1"/>
          <w:rtlGutter w:val="0"/>
          <w:docGrid w:type="lines" w:linePitch="313" w:charSpace="0"/>
        </w:sect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6.公司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合作社“信用中国”征信报告</w:t>
      </w:r>
    </w:p>
    <w:p w14:paraId="531D5344">
      <w:pP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/>
        </w:rPr>
      </w:pPr>
    </w:p>
    <w:sectPr>
      <w:footerReference r:id="rId5" w:type="default"/>
      <w:pgSz w:w="11906" w:h="16839"/>
      <w:pgMar w:top="1701" w:right="1474" w:bottom="1587" w:left="1587" w:header="0" w:footer="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856EBD-6C2E-4A44-A1DF-D1F3B31AF0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100A5A-C349-491F-BFCE-745A9659494E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F9AD1F-864A-49C2-92A9-48869D4A81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E4441FDF-69EB-4665-ABF4-4E3339B7E30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C7DD74A-90C0-44F6-8F68-5BEB9C23A9A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9BD479F9-E3EF-44DD-8BF9-ED6B848BA98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74935AC5-FEF5-48B7-BDDB-2B55C7635B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112F0">
    <w:pPr>
      <w:pStyle w:val="10"/>
      <w:spacing w:before="0" w:beforeLines="451" w:beforeAutospacing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52779A">
                          <w:pPr>
                            <w:pStyle w:val="1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52779A">
                    <w:pPr>
                      <w:pStyle w:val="1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9D61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18365"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18365"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276">
    <w:pPr>
      <w:pStyle w:val="10"/>
      <w:spacing w:before="0" w:beforeLines="451" w:beforeAutospacing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158B6"/>
    <w:rsid w:val="05D5215C"/>
    <w:rsid w:val="0689553F"/>
    <w:rsid w:val="104E7BD5"/>
    <w:rsid w:val="122740D0"/>
    <w:rsid w:val="156FA11B"/>
    <w:rsid w:val="198729C4"/>
    <w:rsid w:val="1A9E7C8E"/>
    <w:rsid w:val="1D79637A"/>
    <w:rsid w:val="20743197"/>
    <w:rsid w:val="22FF6A08"/>
    <w:rsid w:val="279B5BEA"/>
    <w:rsid w:val="27E039A2"/>
    <w:rsid w:val="28C260CD"/>
    <w:rsid w:val="2C1D125C"/>
    <w:rsid w:val="32584CBD"/>
    <w:rsid w:val="34E807CE"/>
    <w:rsid w:val="37332A92"/>
    <w:rsid w:val="38EB273B"/>
    <w:rsid w:val="39542882"/>
    <w:rsid w:val="3DFBF468"/>
    <w:rsid w:val="3FBF2D59"/>
    <w:rsid w:val="40D82164"/>
    <w:rsid w:val="43840D3B"/>
    <w:rsid w:val="439B6E64"/>
    <w:rsid w:val="44893AD3"/>
    <w:rsid w:val="4F8C310F"/>
    <w:rsid w:val="50B51E03"/>
    <w:rsid w:val="59653445"/>
    <w:rsid w:val="59FF49B7"/>
    <w:rsid w:val="5A1530F9"/>
    <w:rsid w:val="5E1F70B7"/>
    <w:rsid w:val="624E10B1"/>
    <w:rsid w:val="66FFD0B9"/>
    <w:rsid w:val="69532247"/>
    <w:rsid w:val="72F73E32"/>
    <w:rsid w:val="73B32972"/>
    <w:rsid w:val="74E97E9C"/>
    <w:rsid w:val="777A458B"/>
    <w:rsid w:val="793EFAAC"/>
    <w:rsid w:val="EFF7B758"/>
    <w:rsid w:val="FBFF921E"/>
    <w:rsid w:val="FD5FBBFF"/>
    <w:rsid w:val="FF770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spacing w:beforeLines="0" w:beforeAutospacing="0" w:afterLines="100" w:afterAutospacing="0" w:line="700" w:lineRule="exact"/>
      <w:jc w:val="center"/>
      <w:outlineLvl w:val="0"/>
    </w:pPr>
    <w:rPr>
      <w:rFonts w:ascii="Calibri" w:hAnsi="Calibri" w:eastAsia="方正大标宋简体" w:cs="Times New Roman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widowControl/>
      <w:spacing w:before="320" w:beforeAutospacing="0" w:after="120" w:afterAutospacing="0" w:line="288" w:lineRule="auto"/>
      <w:ind w:left="0"/>
      <w:jc w:val="left"/>
      <w:outlineLvl w:val="1"/>
    </w:pPr>
    <w:rPr>
      <w:rFonts w:hint="default" w:ascii="Arial" w:hAnsi="Arial" w:eastAsia="等线" w:cs="Arial"/>
      <w:b/>
      <w:bCs/>
      <w:kern w:val="0"/>
      <w:sz w:val="32"/>
      <w:szCs w:val="32"/>
      <w:lang w:val="en-US" w:eastAsia="zh-CN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cs="黑体"/>
    </w:rPr>
  </w:style>
  <w:style w:type="paragraph" w:styleId="5">
    <w:name w:val="toa heading"/>
    <w:basedOn w:val="1"/>
    <w:next w:val="1"/>
    <w:qFormat/>
    <w:uiPriority w:val="0"/>
    <w:rPr>
      <w:rFonts w:ascii="Cambria" w:hAnsi="Cambria"/>
      <w:kern w:val="0"/>
      <w:sz w:val="24"/>
      <w:szCs w:val="20"/>
    </w:rPr>
  </w:style>
  <w:style w:type="paragraph" w:styleId="6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  <w:rPr>
      <w:rFonts w:hint="eastAsia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7"/>
    <w:next w:val="1"/>
    <w:qFormat/>
    <w:uiPriority w:val="0"/>
    <w:pPr>
      <w:widowControl w:val="0"/>
      <w:ind w:left="420" w:leftChars="200"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unhideWhenUsed/>
    <w:qFormat/>
    <w:uiPriority w:val="99"/>
  </w:style>
  <w:style w:type="paragraph" w:customStyle="1" w:styleId="18">
    <w:name w:val="_Style 13"/>
    <w:basedOn w:val="1"/>
    <w:qFormat/>
    <w:uiPriority w:val="0"/>
    <w:pPr>
      <w:widowControl/>
      <w:spacing w:before="120" w:beforeAutospacing="0" w:after="120" w:afterAutospacing="0" w:line="288" w:lineRule="auto"/>
      <w:ind w:left="0"/>
      <w:jc w:val="left"/>
    </w:pPr>
    <w:rPr>
      <w:rFonts w:hint="default" w:ascii="Arial" w:hAnsi="Arial" w:eastAsia="等线" w:cs="Arial"/>
      <w:kern w:val="0"/>
      <w:sz w:val="22"/>
      <w:szCs w:val="22"/>
      <w:lang w:val="en-US" w:eastAsia="zh-CN"/>
    </w:rPr>
  </w:style>
  <w:style w:type="character" w:customStyle="1" w:styleId="19">
    <w:name w:val="标题 1 Char Char"/>
    <w:link w:val="3"/>
    <w:qFormat/>
    <w:uiPriority w:val="0"/>
    <w:rPr>
      <w:rFonts w:ascii="Calibri" w:hAnsi="Calibri" w:eastAsia="方正大标宋简体" w:cs="Times New Roman"/>
      <w:kern w:val="44"/>
      <w:sz w:val="44"/>
    </w:rPr>
  </w:style>
  <w:style w:type="paragraph" w:customStyle="1" w:styleId="20">
    <w:name w:val="HtmlNormal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bd703645-5454-479f-b5a1-4583287b6e2d</errorID>
      <errorWord xmlns="http://schemas.wps.cn/vas-ai-hub/contract-review">.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.加</item>
      </candidateList>
      <explain xmlns="http://schemas.wps.cn/vas-ai-hub/contract-review"/>
      <paraID xmlns="http://schemas.wps.cn/vas-ai-hub/contract-review">22FD8E8F</paraID>
      <start xmlns="http://schemas.wps.cn/vas-ai-hub/contract-review">1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7ea8eabb-957a-44e3-865b-45c8e448818a</errorID>
      <errorWord xmlns="http://schemas.wps.cn/vas-ai-hub/contract-review">企业梯级培育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企业梯度培育</item>
      </candidateList>
      <explain xmlns="http://schemas.wps.cn/vas-ai-hub/contract-review">词汇“企业梯度培育”在特定场景下为固定表述形式，请确认此处的“企业梯级培育”是否存在不当。</explain>
      <paraID xmlns="http://schemas.wps.cn/vas-ai-hub/contract-review">676F4A94</paraID>
      <start xmlns="http://schemas.wps.cn/vas-ai-hub/contract-review">13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31bb6398-c114-4a88-b1ee-3b38c9990e35</errorID>
      <errorWord xmlns="http://schemas.wps.cn/vas-ai-hub/contract-review">制度，售后服务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制度</item>
      </candidateList>
      <explain xmlns="http://schemas.wps.cn/vas-ai-hub/contract-review"/>
      <paraID xmlns="http://schemas.wps.cn/vas-ai-hub/contract-review">63D064B0</paraID>
      <start xmlns="http://schemas.wps.cn/vas-ai-hub/contract-review">21</start>
      <end xmlns="http://schemas.wps.cn/vas-ai-hub/contract-review">23</end>
      <status xmlns="http://schemas.wps.cn/vas-ai-hub/contract-review">modified</status>
      <modifiedWord xmlns="http://schemas.wps.cn/vas-ai-hub/contract-review">制度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48aa4af8-d661-4f59-bd41-fd048d4adfee</errorID>
      <errorWord xmlns="http://schemas.wps.cn/vas-ai-hub/contract-review">企业梯级培育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企业梯度培育</item>
      </candidateList>
      <explain xmlns="http://schemas.wps.cn/vas-ai-hub/contract-review">词汇“企业梯度培育”在特定场景下为固定表述形式，请确认此处的“企业梯级培育”是否存在不当。</explain>
      <paraID xmlns="http://schemas.wps.cn/vas-ai-hub/contract-review">7A1D0BE1</paraID>
      <start xmlns="http://schemas.wps.cn/vas-ai-hub/contract-review">2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3ac209ad-0357-49cd-8bcc-f22b3c4e7e9d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4C23E9F5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bad5ec8c-7180-42e9-ba4b-9282554cea82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4C23E9F5</paraID>
      <start xmlns="http://schemas.wps.cn/vas-ai-hub/contract-review">38</start>
      <end xmlns="http://schemas.wps.cn/vas-ai-hub/contract-review">39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71564803-180a-45e2-a00e-abe621282c49</errorID>
      <errorWord xmlns="http://schemas.wps.cn/vas-ai-hub/contract-review">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‘</item>
      </candidateList>
      <explain xmlns="http://schemas.wps.cn/vas-ai-hub/contract-review">当引号中还需要使用引号时，外面一层用双引号，里面一层用单引号。</explain>
      <paraID xmlns="http://schemas.wps.cn/vas-ai-hub/contract-review">370AC304</paraID>
      <start xmlns="http://schemas.wps.cn/vas-ai-hub/contract-review">191</start>
      <end xmlns="http://schemas.wps.cn/vas-ai-hub/contract-review">192</end>
      <status xmlns="http://schemas.wps.cn/vas-ai-hub/contract-review">modified</status>
      <modifiedWord xmlns="http://schemas.wps.cn/vas-ai-hub/contract-review">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a0567b8f-5a9b-4722-b3ff-1375239d4627</errorID>
      <errorWord xmlns="http://schemas.wps.cn/vas-ai-hub/contract-review">”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’</item>
      </candidateList>
      <explain xmlns="http://schemas.wps.cn/vas-ai-hub/contract-review">当引号中还需要使用引号时，外面一层用双引号，里面一层用单引号。</explain>
      <paraID xmlns="http://schemas.wps.cn/vas-ai-hub/contract-review">370AC304</paraID>
      <start xmlns="http://schemas.wps.cn/vas-ai-hub/contract-review">196</start>
      <end xmlns="http://schemas.wps.cn/vas-ai-hub/contract-review">197</end>
      <status xmlns="http://schemas.wps.cn/vas-ai-hub/contract-review">modified</status>
      <modifiedWord xmlns="http://schemas.wps.cn/vas-ai-hub/contract-review">’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ce5cd3e3-5178-4c2f-8769-67e9f8f04c24</errorID>
      <errorWord xmlns="http://schemas.wps.cn/vas-ai-hub/contract-review">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‘</item>
      </candidateList>
      <explain xmlns="http://schemas.wps.cn/vas-ai-hub/contract-review">当引号中还需要使用引号时，外面一层用双引号，里面一层用单引号。</explain>
      <paraID xmlns="http://schemas.wps.cn/vas-ai-hub/contract-review">370AC304</paraID>
      <start xmlns="http://schemas.wps.cn/vas-ai-hub/contract-review">222</start>
      <end xmlns="http://schemas.wps.cn/vas-ai-hub/contract-review">223</end>
      <status xmlns="http://schemas.wps.cn/vas-ai-hub/contract-review">modified</status>
      <modifiedWord xmlns="http://schemas.wps.cn/vas-ai-hub/contract-review">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02cdc168-c6c8-4dcf-b541-eac14daa176c</errorID>
      <errorWord xmlns="http://schemas.wps.cn/vas-ai-hub/contract-review">”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’</item>
      </candidateList>
      <explain xmlns="http://schemas.wps.cn/vas-ai-hub/contract-review">当引号中还需要使用引号时，外面一层用双引号，里面一层用单引号。</explain>
      <paraID xmlns="http://schemas.wps.cn/vas-ai-hub/contract-review">370AC304</paraID>
      <start xmlns="http://schemas.wps.cn/vas-ai-hub/contract-review">229</start>
      <end xmlns="http://schemas.wps.cn/vas-ai-hub/contract-review">230</end>
      <status xmlns="http://schemas.wps.cn/vas-ai-hub/contract-review">modified</status>
      <modifiedWord xmlns="http://schemas.wps.cn/vas-ai-hub/contract-review">’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c09111-e7ff-41ac-8b2d-c76a99c6e0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3560</Words>
  <Characters>3642</Characters>
  <Lines>0</Lines>
  <Paragraphs>0</Paragraphs>
  <TotalTime>3</TotalTime>
  <ScaleCrop>false</ScaleCrop>
  <LinksUpToDate>false</LinksUpToDate>
  <CharactersWithSpaces>3660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2026-04-03T02:35:00Z</dcterms:created>
  <dc:creator>李艳飞13337277163</dc:creator>
  <cp:lastModifiedBy>hhhx✨</cp:lastModifiedBy>
  <cp:lastPrinted>2026-06-24T01:19:00Z</cp:lastPrinted>
  <dcterms:modified xsi:type="dcterms:W3CDTF">2026-06-23T01:01:13Z</dcterms:modified>
  <dc:title>目    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175B83FFD05644829774BAEFF1E9E0DF_13</vt:lpwstr>
  </property>
  <property fmtid="{D5CDD505-2E9C-101B-9397-08002B2CF9AE}" pid="4" name="KSOTemplateDocerSaveRecord">
    <vt:lpwstr>eyJoZGlkIjoiOWVmZjQ3ZjYwNDlhOWZlOGViN2UyYmZhZTZlZmRmZjkiLCJ1c2VySWQiOiIyODIxNzU5OTgifQ==</vt:lpwstr>
  </property>
</Properties>
</file>